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403D17">
      <w:pPr>
        <w:ind w:firstLine="560"/>
        <w:rPr>
          <w:rFonts w:hint="eastAsia" w:eastAsia="宋体"/>
          <w:lang w:eastAsia="zh-CN"/>
        </w:rPr>
      </w:pPr>
      <w:r>
        <mc:AlternateContent>
          <mc:Choice Requires="wps">
            <w:drawing>
              <wp:anchor distT="0" distB="0" distL="114300" distR="114300" simplePos="0" relativeHeight="251661312" behindDoc="0" locked="0" layoutInCell="1" allowOverlap="1">
                <wp:simplePos x="0" y="0"/>
                <wp:positionH relativeFrom="column">
                  <wp:posOffset>617220</wp:posOffset>
                </wp:positionH>
                <wp:positionV relativeFrom="paragraph">
                  <wp:posOffset>7989570</wp:posOffset>
                </wp:positionV>
                <wp:extent cx="5238750" cy="728345"/>
                <wp:effectExtent l="0" t="0" r="0" b="0"/>
                <wp:wrapNone/>
                <wp:docPr id="663" name="文本框 663"/>
                <wp:cNvGraphicFramePr/>
                <a:graphic xmlns:a="http://schemas.openxmlformats.org/drawingml/2006/main">
                  <a:graphicData uri="http://schemas.microsoft.com/office/word/2010/wordprocessingShape">
                    <wps:wsp>
                      <wps:cNvSpPr txBox="1"/>
                      <wps:spPr>
                        <a:xfrm>
                          <a:off x="0" y="0"/>
                          <a:ext cx="5238750" cy="7283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8D438B">
                            <w:pPr>
                              <w:ind w:firstLine="0" w:firstLineChars="0"/>
                              <w:jc w:val="center"/>
                              <w:rPr>
                                <w:rFonts w:hint="default" w:eastAsia="宋体"/>
                                <w:b/>
                                <w:bCs/>
                                <w:color w:val="000000" w:themeColor="text1"/>
                                <w:sz w:val="44"/>
                                <w:szCs w:val="44"/>
                                <w:lang w:val="en-US" w:eastAsia="zh-CN"/>
                                <w14:textFill>
                                  <w14:solidFill>
                                    <w14:schemeClr w14:val="tx1"/>
                                  </w14:solidFill>
                                </w14:textFill>
                              </w:rPr>
                            </w:pPr>
                            <w:r>
                              <w:rPr>
                                <w:rFonts w:hint="eastAsia"/>
                                <w:b/>
                                <w:bCs/>
                                <w:color w:val="000000" w:themeColor="text1"/>
                                <w:sz w:val="44"/>
                                <w:szCs w:val="44"/>
                                <w:lang w:val="en-US" w:eastAsia="zh-CN"/>
                                <w14:textFill>
                                  <w14:solidFill>
                                    <w14:schemeClr w14:val="tx1"/>
                                  </w14:solidFill>
                                </w14:textFill>
                              </w:rPr>
                              <w:t>2021年10月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6pt;margin-top:629.1pt;height:57.35pt;width:412.5pt;z-index:251661312;mso-width-relative:page;mso-height-relative:page;" filled="f" stroked="f" coordsize="21600,21600" o:gfxdata="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&#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K9lfy2wAAAAwBAAAPAAAAAAAAAAEAIAAAACIAAABk&#10;cnMvZG93bnJldi54bWxQSwECFAAUAAAACACHTuJAZ1ZTVjwCAABqBAAADgAAAAAAAAABACAAAAAq&#10;AQAAZHJzL2Uyb0RvYy54bWxQSwUGAAAAAAYABgBZAQAA2AUAAAAA&#10;">
                <v:fill on="f" focussize="0,0"/>
                <v:stroke on="f" weight="0.5pt"/>
                <v:imagedata o:title=""/>
                <o:lock v:ext="edit" aspectratio="f"/>
                <v:textbox>
                  <w:txbxContent>
                    <w:p w14:paraId="138D438B">
                      <w:pPr>
                        <w:ind w:firstLine="0" w:firstLineChars="0"/>
                        <w:jc w:val="center"/>
                        <w:rPr>
                          <w:rFonts w:hint="default" w:eastAsia="宋体"/>
                          <w:b/>
                          <w:bCs/>
                          <w:color w:val="000000" w:themeColor="text1"/>
                          <w:sz w:val="44"/>
                          <w:szCs w:val="44"/>
                          <w:lang w:val="en-US" w:eastAsia="zh-CN"/>
                          <w14:textFill>
                            <w14:solidFill>
                              <w14:schemeClr w14:val="tx1"/>
                            </w14:solidFill>
                          </w14:textFill>
                        </w:rPr>
                      </w:pPr>
                      <w:r>
                        <w:rPr>
                          <w:rFonts w:hint="eastAsia"/>
                          <w:b/>
                          <w:bCs/>
                          <w:color w:val="000000" w:themeColor="text1"/>
                          <w:sz w:val="44"/>
                          <w:szCs w:val="44"/>
                          <w:lang w:val="en-US" w:eastAsia="zh-CN"/>
                          <w14:textFill>
                            <w14:solidFill>
                              <w14:schemeClr w14:val="tx1"/>
                            </w14:solidFill>
                          </w14:textFill>
                        </w:rPr>
                        <w:t>2021年10月</w:t>
                      </w:r>
                    </w:p>
                  </w:txbxContent>
                </v:textbox>
              </v:shape>
            </w:pict>
          </mc:Fallback>
        </mc:AlternateContent>
      </w:r>
      <w:r>
        <w:rPr>
          <w:rFonts w:hint="eastAsia" w:eastAsia="宋体"/>
          <w:lang w:eastAsia="zh-CN"/>
        </w:rPr>
        <w:drawing>
          <wp:anchor distT="0" distB="0" distL="114300" distR="114300" simplePos="0" relativeHeight="251662336" behindDoc="0" locked="0" layoutInCell="1" allowOverlap="1">
            <wp:simplePos x="0" y="0"/>
            <wp:positionH relativeFrom="column">
              <wp:posOffset>-447040</wp:posOffset>
            </wp:positionH>
            <wp:positionV relativeFrom="paragraph">
              <wp:posOffset>2441575</wp:posOffset>
            </wp:positionV>
            <wp:extent cx="7560310" cy="4978400"/>
            <wp:effectExtent l="0" t="0" r="2540" b="12700"/>
            <wp:wrapNone/>
            <wp:docPr id="11" name="图片 11" descr="615c871e-4944-4cfd-ad27-5e9373c8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15c871e-4944-4cfd-ad27-5e9373c86962"/>
                    <pic:cNvPicPr>
                      <a:picLocks noChangeAspect="1"/>
                    </pic:cNvPicPr>
                  </pic:nvPicPr>
                  <pic:blipFill>
                    <a:blip r:embed="rId7">
                      <a:grayscl/>
                    </a:blip>
                    <a:stretch>
                      <a:fillRect/>
                    </a:stretch>
                  </pic:blipFill>
                  <pic:spPr>
                    <a:xfrm>
                      <a:off x="0" y="0"/>
                      <a:ext cx="7560310" cy="4978400"/>
                    </a:xfrm>
                    <a:prstGeom prst="rect">
                      <a:avLst/>
                    </a:prstGeom>
                  </pic:spPr>
                </pic:pic>
              </a:graphicData>
            </a:graphic>
          </wp:anchor>
        </w:drawing>
      </w:r>
      <w:r>
        <mc:AlternateContent>
          <mc:Choice Requires="wps">
            <w:drawing>
              <wp:anchor distT="0" distB="0" distL="114300" distR="114300" simplePos="0" relativeHeight="251660288" behindDoc="0" locked="0" layoutInCell="1" allowOverlap="1">
                <wp:simplePos x="0" y="0"/>
                <wp:positionH relativeFrom="column">
                  <wp:posOffset>-447040</wp:posOffset>
                </wp:positionH>
                <wp:positionV relativeFrom="paragraph">
                  <wp:posOffset>241300</wp:posOffset>
                </wp:positionV>
                <wp:extent cx="7528560" cy="1532890"/>
                <wp:effectExtent l="0" t="0" r="0" b="0"/>
                <wp:wrapNone/>
                <wp:docPr id="662" name="文本框 662"/>
                <wp:cNvGraphicFramePr/>
                <a:graphic xmlns:a="http://schemas.openxmlformats.org/drawingml/2006/main">
                  <a:graphicData uri="http://schemas.microsoft.com/office/word/2010/wordprocessingShape">
                    <wps:wsp>
                      <wps:cNvSpPr txBox="1"/>
                      <wps:spPr>
                        <a:xfrm>
                          <a:off x="0" y="0"/>
                          <a:ext cx="7528560" cy="1532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DE6CDB">
                            <w:pPr>
                              <w:spacing w:before="156" w:beforeLines="50"/>
                              <w:ind w:firstLine="0" w:firstLineChars="0"/>
                              <w:jc w:val="center"/>
                              <w:rPr>
                                <w:rFonts w:hint="eastAsia" w:eastAsia="微软雅黑"/>
                                <w:b/>
                                <w:bCs/>
                                <w:color w:val="auto"/>
                                <w:sz w:val="40"/>
                                <w:szCs w:val="40"/>
                                <w:lang w:eastAsia="zh-CN"/>
                                <w14:shadow w14:blurRad="38100" w14:dist="25400" w14:dir="5400000" w14:sx="100000" w14:sy="100000" w14:kx="0" w14:ky="0" w14:algn="ctr">
                                  <w14:srgbClr w14:val="6E747A">
                                    <w14:alpha w14:val="57000"/>
                                  </w14:srgbClr>
                                </w14:shadow>
                                <w14:props3d w14:extrusionH="0" w14:contourW="0" w14:prstMaterial="clear"/>
                              </w:rPr>
                            </w:pPr>
                            <w:r>
                              <w:rPr>
                                <w:rFonts w:hint="eastAsia" w:eastAsia="微软雅黑"/>
                                <w:b/>
                                <w:bCs/>
                                <w:color w:val="auto"/>
                                <w:sz w:val="40"/>
                                <w:szCs w:val="40"/>
                                <w:lang w:eastAsia="zh-CN"/>
                                <w14:shadow w14:blurRad="38100" w14:dist="25400" w14:dir="5400000" w14:sx="100000" w14:sy="100000" w14:kx="0" w14:ky="0" w14:algn="ctr">
                                  <w14:srgbClr w14:val="6E747A">
                                    <w14:alpha w14:val="57000"/>
                                  </w14:srgbClr>
                                </w14:shadow>
                                <w14:props3d w14:extrusionH="0" w14:contourW="0" w14:prstMaterial="clear"/>
                              </w:rPr>
                              <w:t>某镇供水管网工程项目 EPC（工程总承包)</w:t>
                            </w:r>
                          </w:p>
                          <w:p w14:paraId="5BF65EBD">
                            <w:pPr>
                              <w:spacing w:before="156" w:beforeLines="50"/>
                              <w:ind w:firstLine="0" w:firstLineChars="0"/>
                              <w:jc w:val="center"/>
                              <w:rPr>
                                <w:rFonts w:hint="eastAsia" w:eastAsia="微软雅黑"/>
                                <w:b/>
                                <w:bCs/>
                                <w:color w:val="auto"/>
                                <w:sz w:val="40"/>
                                <w:szCs w:val="40"/>
                                <w:lang w:eastAsia="zh-CN"/>
                                <w14:shadow w14:blurRad="38100" w14:dist="25400" w14:dir="5400000" w14:sx="100000" w14:sy="100000" w14:kx="0" w14:ky="0" w14:algn="ctr">
                                  <w14:srgbClr w14:val="6E747A">
                                    <w14:alpha w14:val="57000"/>
                                  </w14:srgbClr>
                                </w14:shadow>
                                <w14:props3d w14:extrusionH="0" w14:contourW="0" w14:prstMaterial="clear"/>
                              </w:rPr>
                            </w:pPr>
                            <w:r>
                              <w:rPr>
                                <w:rFonts w:hint="eastAsia" w:eastAsia="微软雅黑"/>
                                <w:b/>
                                <w:bCs/>
                                <w:color w:val="auto"/>
                                <w:sz w:val="40"/>
                                <w:szCs w:val="40"/>
                                <w:lang w:eastAsia="zh-CN"/>
                                <w14:shadow w14:blurRad="38100" w14:dist="25400" w14:dir="5400000" w14:sx="100000" w14:sy="100000" w14:kx="0" w14:ky="0" w14:algn="ctr">
                                  <w14:srgbClr w14:val="6E747A">
                                    <w14:alpha w14:val="57000"/>
                                  </w14:srgbClr>
                                </w14:shadow>
                                <w14:props3d w14:extrusionH="0" w14:contourW="0" w14:prstMaterial="clear"/>
                              </w:rPr>
                              <w:t>项目总承包管理组织方案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pt;margin-top:19pt;height:120.7pt;width:592.8pt;z-index:251660288;mso-width-relative:page;mso-height-relative:page;" filled="f" stroked="f" coordsize="21600,21600" o:gfxdata="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xZ5WrcAAAACwEAAA8AAAAAAAAAAQAgAAAA&#10;IgAAAGRycy9kb3ducmV2LnhtbFBLAQIUABQAAAAIAIdO4kBatsu/QAIAAGsEAAAOAAAAAAAAAAEA&#10;IAAAACsBAABkcnMvZTJvRG9jLnhtbFBLBQYAAAAABgAGAFkBAADdBQAAAAA=&#10;">
                <v:fill on="f" focussize="0,0"/>
                <v:stroke on="f" weight="0.5pt"/>
                <v:imagedata o:title=""/>
                <o:lock v:ext="edit" aspectratio="f"/>
                <v:textbox>
                  <w:txbxContent>
                    <w:p w14:paraId="00DE6CDB">
                      <w:pPr>
                        <w:spacing w:before="156" w:beforeLines="50"/>
                        <w:ind w:firstLine="0" w:firstLineChars="0"/>
                        <w:jc w:val="center"/>
                        <w:rPr>
                          <w:rFonts w:hint="eastAsia" w:eastAsia="微软雅黑"/>
                          <w:b/>
                          <w:bCs/>
                          <w:color w:val="auto"/>
                          <w:sz w:val="40"/>
                          <w:szCs w:val="40"/>
                          <w:lang w:eastAsia="zh-CN"/>
                          <w14:shadow w14:blurRad="38100" w14:dist="25400" w14:dir="5400000" w14:sx="100000" w14:sy="100000" w14:kx="0" w14:ky="0" w14:algn="ctr">
                            <w14:srgbClr w14:val="6E747A">
                              <w14:alpha w14:val="57000"/>
                            </w14:srgbClr>
                          </w14:shadow>
                          <w14:props3d w14:extrusionH="0" w14:contourW="0" w14:prstMaterial="clear"/>
                        </w:rPr>
                      </w:pPr>
                      <w:r>
                        <w:rPr>
                          <w:rFonts w:hint="eastAsia" w:eastAsia="微软雅黑"/>
                          <w:b/>
                          <w:bCs/>
                          <w:color w:val="auto"/>
                          <w:sz w:val="40"/>
                          <w:szCs w:val="40"/>
                          <w:lang w:eastAsia="zh-CN"/>
                          <w14:shadow w14:blurRad="38100" w14:dist="25400" w14:dir="5400000" w14:sx="100000" w14:sy="100000" w14:kx="0" w14:ky="0" w14:algn="ctr">
                            <w14:srgbClr w14:val="6E747A">
                              <w14:alpha w14:val="57000"/>
                            </w14:srgbClr>
                          </w14:shadow>
                          <w14:props3d w14:extrusionH="0" w14:contourW="0" w14:prstMaterial="clear"/>
                        </w:rPr>
                        <w:t>某镇供水管网工程项目 EPC（工程总承包)</w:t>
                      </w:r>
                    </w:p>
                    <w:p w14:paraId="5BF65EBD">
                      <w:pPr>
                        <w:spacing w:before="156" w:beforeLines="50"/>
                        <w:ind w:firstLine="0" w:firstLineChars="0"/>
                        <w:jc w:val="center"/>
                        <w:rPr>
                          <w:rFonts w:hint="eastAsia" w:eastAsia="微软雅黑"/>
                          <w:b/>
                          <w:bCs/>
                          <w:color w:val="auto"/>
                          <w:sz w:val="40"/>
                          <w:szCs w:val="40"/>
                          <w:lang w:eastAsia="zh-CN"/>
                          <w14:shadow w14:blurRad="38100" w14:dist="25400" w14:dir="5400000" w14:sx="100000" w14:sy="100000" w14:kx="0" w14:ky="0" w14:algn="ctr">
                            <w14:srgbClr w14:val="6E747A">
                              <w14:alpha w14:val="57000"/>
                            </w14:srgbClr>
                          </w14:shadow>
                          <w14:props3d w14:extrusionH="0" w14:contourW="0" w14:prstMaterial="clear"/>
                        </w:rPr>
                      </w:pPr>
                      <w:r>
                        <w:rPr>
                          <w:rFonts w:hint="eastAsia" w:eastAsia="微软雅黑"/>
                          <w:b/>
                          <w:bCs/>
                          <w:color w:val="auto"/>
                          <w:sz w:val="40"/>
                          <w:szCs w:val="40"/>
                          <w:lang w:eastAsia="zh-CN"/>
                          <w14:shadow w14:blurRad="38100" w14:dist="25400" w14:dir="5400000" w14:sx="100000" w14:sy="100000" w14:kx="0" w14:ky="0" w14:algn="ctr">
                            <w14:srgbClr w14:val="6E747A">
                              <w14:alpha w14:val="57000"/>
                            </w14:srgbClr>
                          </w14:shadow>
                          <w14:props3d w14:extrusionH="0" w14:contourW="0" w14:prstMaterial="clear"/>
                        </w:rPr>
                        <w:t>项目总承包管理组织方案</w:t>
                      </w:r>
                    </w:p>
                  </w:txbxContent>
                </v:textbox>
              </v:shape>
            </w:pict>
          </mc:Fallback>
        </mc:AlternateContent>
      </w:r>
      <w:r>
        <w:rPr>
          <w:rFonts w:hint="eastAsia"/>
        </w:rPr>
        <w:br w:type="page"/>
      </w:r>
    </w:p>
    <w:p w14:paraId="6BD96FAE">
      <w:pPr>
        <w:pStyle w:val="10"/>
        <w:tabs>
          <w:tab w:val="right" w:leader="dot" w:pos="8306"/>
        </w:tabs>
        <w:jc w:val="center"/>
      </w:pPr>
      <w:bookmarkStart w:id="0" w:name="_Toc8505"/>
      <w:bookmarkStart w:id="1" w:name="_Toc11377"/>
      <w:bookmarkStart w:id="2" w:name="_Toc18558"/>
      <w:r>
        <w:rPr>
          <w:rFonts w:hint="eastAsia"/>
        </w:rPr>
        <w:t>目录</w:t>
      </w:r>
    </w:p>
    <w:p w14:paraId="0435172A">
      <w:pPr>
        <w:pStyle w:val="10"/>
        <w:tabs>
          <w:tab w:val="right" w:leader="dot" w:pos="10466"/>
        </w:tabs>
      </w:pPr>
      <w:r>
        <w:fldChar w:fldCharType="begin"/>
      </w:r>
      <w:r>
        <w:instrText xml:space="preserve">TOC \o "1-3" \h \u </w:instrText>
      </w:r>
      <w:r>
        <w:fldChar w:fldCharType="separate"/>
      </w:r>
      <w:r>
        <w:fldChar w:fldCharType="begin"/>
      </w:r>
      <w:r>
        <w:instrText xml:space="preserve"> HYPERLINK \l _Toc29792 </w:instrText>
      </w:r>
      <w:r>
        <w:fldChar w:fldCharType="separate"/>
      </w:r>
      <w:r>
        <w:rPr>
          <w:rFonts w:hint="eastAsia"/>
        </w:rPr>
        <w:t>第一章、</w:t>
      </w:r>
      <w:r>
        <w:rPr>
          <w:rFonts w:hint="eastAsia"/>
          <w:lang w:val="en-US" w:eastAsia="zh-CN"/>
        </w:rPr>
        <w:t>总体概述</w:t>
      </w:r>
      <w:r>
        <w:tab/>
      </w:r>
      <w:r>
        <w:fldChar w:fldCharType="begin"/>
      </w:r>
      <w:r>
        <w:instrText xml:space="preserve"> PAGEREF _Toc29792 \h </w:instrText>
      </w:r>
      <w:r>
        <w:fldChar w:fldCharType="separate"/>
      </w:r>
      <w:r>
        <w:t>7</w:t>
      </w:r>
      <w:r>
        <w:fldChar w:fldCharType="end"/>
      </w:r>
      <w:r>
        <w:fldChar w:fldCharType="end"/>
      </w:r>
    </w:p>
    <w:p w14:paraId="0F1CB65E">
      <w:pPr>
        <w:pStyle w:val="12"/>
        <w:tabs>
          <w:tab w:val="right" w:leader="dot" w:pos="10466"/>
        </w:tabs>
      </w:pPr>
      <w:r>
        <w:fldChar w:fldCharType="begin"/>
      </w:r>
      <w:r>
        <w:instrText xml:space="preserve"> HYPERLINK \l _Toc19441 </w:instrText>
      </w:r>
      <w:r>
        <w:fldChar w:fldCharType="separate"/>
      </w:r>
      <w:r>
        <w:rPr>
          <w:rFonts w:hint="eastAsia"/>
        </w:rPr>
        <w:t>第一节、工程简介</w:t>
      </w:r>
      <w:r>
        <w:tab/>
      </w:r>
      <w:r>
        <w:fldChar w:fldCharType="begin"/>
      </w:r>
      <w:r>
        <w:instrText xml:space="preserve"> PAGEREF _Toc19441 \h </w:instrText>
      </w:r>
      <w:r>
        <w:fldChar w:fldCharType="separate"/>
      </w:r>
      <w:r>
        <w:t>7</w:t>
      </w:r>
      <w:r>
        <w:fldChar w:fldCharType="end"/>
      </w:r>
      <w:r>
        <w:fldChar w:fldCharType="end"/>
      </w:r>
    </w:p>
    <w:p w14:paraId="7AB5906B">
      <w:pPr>
        <w:pStyle w:val="12"/>
        <w:tabs>
          <w:tab w:val="right" w:leader="dot" w:pos="10466"/>
        </w:tabs>
      </w:pPr>
      <w:r>
        <w:fldChar w:fldCharType="begin"/>
      </w:r>
      <w:r>
        <w:instrText xml:space="preserve"> HYPERLINK \l _Toc15286 </w:instrText>
      </w:r>
      <w:r>
        <w:fldChar w:fldCharType="separate"/>
      </w:r>
      <w:r>
        <w:rPr>
          <w:rFonts w:hint="eastAsia"/>
        </w:rPr>
        <w:t>第</w:t>
      </w:r>
      <w:r>
        <w:rPr>
          <w:rFonts w:hint="eastAsia"/>
          <w:lang w:val="en-US" w:eastAsia="zh-CN"/>
        </w:rPr>
        <w:t>二</w:t>
      </w:r>
      <w:r>
        <w:rPr>
          <w:rFonts w:hint="eastAsia"/>
        </w:rPr>
        <w:t>节、编制说明</w:t>
      </w:r>
      <w:r>
        <w:tab/>
      </w:r>
      <w:r>
        <w:fldChar w:fldCharType="begin"/>
      </w:r>
      <w:r>
        <w:instrText xml:space="preserve"> PAGEREF _Toc15286 \h </w:instrText>
      </w:r>
      <w:r>
        <w:fldChar w:fldCharType="separate"/>
      </w:r>
      <w:r>
        <w:t>7</w:t>
      </w:r>
      <w:r>
        <w:fldChar w:fldCharType="end"/>
      </w:r>
      <w:r>
        <w:fldChar w:fldCharType="end"/>
      </w:r>
    </w:p>
    <w:p w14:paraId="39D1DBA0">
      <w:pPr>
        <w:pStyle w:val="7"/>
        <w:tabs>
          <w:tab w:val="right" w:leader="dot" w:pos="10466"/>
        </w:tabs>
      </w:pPr>
      <w:r>
        <w:fldChar w:fldCharType="begin"/>
      </w:r>
      <w:r>
        <w:instrText xml:space="preserve"> HYPERLINK \l _Toc20861 </w:instrText>
      </w:r>
      <w:r>
        <w:fldChar w:fldCharType="separate"/>
      </w:r>
      <w:r>
        <w:rPr>
          <w:rFonts w:hint="eastAsia"/>
        </w:rPr>
        <w:t>一、说明</w:t>
      </w:r>
      <w:r>
        <w:tab/>
      </w:r>
      <w:r>
        <w:fldChar w:fldCharType="begin"/>
      </w:r>
      <w:r>
        <w:instrText xml:space="preserve"> PAGEREF _Toc20861 \h </w:instrText>
      </w:r>
      <w:r>
        <w:fldChar w:fldCharType="separate"/>
      </w:r>
      <w:r>
        <w:t>7</w:t>
      </w:r>
      <w:r>
        <w:fldChar w:fldCharType="end"/>
      </w:r>
      <w:r>
        <w:fldChar w:fldCharType="end"/>
      </w:r>
    </w:p>
    <w:p w14:paraId="09835E02">
      <w:pPr>
        <w:pStyle w:val="7"/>
        <w:tabs>
          <w:tab w:val="right" w:leader="dot" w:pos="10466"/>
        </w:tabs>
      </w:pPr>
      <w:r>
        <w:fldChar w:fldCharType="begin"/>
      </w:r>
      <w:r>
        <w:instrText xml:space="preserve"> HYPERLINK \l _Toc31315 </w:instrText>
      </w:r>
      <w:r>
        <w:fldChar w:fldCharType="separate"/>
      </w:r>
      <w:r>
        <w:rPr>
          <w:rFonts w:hint="eastAsia"/>
        </w:rPr>
        <w:t>二、编制依据</w:t>
      </w:r>
      <w:r>
        <w:tab/>
      </w:r>
      <w:r>
        <w:fldChar w:fldCharType="begin"/>
      </w:r>
      <w:r>
        <w:instrText xml:space="preserve"> PAGEREF _Toc31315 \h </w:instrText>
      </w:r>
      <w:r>
        <w:fldChar w:fldCharType="separate"/>
      </w:r>
      <w:r>
        <w:t>8</w:t>
      </w:r>
      <w:r>
        <w:fldChar w:fldCharType="end"/>
      </w:r>
      <w:r>
        <w:fldChar w:fldCharType="end"/>
      </w:r>
    </w:p>
    <w:p w14:paraId="42E991FD">
      <w:pPr>
        <w:pStyle w:val="7"/>
        <w:tabs>
          <w:tab w:val="right" w:leader="dot" w:pos="10466"/>
        </w:tabs>
      </w:pPr>
      <w:r>
        <w:fldChar w:fldCharType="begin"/>
      </w:r>
      <w:r>
        <w:instrText xml:space="preserve"> HYPERLINK \l _Toc19011 </w:instrText>
      </w:r>
      <w:r>
        <w:fldChar w:fldCharType="separate"/>
      </w:r>
      <w:r>
        <w:rPr>
          <w:rFonts w:hint="eastAsia"/>
        </w:rPr>
        <w:t>三、编制原则</w:t>
      </w:r>
      <w:r>
        <w:tab/>
      </w:r>
      <w:r>
        <w:fldChar w:fldCharType="begin"/>
      </w:r>
      <w:r>
        <w:instrText xml:space="preserve"> PAGEREF _Toc19011 \h </w:instrText>
      </w:r>
      <w:r>
        <w:fldChar w:fldCharType="separate"/>
      </w:r>
      <w:r>
        <w:t>9</w:t>
      </w:r>
      <w:r>
        <w:fldChar w:fldCharType="end"/>
      </w:r>
      <w:r>
        <w:fldChar w:fldCharType="end"/>
      </w:r>
    </w:p>
    <w:p w14:paraId="6B86EA45">
      <w:pPr>
        <w:pStyle w:val="10"/>
        <w:tabs>
          <w:tab w:val="right" w:leader="dot" w:pos="10466"/>
        </w:tabs>
      </w:pPr>
      <w:r>
        <w:fldChar w:fldCharType="begin"/>
      </w:r>
      <w:r>
        <w:instrText xml:space="preserve"> HYPERLINK \l _Toc4114 </w:instrText>
      </w:r>
      <w:r>
        <w:fldChar w:fldCharType="separate"/>
      </w:r>
      <w:r>
        <w:rPr>
          <w:rFonts w:hint="eastAsia"/>
          <w:lang w:val="en-US" w:eastAsia="zh-CN"/>
        </w:rPr>
        <w:t>第二章、</w:t>
      </w:r>
      <w:r>
        <w:rPr>
          <w:rFonts w:hint="eastAsia"/>
        </w:rPr>
        <w:t>设计管理方案</w:t>
      </w:r>
      <w:r>
        <w:tab/>
      </w:r>
      <w:r>
        <w:fldChar w:fldCharType="begin"/>
      </w:r>
      <w:r>
        <w:instrText xml:space="preserve"> PAGEREF _Toc4114 \h </w:instrText>
      </w:r>
      <w:r>
        <w:fldChar w:fldCharType="separate"/>
      </w:r>
      <w:r>
        <w:t>11</w:t>
      </w:r>
      <w:r>
        <w:fldChar w:fldCharType="end"/>
      </w:r>
      <w:r>
        <w:fldChar w:fldCharType="end"/>
      </w:r>
    </w:p>
    <w:p w14:paraId="1A6F5EC7">
      <w:pPr>
        <w:pStyle w:val="10"/>
        <w:tabs>
          <w:tab w:val="right" w:leader="dot" w:pos="10466"/>
        </w:tabs>
      </w:pPr>
      <w:r>
        <w:fldChar w:fldCharType="begin"/>
      </w:r>
      <w:r>
        <w:instrText xml:space="preserve"> HYPERLINK \l _Toc883 </w:instrText>
      </w:r>
      <w:r>
        <w:fldChar w:fldCharType="separate"/>
      </w:r>
      <w:r>
        <w:rPr>
          <w:rFonts w:hint="eastAsia"/>
          <w:lang w:val="en-US" w:eastAsia="zh-CN"/>
        </w:rPr>
        <w:t>第三章、</w:t>
      </w:r>
      <w:r>
        <w:rPr>
          <w:rFonts w:hint="eastAsia"/>
        </w:rPr>
        <w:t>物资采购管理方案</w:t>
      </w:r>
      <w:r>
        <w:tab/>
      </w:r>
      <w:r>
        <w:fldChar w:fldCharType="begin"/>
      </w:r>
      <w:r>
        <w:instrText xml:space="preserve"> PAGEREF _Toc883 \h </w:instrText>
      </w:r>
      <w:r>
        <w:fldChar w:fldCharType="separate"/>
      </w:r>
      <w:r>
        <w:t>17</w:t>
      </w:r>
      <w:r>
        <w:fldChar w:fldCharType="end"/>
      </w:r>
      <w:r>
        <w:fldChar w:fldCharType="end"/>
      </w:r>
    </w:p>
    <w:p w14:paraId="6374BEDF">
      <w:pPr>
        <w:pStyle w:val="12"/>
        <w:tabs>
          <w:tab w:val="right" w:leader="dot" w:pos="10466"/>
        </w:tabs>
      </w:pPr>
      <w:r>
        <w:fldChar w:fldCharType="begin"/>
      </w:r>
      <w:r>
        <w:instrText xml:space="preserve"> HYPERLINK \l _Toc22575 </w:instrText>
      </w:r>
      <w:r>
        <w:fldChar w:fldCharType="separate"/>
      </w:r>
      <w:r>
        <w:rPr>
          <w:rFonts w:hint="eastAsia"/>
          <w:lang w:val="en-US" w:eastAsia="zh-CN"/>
        </w:rPr>
        <w:t>第一节</w:t>
      </w:r>
      <w:r>
        <w:rPr>
          <w:rFonts w:hint="eastAsia"/>
        </w:rPr>
        <w:t>、方案概述</w:t>
      </w:r>
      <w:r>
        <w:tab/>
      </w:r>
      <w:r>
        <w:fldChar w:fldCharType="begin"/>
      </w:r>
      <w:r>
        <w:instrText xml:space="preserve"> PAGEREF _Toc22575 \h </w:instrText>
      </w:r>
      <w:r>
        <w:fldChar w:fldCharType="separate"/>
      </w:r>
      <w:r>
        <w:t>17</w:t>
      </w:r>
      <w:r>
        <w:fldChar w:fldCharType="end"/>
      </w:r>
      <w:r>
        <w:fldChar w:fldCharType="end"/>
      </w:r>
    </w:p>
    <w:p w14:paraId="73D01B41">
      <w:pPr>
        <w:pStyle w:val="12"/>
        <w:tabs>
          <w:tab w:val="right" w:leader="dot" w:pos="10466"/>
        </w:tabs>
      </w:pPr>
      <w:r>
        <w:fldChar w:fldCharType="begin"/>
      </w:r>
      <w:r>
        <w:instrText xml:space="preserve"> HYPERLINK \l _Toc21024 </w:instrText>
      </w:r>
      <w:r>
        <w:fldChar w:fldCharType="separate"/>
      </w:r>
      <w:r>
        <w:rPr>
          <w:rFonts w:hint="eastAsia"/>
          <w:lang w:val="en-US" w:eastAsia="zh-CN"/>
        </w:rPr>
        <w:t>第二节</w:t>
      </w:r>
      <w:r>
        <w:rPr>
          <w:rFonts w:hint="eastAsia"/>
        </w:rPr>
        <w:t>、采购目标</w:t>
      </w:r>
      <w:r>
        <w:tab/>
      </w:r>
      <w:r>
        <w:fldChar w:fldCharType="begin"/>
      </w:r>
      <w:r>
        <w:instrText xml:space="preserve"> PAGEREF _Toc21024 \h </w:instrText>
      </w:r>
      <w:r>
        <w:fldChar w:fldCharType="separate"/>
      </w:r>
      <w:r>
        <w:t>17</w:t>
      </w:r>
      <w:r>
        <w:fldChar w:fldCharType="end"/>
      </w:r>
      <w:r>
        <w:fldChar w:fldCharType="end"/>
      </w:r>
    </w:p>
    <w:p w14:paraId="7B6EFB89">
      <w:pPr>
        <w:pStyle w:val="12"/>
        <w:tabs>
          <w:tab w:val="right" w:leader="dot" w:pos="10466"/>
        </w:tabs>
      </w:pPr>
      <w:r>
        <w:fldChar w:fldCharType="begin"/>
      </w:r>
      <w:r>
        <w:instrText xml:space="preserve"> HYPERLINK \l _Toc14350 </w:instrText>
      </w:r>
      <w:r>
        <w:fldChar w:fldCharType="separate"/>
      </w:r>
      <w:r>
        <w:rPr>
          <w:rFonts w:hint="eastAsia"/>
          <w:lang w:val="en-US" w:eastAsia="zh-CN"/>
        </w:rPr>
        <w:t>第三节</w:t>
      </w:r>
      <w:r>
        <w:rPr>
          <w:rFonts w:hint="eastAsia"/>
        </w:rPr>
        <w:t>、采购原则</w:t>
      </w:r>
      <w:r>
        <w:tab/>
      </w:r>
      <w:r>
        <w:fldChar w:fldCharType="begin"/>
      </w:r>
      <w:r>
        <w:instrText xml:space="preserve"> PAGEREF _Toc14350 \h </w:instrText>
      </w:r>
      <w:r>
        <w:fldChar w:fldCharType="separate"/>
      </w:r>
      <w:r>
        <w:t>17</w:t>
      </w:r>
      <w:r>
        <w:fldChar w:fldCharType="end"/>
      </w:r>
      <w:r>
        <w:fldChar w:fldCharType="end"/>
      </w:r>
    </w:p>
    <w:p w14:paraId="12930A79">
      <w:pPr>
        <w:pStyle w:val="12"/>
        <w:tabs>
          <w:tab w:val="right" w:leader="dot" w:pos="10466"/>
        </w:tabs>
      </w:pPr>
      <w:r>
        <w:fldChar w:fldCharType="begin"/>
      </w:r>
      <w:r>
        <w:instrText xml:space="preserve"> HYPERLINK \l _Toc1625 </w:instrText>
      </w:r>
      <w:r>
        <w:fldChar w:fldCharType="separate"/>
      </w:r>
      <w:r>
        <w:rPr>
          <w:rFonts w:hint="eastAsia"/>
          <w:lang w:val="en-US" w:eastAsia="zh-CN"/>
        </w:rPr>
        <w:t>第四节</w:t>
      </w:r>
      <w:r>
        <w:rPr>
          <w:rFonts w:hint="eastAsia"/>
        </w:rPr>
        <w:t>、采购范围</w:t>
      </w:r>
      <w:r>
        <w:tab/>
      </w:r>
      <w:r>
        <w:fldChar w:fldCharType="begin"/>
      </w:r>
      <w:r>
        <w:instrText xml:space="preserve"> PAGEREF _Toc1625 \h </w:instrText>
      </w:r>
      <w:r>
        <w:fldChar w:fldCharType="separate"/>
      </w:r>
      <w:r>
        <w:t>17</w:t>
      </w:r>
      <w:r>
        <w:fldChar w:fldCharType="end"/>
      </w:r>
      <w:r>
        <w:fldChar w:fldCharType="end"/>
      </w:r>
    </w:p>
    <w:p w14:paraId="41C9BF2A">
      <w:pPr>
        <w:pStyle w:val="12"/>
        <w:tabs>
          <w:tab w:val="right" w:leader="dot" w:pos="10466"/>
        </w:tabs>
      </w:pPr>
      <w:r>
        <w:fldChar w:fldCharType="begin"/>
      </w:r>
      <w:r>
        <w:instrText xml:space="preserve"> HYPERLINK \l _Toc9195 </w:instrText>
      </w:r>
      <w:r>
        <w:fldChar w:fldCharType="separate"/>
      </w:r>
      <w:r>
        <w:rPr>
          <w:rFonts w:hint="eastAsia"/>
          <w:lang w:val="en-US" w:eastAsia="zh-CN"/>
        </w:rPr>
        <w:t>第五节</w:t>
      </w:r>
      <w:r>
        <w:rPr>
          <w:rFonts w:hint="eastAsia"/>
        </w:rPr>
        <w:t>、采购组织与职责</w:t>
      </w:r>
      <w:r>
        <w:tab/>
      </w:r>
      <w:r>
        <w:fldChar w:fldCharType="begin"/>
      </w:r>
      <w:r>
        <w:instrText xml:space="preserve"> PAGEREF _Toc9195 \h </w:instrText>
      </w:r>
      <w:r>
        <w:fldChar w:fldCharType="separate"/>
      </w:r>
      <w:r>
        <w:t>17</w:t>
      </w:r>
      <w:r>
        <w:fldChar w:fldCharType="end"/>
      </w:r>
      <w:r>
        <w:fldChar w:fldCharType="end"/>
      </w:r>
    </w:p>
    <w:p w14:paraId="4B4CF574">
      <w:pPr>
        <w:pStyle w:val="12"/>
        <w:tabs>
          <w:tab w:val="right" w:leader="dot" w:pos="10466"/>
        </w:tabs>
      </w:pPr>
      <w:r>
        <w:fldChar w:fldCharType="begin"/>
      </w:r>
      <w:r>
        <w:instrText xml:space="preserve"> HYPERLINK \l _Toc12051 </w:instrText>
      </w:r>
      <w:r>
        <w:fldChar w:fldCharType="separate"/>
      </w:r>
      <w:r>
        <w:rPr>
          <w:rFonts w:hint="eastAsia"/>
          <w:lang w:val="en-US" w:eastAsia="zh-CN"/>
        </w:rPr>
        <w:t>第六节</w:t>
      </w:r>
      <w:r>
        <w:rPr>
          <w:rFonts w:hint="eastAsia"/>
        </w:rPr>
        <w:t>、采购流程</w:t>
      </w:r>
      <w:r>
        <w:tab/>
      </w:r>
      <w:r>
        <w:fldChar w:fldCharType="begin"/>
      </w:r>
      <w:r>
        <w:instrText xml:space="preserve"> PAGEREF _Toc12051 \h </w:instrText>
      </w:r>
      <w:r>
        <w:fldChar w:fldCharType="separate"/>
      </w:r>
      <w:r>
        <w:t>18</w:t>
      </w:r>
      <w:r>
        <w:fldChar w:fldCharType="end"/>
      </w:r>
      <w:r>
        <w:fldChar w:fldCharType="end"/>
      </w:r>
    </w:p>
    <w:p w14:paraId="119F052B">
      <w:pPr>
        <w:pStyle w:val="12"/>
        <w:tabs>
          <w:tab w:val="right" w:leader="dot" w:pos="10466"/>
        </w:tabs>
      </w:pPr>
      <w:r>
        <w:fldChar w:fldCharType="begin"/>
      </w:r>
      <w:r>
        <w:instrText xml:space="preserve"> HYPERLINK \l _Toc27733 </w:instrText>
      </w:r>
      <w:r>
        <w:fldChar w:fldCharType="separate"/>
      </w:r>
      <w:r>
        <w:rPr>
          <w:rFonts w:hint="eastAsia"/>
          <w:lang w:val="en-US" w:eastAsia="zh-CN"/>
        </w:rPr>
        <w:t>第七节</w:t>
      </w:r>
      <w:r>
        <w:rPr>
          <w:rFonts w:hint="eastAsia"/>
        </w:rPr>
        <w:t>、供应商管理</w:t>
      </w:r>
      <w:r>
        <w:tab/>
      </w:r>
      <w:r>
        <w:fldChar w:fldCharType="begin"/>
      </w:r>
      <w:r>
        <w:instrText xml:space="preserve"> PAGEREF _Toc27733 \h </w:instrText>
      </w:r>
      <w:r>
        <w:fldChar w:fldCharType="separate"/>
      </w:r>
      <w:r>
        <w:t>19</w:t>
      </w:r>
      <w:r>
        <w:fldChar w:fldCharType="end"/>
      </w:r>
      <w:r>
        <w:fldChar w:fldCharType="end"/>
      </w:r>
    </w:p>
    <w:p w14:paraId="615851A4">
      <w:pPr>
        <w:pStyle w:val="12"/>
        <w:tabs>
          <w:tab w:val="right" w:leader="dot" w:pos="10466"/>
        </w:tabs>
      </w:pPr>
      <w:r>
        <w:fldChar w:fldCharType="begin"/>
      </w:r>
      <w:r>
        <w:instrText xml:space="preserve"> HYPERLINK \l _Toc14148 </w:instrText>
      </w:r>
      <w:r>
        <w:fldChar w:fldCharType="separate"/>
      </w:r>
      <w:r>
        <w:rPr>
          <w:rFonts w:hint="eastAsia"/>
          <w:lang w:val="en-US" w:eastAsia="zh-CN"/>
        </w:rPr>
        <w:t>第八节</w:t>
      </w:r>
      <w:r>
        <w:rPr>
          <w:rFonts w:hint="eastAsia"/>
        </w:rPr>
        <w:t>、合同管理</w:t>
      </w:r>
      <w:r>
        <w:tab/>
      </w:r>
      <w:r>
        <w:fldChar w:fldCharType="begin"/>
      </w:r>
      <w:r>
        <w:instrText xml:space="preserve"> PAGEREF _Toc14148 \h </w:instrText>
      </w:r>
      <w:r>
        <w:fldChar w:fldCharType="separate"/>
      </w:r>
      <w:r>
        <w:t>19</w:t>
      </w:r>
      <w:r>
        <w:fldChar w:fldCharType="end"/>
      </w:r>
      <w:r>
        <w:fldChar w:fldCharType="end"/>
      </w:r>
    </w:p>
    <w:p w14:paraId="2F6F0E08">
      <w:pPr>
        <w:pStyle w:val="12"/>
        <w:tabs>
          <w:tab w:val="right" w:leader="dot" w:pos="10466"/>
        </w:tabs>
      </w:pPr>
      <w:r>
        <w:fldChar w:fldCharType="begin"/>
      </w:r>
      <w:r>
        <w:instrText xml:space="preserve"> HYPERLINK \l _Toc5390 </w:instrText>
      </w:r>
      <w:r>
        <w:fldChar w:fldCharType="separate"/>
      </w:r>
      <w:r>
        <w:rPr>
          <w:rFonts w:hint="eastAsia"/>
          <w:lang w:val="en-US" w:eastAsia="zh-CN"/>
        </w:rPr>
        <w:t>第九节</w:t>
      </w:r>
      <w:r>
        <w:rPr>
          <w:rFonts w:hint="eastAsia"/>
        </w:rPr>
        <w:t>、采购成本控制</w:t>
      </w:r>
      <w:r>
        <w:tab/>
      </w:r>
      <w:r>
        <w:fldChar w:fldCharType="begin"/>
      </w:r>
      <w:r>
        <w:instrText xml:space="preserve"> PAGEREF _Toc5390 \h </w:instrText>
      </w:r>
      <w:r>
        <w:fldChar w:fldCharType="separate"/>
      </w:r>
      <w:r>
        <w:t>20</w:t>
      </w:r>
      <w:r>
        <w:fldChar w:fldCharType="end"/>
      </w:r>
      <w:r>
        <w:fldChar w:fldCharType="end"/>
      </w:r>
    </w:p>
    <w:p w14:paraId="4D5F1026">
      <w:pPr>
        <w:pStyle w:val="12"/>
        <w:tabs>
          <w:tab w:val="right" w:leader="dot" w:pos="10466"/>
        </w:tabs>
      </w:pPr>
      <w:r>
        <w:fldChar w:fldCharType="begin"/>
      </w:r>
      <w:r>
        <w:instrText xml:space="preserve"> HYPERLINK \l _Toc3614 </w:instrText>
      </w:r>
      <w:r>
        <w:fldChar w:fldCharType="separate"/>
      </w:r>
      <w:r>
        <w:rPr>
          <w:rFonts w:hint="eastAsia"/>
          <w:lang w:val="en-US" w:eastAsia="zh-CN"/>
        </w:rPr>
        <w:t>第十节</w:t>
      </w:r>
      <w:r>
        <w:rPr>
          <w:rFonts w:hint="eastAsia"/>
        </w:rPr>
        <w:t>、采购风险控制</w:t>
      </w:r>
      <w:r>
        <w:tab/>
      </w:r>
      <w:r>
        <w:fldChar w:fldCharType="begin"/>
      </w:r>
      <w:r>
        <w:instrText xml:space="preserve"> PAGEREF _Toc3614 \h </w:instrText>
      </w:r>
      <w:r>
        <w:fldChar w:fldCharType="separate"/>
      </w:r>
      <w:r>
        <w:t>20</w:t>
      </w:r>
      <w:r>
        <w:fldChar w:fldCharType="end"/>
      </w:r>
      <w:r>
        <w:fldChar w:fldCharType="end"/>
      </w:r>
    </w:p>
    <w:p w14:paraId="3756B543">
      <w:pPr>
        <w:pStyle w:val="12"/>
        <w:tabs>
          <w:tab w:val="right" w:leader="dot" w:pos="10466"/>
        </w:tabs>
      </w:pPr>
      <w:r>
        <w:fldChar w:fldCharType="begin"/>
      </w:r>
      <w:r>
        <w:instrText xml:space="preserve"> HYPERLINK \l _Toc2423 </w:instrText>
      </w:r>
      <w:r>
        <w:fldChar w:fldCharType="separate"/>
      </w:r>
      <w:r>
        <w:rPr>
          <w:rFonts w:hint="eastAsia"/>
          <w:lang w:val="en-US" w:eastAsia="zh-CN"/>
        </w:rPr>
        <w:t>第</w:t>
      </w:r>
      <w:r>
        <w:rPr>
          <w:rFonts w:hint="eastAsia"/>
        </w:rPr>
        <w:t>十一</w:t>
      </w:r>
      <w:r>
        <w:rPr>
          <w:rFonts w:hint="eastAsia"/>
          <w:lang w:val="en-US" w:eastAsia="zh-CN"/>
        </w:rPr>
        <w:t>节</w:t>
      </w:r>
      <w:r>
        <w:rPr>
          <w:rFonts w:hint="eastAsia"/>
        </w:rPr>
        <w:t>、信息管理</w:t>
      </w:r>
      <w:r>
        <w:tab/>
      </w:r>
      <w:r>
        <w:fldChar w:fldCharType="begin"/>
      </w:r>
      <w:r>
        <w:instrText xml:space="preserve"> PAGEREF _Toc2423 \h </w:instrText>
      </w:r>
      <w:r>
        <w:fldChar w:fldCharType="separate"/>
      </w:r>
      <w:r>
        <w:t>20</w:t>
      </w:r>
      <w:r>
        <w:fldChar w:fldCharType="end"/>
      </w:r>
      <w:r>
        <w:fldChar w:fldCharType="end"/>
      </w:r>
    </w:p>
    <w:p w14:paraId="6467E70F">
      <w:pPr>
        <w:pStyle w:val="12"/>
        <w:tabs>
          <w:tab w:val="right" w:leader="dot" w:pos="10466"/>
        </w:tabs>
      </w:pPr>
      <w:r>
        <w:fldChar w:fldCharType="begin"/>
      </w:r>
      <w:r>
        <w:instrText xml:space="preserve"> HYPERLINK \l _Toc11952 </w:instrText>
      </w:r>
      <w:r>
        <w:fldChar w:fldCharType="separate"/>
      </w:r>
      <w:r>
        <w:rPr>
          <w:rFonts w:hint="eastAsia"/>
          <w:lang w:val="en-US" w:eastAsia="zh-CN"/>
        </w:rPr>
        <w:t>第</w:t>
      </w:r>
      <w:r>
        <w:rPr>
          <w:rFonts w:hint="eastAsia"/>
        </w:rPr>
        <w:t>十二</w:t>
      </w:r>
      <w:r>
        <w:rPr>
          <w:rFonts w:hint="eastAsia"/>
          <w:lang w:val="en-US" w:eastAsia="zh-CN"/>
        </w:rPr>
        <w:t>节</w:t>
      </w:r>
      <w:r>
        <w:rPr>
          <w:rFonts w:hint="eastAsia"/>
        </w:rPr>
        <w:t>、监督与考核</w:t>
      </w:r>
      <w:r>
        <w:tab/>
      </w:r>
      <w:r>
        <w:fldChar w:fldCharType="begin"/>
      </w:r>
      <w:r>
        <w:instrText xml:space="preserve"> PAGEREF _Toc11952 \h </w:instrText>
      </w:r>
      <w:r>
        <w:fldChar w:fldCharType="separate"/>
      </w:r>
      <w:r>
        <w:t>21</w:t>
      </w:r>
      <w:r>
        <w:fldChar w:fldCharType="end"/>
      </w:r>
      <w:r>
        <w:fldChar w:fldCharType="end"/>
      </w:r>
    </w:p>
    <w:p w14:paraId="479692BE">
      <w:pPr>
        <w:pStyle w:val="10"/>
        <w:tabs>
          <w:tab w:val="right" w:leader="dot" w:pos="10466"/>
        </w:tabs>
      </w:pPr>
      <w:r>
        <w:fldChar w:fldCharType="begin"/>
      </w:r>
      <w:r>
        <w:instrText xml:space="preserve"> HYPERLINK \l _Toc17766 </w:instrText>
      </w:r>
      <w:r>
        <w:fldChar w:fldCharType="separate"/>
      </w:r>
      <w:r>
        <w:rPr>
          <w:rFonts w:hint="eastAsia"/>
          <w:lang w:val="en-US" w:eastAsia="zh-CN"/>
        </w:rPr>
        <w:t>第四章、施工平面布置规划</w:t>
      </w:r>
      <w:r>
        <w:tab/>
      </w:r>
      <w:r>
        <w:fldChar w:fldCharType="begin"/>
      </w:r>
      <w:r>
        <w:instrText xml:space="preserve"> PAGEREF _Toc17766 \h </w:instrText>
      </w:r>
      <w:r>
        <w:fldChar w:fldCharType="separate"/>
      </w:r>
      <w:r>
        <w:t>22</w:t>
      </w:r>
      <w:r>
        <w:fldChar w:fldCharType="end"/>
      </w:r>
      <w:r>
        <w:fldChar w:fldCharType="end"/>
      </w:r>
    </w:p>
    <w:p w14:paraId="1259CA76">
      <w:pPr>
        <w:pStyle w:val="12"/>
        <w:tabs>
          <w:tab w:val="right" w:leader="dot" w:pos="10466"/>
        </w:tabs>
      </w:pPr>
      <w:r>
        <w:fldChar w:fldCharType="begin"/>
      </w:r>
      <w:r>
        <w:instrText xml:space="preserve"> HYPERLINK \l _Toc18834 </w:instrText>
      </w:r>
      <w:r>
        <w:fldChar w:fldCharType="separate"/>
      </w:r>
      <w:r>
        <w:rPr>
          <w:rFonts w:hint="eastAsia"/>
          <w:lang w:val="en-US" w:eastAsia="zh-CN"/>
        </w:rPr>
        <w:t>第一节、规划概述</w:t>
      </w:r>
      <w:r>
        <w:tab/>
      </w:r>
      <w:r>
        <w:fldChar w:fldCharType="begin"/>
      </w:r>
      <w:r>
        <w:instrText xml:space="preserve"> PAGEREF _Toc18834 \h </w:instrText>
      </w:r>
      <w:r>
        <w:fldChar w:fldCharType="separate"/>
      </w:r>
      <w:r>
        <w:t>22</w:t>
      </w:r>
      <w:r>
        <w:fldChar w:fldCharType="end"/>
      </w:r>
      <w:r>
        <w:fldChar w:fldCharType="end"/>
      </w:r>
    </w:p>
    <w:p w14:paraId="50CE4D20">
      <w:pPr>
        <w:pStyle w:val="12"/>
        <w:tabs>
          <w:tab w:val="right" w:leader="dot" w:pos="10466"/>
        </w:tabs>
      </w:pPr>
      <w:r>
        <w:fldChar w:fldCharType="begin"/>
      </w:r>
      <w:r>
        <w:instrText xml:space="preserve"> HYPERLINK \l _Toc4560 </w:instrText>
      </w:r>
      <w:r>
        <w:fldChar w:fldCharType="separate"/>
      </w:r>
      <w:r>
        <w:rPr>
          <w:rFonts w:hint="eastAsia"/>
          <w:lang w:val="en-US" w:eastAsia="zh-CN"/>
        </w:rPr>
        <w:t>第二节、布置原则</w:t>
      </w:r>
      <w:r>
        <w:tab/>
      </w:r>
      <w:r>
        <w:fldChar w:fldCharType="begin"/>
      </w:r>
      <w:r>
        <w:instrText xml:space="preserve"> PAGEREF _Toc4560 \h </w:instrText>
      </w:r>
      <w:r>
        <w:fldChar w:fldCharType="separate"/>
      </w:r>
      <w:r>
        <w:t>22</w:t>
      </w:r>
      <w:r>
        <w:fldChar w:fldCharType="end"/>
      </w:r>
      <w:r>
        <w:fldChar w:fldCharType="end"/>
      </w:r>
    </w:p>
    <w:p w14:paraId="5AD20B03">
      <w:pPr>
        <w:pStyle w:val="12"/>
        <w:tabs>
          <w:tab w:val="right" w:leader="dot" w:pos="10466"/>
        </w:tabs>
      </w:pPr>
      <w:r>
        <w:fldChar w:fldCharType="begin"/>
      </w:r>
      <w:r>
        <w:instrText xml:space="preserve"> HYPERLINK \l _Toc29125 </w:instrText>
      </w:r>
      <w:r>
        <w:fldChar w:fldCharType="separate"/>
      </w:r>
      <w:r>
        <w:rPr>
          <w:rFonts w:hint="eastAsia"/>
          <w:lang w:val="en-US" w:eastAsia="zh-CN"/>
        </w:rPr>
        <w:t>第三节、布置内容</w:t>
      </w:r>
      <w:r>
        <w:tab/>
      </w:r>
      <w:r>
        <w:fldChar w:fldCharType="begin"/>
      </w:r>
      <w:r>
        <w:instrText xml:space="preserve"> PAGEREF _Toc29125 \h </w:instrText>
      </w:r>
      <w:r>
        <w:fldChar w:fldCharType="separate"/>
      </w:r>
      <w:r>
        <w:t>22</w:t>
      </w:r>
      <w:r>
        <w:fldChar w:fldCharType="end"/>
      </w:r>
      <w:r>
        <w:fldChar w:fldCharType="end"/>
      </w:r>
    </w:p>
    <w:p w14:paraId="61D72A3D">
      <w:pPr>
        <w:pStyle w:val="12"/>
        <w:tabs>
          <w:tab w:val="right" w:leader="dot" w:pos="10466"/>
        </w:tabs>
      </w:pPr>
      <w:r>
        <w:fldChar w:fldCharType="begin"/>
      </w:r>
      <w:r>
        <w:instrText xml:space="preserve"> HYPERLINK \l _Toc17166 </w:instrText>
      </w:r>
      <w:r>
        <w:fldChar w:fldCharType="separate"/>
      </w:r>
      <w:r>
        <w:rPr>
          <w:rFonts w:hint="eastAsia"/>
          <w:lang w:val="en-US" w:eastAsia="zh-CN"/>
        </w:rPr>
        <w:t>第四节、分区规划</w:t>
      </w:r>
      <w:r>
        <w:tab/>
      </w:r>
      <w:r>
        <w:fldChar w:fldCharType="begin"/>
      </w:r>
      <w:r>
        <w:instrText xml:space="preserve"> PAGEREF _Toc17166 \h </w:instrText>
      </w:r>
      <w:r>
        <w:fldChar w:fldCharType="separate"/>
      </w:r>
      <w:r>
        <w:t>24</w:t>
      </w:r>
      <w:r>
        <w:fldChar w:fldCharType="end"/>
      </w:r>
      <w:r>
        <w:fldChar w:fldCharType="end"/>
      </w:r>
    </w:p>
    <w:p w14:paraId="3818C840">
      <w:pPr>
        <w:pStyle w:val="12"/>
        <w:tabs>
          <w:tab w:val="right" w:leader="dot" w:pos="10466"/>
        </w:tabs>
      </w:pPr>
      <w:r>
        <w:fldChar w:fldCharType="begin"/>
      </w:r>
      <w:r>
        <w:instrText xml:space="preserve"> HYPERLINK \l _Toc27175 </w:instrText>
      </w:r>
      <w:r>
        <w:fldChar w:fldCharType="separate"/>
      </w:r>
      <w:r>
        <w:rPr>
          <w:rFonts w:hint="eastAsia"/>
          <w:lang w:val="en-US" w:eastAsia="zh-CN"/>
        </w:rPr>
        <w:t>第五节、布置步骤</w:t>
      </w:r>
      <w:r>
        <w:tab/>
      </w:r>
      <w:r>
        <w:fldChar w:fldCharType="begin"/>
      </w:r>
      <w:r>
        <w:instrText xml:space="preserve"> PAGEREF _Toc27175 \h </w:instrText>
      </w:r>
      <w:r>
        <w:fldChar w:fldCharType="separate"/>
      </w:r>
      <w:r>
        <w:t>24</w:t>
      </w:r>
      <w:r>
        <w:fldChar w:fldCharType="end"/>
      </w:r>
      <w:r>
        <w:fldChar w:fldCharType="end"/>
      </w:r>
    </w:p>
    <w:p w14:paraId="74515289">
      <w:pPr>
        <w:pStyle w:val="12"/>
        <w:tabs>
          <w:tab w:val="right" w:leader="dot" w:pos="10466"/>
        </w:tabs>
      </w:pPr>
      <w:r>
        <w:fldChar w:fldCharType="begin"/>
      </w:r>
      <w:r>
        <w:instrText xml:space="preserve"> HYPERLINK \l _Toc926 </w:instrText>
      </w:r>
      <w:r>
        <w:fldChar w:fldCharType="separate"/>
      </w:r>
      <w:r>
        <w:rPr>
          <w:rFonts w:hint="eastAsia"/>
          <w:lang w:val="en-US" w:eastAsia="zh-CN"/>
        </w:rPr>
        <w:t>第六节、管理措施</w:t>
      </w:r>
      <w:r>
        <w:tab/>
      </w:r>
      <w:r>
        <w:fldChar w:fldCharType="begin"/>
      </w:r>
      <w:r>
        <w:instrText xml:space="preserve"> PAGEREF _Toc926 \h </w:instrText>
      </w:r>
      <w:r>
        <w:fldChar w:fldCharType="separate"/>
      </w:r>
      <w:r>
        <w:t>24</w:t>
      </w:r>
      <w:r>
        <w:fldChar w:fldCharType="end"/>
      </w:r>
      <w:r>
        <w:fldChar w:fldCharType="end"/>
      </w:r>
    </w:p>
    <w:p w14:paraId="63FB641F">
      <w:pPr>
        <w:pStyle w:val="12"/>
        <w:tabs>
          <w:tab w:val="right" w:leader="dot" w:pos="10466"/>
        </w:tabs>
      </w:pPr>
      <w:r>
        <w:fldChar w:fldCharType="begin"/>
      </w:r>
      <w:r>
        <w:instrText xml:space="preserve"> HYPERLINK \l _Toc25937 </w:instrText>
      </w:r>
      <w:r>
        <w:fldChar w:fldCharType="separate"/>
      </w:r>
      <w:r>
        <w:rPr>
          <w:rFonts w:hint="eastAsia"/>
          <w:lang w:val="en-US" w:eastAsia="zh-CN"/>
        </w:rPr>
        <w:t>第七节、附图要求</w:t>
      </w:r>
      <w:r>
        <w:tab/>
      </w:r>
      <w:r>
        <w:fldChar w:fldCharType="begin"/>
      </w:r>
      <w:r>
        <w:instrText xml:space="preserve"> PAGEREF _Toc25937 \h </w:instrText>
      </w:r>
      <w:r>
        <w:fldChar w:fldCharType="separate"/>
      </w:r>
      <w:r>
        <w:t>25</w:t>
      </w:r>
      <w:r>
        <w:fldChar w:fldCharType="end"/>
      </w:r>
      <w:r>
        <w:fldChar w:fldCharType="end"/>
      </w:r>
    </w:p>
    <w:p w14:paraId="26AE4D7A">
      <w:pPr>
        <w:pStyle w:val="10"/>
        <w:tabs>
          <w:tab w:val="right" w:leader="dot" w:pos="10466"/>
        </w:tabs>
      </w:pPr>
      <w:r>
        <w:fldChar w:fldCharType="begin"/>
      </w:r>
      <w:r>
        <w:instrText xml:space="preserve"> HYPERLINK \l _Toc9535 </w:instrText>
      </w:r>
      <w:r>
        <w:fldChar w:fldCharType="separate"/>
      </w:r>
      <w:r>
        <w:rPr>
          <w:rFonts w:hint="eastAsia"/>
        </w:rPr>
        <w:t>第</w:t>
      </w:r>
      <w:r>
        <w:rPr>
          <w:rFonts w:hint="eastAsia"/>
          <w:lang w:val="en-US" w:eastAsia="zh-CN"/>
        </w:rPr>
        <w:t>五</w:t>
      </w:r>
      <w:r>
        <w:rPr>
          <w:rFonts w:hint="eastAsia"/>
        </w:rPr>
        <w:t>章、工程施工管理</w:t>
      </w:r>
      <w:r>
        <w:rPr>
          <w:rFonts w:hint="eastAsia"/>
          <w:lang w:val="en-US" w:eastAsia="zh-CN"/>
        </w:rPr>
        <w:t>方案</w:t>
      </w:r>
      <w:r>
        <w:tab/>
      </w:r>
      <w:r>
        <w:fldChar w:fldCharType="begin"/>
      </w:r>
      <w:r>
        <w:instrText xml:space="preserve"> PAGEREF _Toc9535 \h </w:instrText>
      </w:r>
      <w:r>
        <w:fldChar w:fldCharType="separate"/>
      </w:r>
      <w:r>
        <w:t>26</w:t>
      </w:r>
      <w:r>
        <w:fldChar w:fldCharType="end"/>
      </w:r>
      <w:r>
        <w:fldChar w:fldCharType="end"/>
      </w:r>
    </w:p>
    <w:p w14:paraId="4450882F">
      <w:pPr>
        <w:pStyle w:val="12"/>
        <w:tabs>
          <w:tab w:val="right" w:leader="dot" w:pos="10466"/>
        </w:tabs>
      </w:pPr>
      <w:r>
        <w:fldChar w:fldCharType="begin"/>
      </w:r>
      <w:r>
        <w:instrText xml:space="preserve"> HYPERLINK \l _Toc12677 </w:instrText>
      </w:r>
      <w:r>
        <w:fldChar w:fldCharType="separate"/>
      </w:r>
      <w:r>
        <w:rPr>
          <w:rFonts w:hint="eastAsia"/>
        </w:rPr>
        <w:t>第一节、</w:t>
      </w:r>
      <w:r>
        <w:t>安全文明作业管理制度</w:t>
      </w:r>
      <w:r>
        <w:tab/>
      </w:r>
      <w:r>
        <w:fldChar w:fldCharType="begin"/>
      </w:r>
      <w:r>
        <w:instrText xml:space="preserve"> PAGEREF _Toc12677 \h </w:instrText>
      </w:r>
      <w:r>
        <w:fldChar w:fldCharType="separate"/>
      </w:r>
      <w:r>
        <w:t>26</w:t>
      </w:r>
      <w:r>
        <w:fldChar w:fldCharType="end"/>
      </w:r>
      <w:r>
        <w:fldChar w:fldCharType="end"/>
      </w:r>
    </w:p>
    <w:p w14:paraId="7D3C1E49">
      <w:pPr>
        <w:pStyle w:val="7"/>
        <w:tabs>
          <w:tab w:val="right" w:leader="dot" w:pos="10466"/>
        </w:tabs>
      </w:pPr>
      <w:r>
        <w:fldChar w:fldCharType="begin"/>
      </w:r>
      <w:r>
        <w:instrText xml:space="preserve"> HYPERLINK \l _Toc13367 </w:instrText>
      </w:r>
      <w:r>
        <w:fldChar w:fldCharType="separate"/>
      </w:r>
      <w:r>
        <w:rPr>
          <w:rFonts w:hint="eastAsia"/>
        </w:rPr>
        <w:t>一、安全目标管理措施</w:t>
      </w:r>
      <w:r>
        <w:tab/>
      </w:r>
      <w:r>
        <w:fldChar w:fldCharType="begin"/>
      </w:r>
      <w:r>
        <w:instrText xml:space="preserve"> PAGEREF _Toc13367 \h </w:instrText>
      </w:r>
      <w:r>
        <w:fldChar w:fldCharType="separate"/>
      </w:r>
      <w:r>
        <w:t>26</w:t>
      </w:r>
      <w:r>
        <w:fldChar w:fldCharType="end"/>
      </w:r>
      <w:r>
        <w:fldChar w:fldCharType="end"/>
      </w:r>
    </w:p>
    <w:p w14:paraId="635EB732">
      <w:pPr>
        <w:pStyle w:val="7"/>
        <w:tabs>
          <w:tab w:val="right" w:leader="dot" w:pos="10466"/>
        </w:tabs>
      </w:pPr>
      <w:r>
        <w:fldChar w:fldCharType="begin"/>
      </w:r>
      <w:r>
        <w:instrText xml:space="preserve"> HYPERLINK \l _Toc21967 </w:instrText>
      </w:r>
      <w:r>
        <w:fldChar w:fldCharType="separate"/>
      </w:r>
      <w:r>
        <w:rPr>
          <w:rFonts w:hint="eastAsia"/>
        </w:rPr>
        <w:t>二、安全文明管理制度</w:t>
      </w:r>
      <w:r>
        <w:tab/>
      </w:r>
      <w:r>
        <w:fldChar w:fldCharType="begin"/>
      </w:r>
      <w:r>
        <w:instrText xml:space="preserve"> PAGEREF _Toc21967 \h </w:instrText>
      </w:r>
      <w:r>
        <w:fldChar w:fldCharType="separate"/>
      </w:r>
      <w:r>
        <w:t>28</w:t>
      </w:r>
      <w:r>
        <w:fldChar w:fldCharType="end"/>
      </w:r>
      <w:r>
        <w:fldChar w:fldCharType="end"/>
      </w:r>
    </w:p>
    <w:p w14:paraId="46FF8EC6">
      <w:pPr>
        <w:pStyle w:val="7"/>
        <w:tabs>
          <w:tab w:val="right" w:leader="dot" w:pos="10466"/>
        </w:tabs>
      </w:pPr>
      <w:r>
        <w:fldChar w:fldCharType="begin"/>
      </w:r>
      <w:r>
        <w:instrText xml:space="preserve"> HYPERLINK \l _Toc7985 </w:instrText>
      </w:r>
      <w:r>
        <w:fldChar w:fldCharType="separate"/>
      </w:r>
      <w:r>
        <w:rPr>
          <w:rFonts w:hint="eastAsia"/>
        </w:rPr>
        <w:t>三、健康危害因素及管控措施</w:t>
      </w:r>
      <w:r>
        <w:tab/>
      </w:r>
      <w:r>
        <w:fldChar w:fldCharType="begin"/>
      </w:r>
      <w:r>
        <w:instrText xml:space="preserve"> PAGEREF _Toc7985 \h </w:instrText>
      </w:r>
      <w:r>
        <w:fldChar w:fldCharType="separate"/>
      </w:r>
      <w:r>
        <w:t>33</w:t>
      </w:r>
      <w:r>
        <w:fldChar w:fldCharType="end"/>
      </w:r>
      <w:r>
        <w:fldChar w:fldCharType="end"/>
      </w:r>
    </w:p>
    <w:p w14:paraId="79FD407C">
      <w:pPr>
        <w:pStyle w:val="7"/>
        <w:tabs>
          <w:tab w:val="right" w:leader="dot" w:pos="10466"/>
        </w:tabs>
      </w:pPr>
      <w:r>
        <w:fldChar w:fldCharType="begin"/>
      </w:r>
      <w:r>
        <w:instrText xml:space="preserve"> HYPERLINK \l _Toc16313 </w:instrText>
      </w:r>
      <w:r>
        <w:fldChar w:fldCharType="separate"/>
      </w:r>
      <w:r>
        <w:rPr>
          <w:rFonts w:hint="eastAsia"/>
        </w:rPr>
        <w:t>四、</w:t>
      </w:r>
      <w:r>
        <w:t>项目风险预测与防范及事故应急预案</w:t>
      </w:r>
      <w:r>
        <w:tab/>
      </w:r>
      <w:r>
        <w:fldChar w:fldCharType="begin"/>
      </w:r>
      <w:r>
        <w:instrText xml:space="preserve"> PAGEREF _Toc16313 \h </w:instrText>
      </w:r>
      <w:r>
        <w:fldChar w:fldCharType="separate"/>
      </w:r>
      <w:r>
        <w:t>35</w:t>
      </w:r>
      <w:r>
        <w:fldChar w:fldCharType="end"/>
      </w:r>
      <w:r>
        <w:fldChar w:fldCharType="end"/>
      </w:r>
    </w:p>
    <w:p w14:paraId="7189E105">
      <w:pPr>
        <w:pStyle w:val="7"/>
        <w:tabs>
          <w:tab w:val="right" w:leader="dot" w:pos="10466"/>
        </w:tabs>
      </w:pPr>
      <w:r>
        <w:fldChar w:fldCharType="begin"/>
      </w:r>
      <w:r>
        <w:instrText xml:space="preserve"> HYPERLINK \l _Toc20933 </w:instrText>
      </w:r>
      <w:r>
        <w:fldChar w:fldCharType="separate"/>
      </w:r>
      <w:r>
        <w:rPr>
          <w:rFonts w:hint="eastAsia"/>
        </w:rPr>
        <w:t>五、施工机械安全防护措施</w:t>
      </w:r>
      <w:r>
        <w:tab/>
      </w:r>
      <w:r>
        <w:fldChar w:fldCharType="begin"/>
      </w:r>
      <w:r>
        <w:instrText xml:space="preserve"> PAGEREF _Toc20933 \h </w:instrText>
      </w:r>
      <w:r>
        <w:fldChar w:fldCharType="separate"/>
      </w:r>
      <w:r>
        <w:t>39</w:t>
      </w:r>
      <w:r>
        <w:fldChar w:fldCharType="end"/>
      </w:r>
      <w:r>
        <w:fldChar w:fldCharType="end"/>
      </w:r>
    </w:p>
    <w:p w14:paraId="09FF66F8">
      <w:pPr>
        <w:pStyle w:val="7"/>
        <w:tabs>
          <w:tab w:val="right" w:leader="dot" w:pos="10466"/>
        </w:tabs>
      </w:pPr>
      <w:r>
        <w:fldChar w:fldCharType="begin"/>
      </w:r>
      <w:r>
        <w:instrText xml:space="preserve"> HYPERLINK \l _Toc17319 </w:instrText>
      </w:r>
      <w:r>
        <w:fldChar w:fldCharType="separate"/>
      </w:r>
      <w:r>
        <w:rPr>
          <w:rFonts w:hint="eastAsia"/>
        </w:rPr>
        <w:t>六、消防预防方案及处理预案</w:t>
      </w:r>
      <w:r>
        <w:tab/>
      </w:r>
      <w:r>
        <w:fldChar w:fldCharType="begin"/>
      </w:r>
      <w:r>
        <w:instrText xml:space="preserve"> PAGEREF _Toc17319 \h </w:instrText>
      </w:r>
      <w:r>
        <w:fldChar w:fldCharType="separate"/>
      </w:r>
      <w:r>
        <w:t>42</w:t>
      </w:r>
      <w:r>
        <w:fldChar w:fldCharType="end"/>
      </w:r>
      <w:r>
        <w:fldChar w:fldCharType="end"/>
      </w:r>
    </w:p>
    <w:p w14:paraId="2C5E78E9">
      <w:pPr>
        <w:pStyle w:val="7"/>
        <w:tabs>
          <w:tab w:val="right" w:leader="dot" w:pos="10466"/>
        </w:tabs>
      </w:pPr>
      <w:r>
        <w:fldChar w:fldCharType="begin"/>
      </w:r>
      <w:r>
        <w:instrText xml:space="preserve"> HYPERLINK \l _Toc11556 </w:instrText>
      </w:r>
      <w:r>
        <w:fldChar w:fldCharType="separate"/>
      </w:r>
      <w:r>
        <w:rPr>
          <w:rFonts w:hint="eastAsia"/>
        </w:rPr>
        <w:t>七、治安联防方案及处理预案</w:t>
      </w:r>
      <w:r>
        <w:tab/>
      </w:r>
      <w:r>
        <w:fldChar w:fldCharType="begin"/>
      </w:r>
      <w:r>
        <w:instrText xml:space="preserve"> PAGEREF _Toc11556 \h </w:instrText>
      </w:r>
      <w:r>
        <w:fldChar w:fldCharType="separate"/>
      </w:r>
      <w:r>
        <w:t>44</w:t>
      </w:r>
      <w:r>
        <w:fldChar w:fldCharType="end"/>
      </w:r>
      <w:r>
        <w:fldChar w:fldCharType="end"/>
      </w:r>
    </w:p>
    <w:p w14:paraId="57136B87">
      <w:pPr>
        <w:pStyle w:val="7"/>
        <w:tabs>
          <w:tab w:val="right" w:leader="dot" w:pos="10466"/>
        </w:tabs>
      </w:pPr>
      <w:r>
        <w:fldChar w:fldCharType="begin"/>
      </w:r>
      <w:r>
        <w:instrText xml:space="preserve"> HYPERLINK \l _Toc19890 </w:instrText>
      </w:r>
      <w:r>
        <w:fldChar w:fldCharType="separate"/>
      </w:r>
      <w:r>
        <w:rPr>
          <w:rFonts w:hint="eastAsia"/>
        </w:rPr>
        <w:t>八、施工现场伤亡事故预防方案及处理预案</w:t>
      </w:r>
      <w:r>
        <w:tab/>
      </w:r>
      <w:r>
        <w:fldChar w:fldCharType="begin"/>
      </w:r>
      <w:r>
        <w:instrText xml:space="preserve"> PAGEREF _Toc19890 \h </w:instrText>
      </w:r>
      <w:r>
        <w:fldChar w:fldCharType="separate"/>
      </w:r>
      <w:r>
        <w:t>44</w:t>
      </w:r>
      <w:r>
        <w:fldChar w:fldCharType="end"/>
      </w:r>
      <w:r>
        <w:fldChar w:fldCharType="end"/>
      </w:r>
    </w:p>
    <w:p w14:paraId="62F1C8D5">
      <w:pPr>
        <w:pStyle w:val="7"/>
        <w:tabs>
          <w:tab w:val="right" w:leader="dot" w:pos="10466"/>
        </w:tabs>
      </w:pPr>
      <w:r>
        <w:fldChar w:fldCharType="begin"/>
      </w:r>
      <w:r>
        <w:instrText xml:space="preserve"> HYPERLINK \l _Toc17834 </w:instrText>
      </w:r>
      <w:r>
        <w:fldChar w:fldCharType="separate"/>
      </w:r>
      <w:r>
        <w:rPr>
          <w:rFonts w:hint="eastAsia"/>
        </w:rPr>
        <w:t>九、防雨、防雷、防火保证措施</w:t>
      </w:r>
      <w:r>
        <w:tab/>
      </w:r>
      <w:r>
        <w:fldChar w:fldCharType="begin"/>
      </w:r>
      <w:r>
        <w:instrText xml:space="preserve"> PAGEREF _Toc17834 \h </w:instrText>
      </w:r>
      <w:r>
        <w:fldChar w:fldCharType="separate"/>
      </w:r>
      <w:r>
        <w:t>45</w:t>
      </w:r>
      <w:r>
        <w:fldChar w:fldCharType="end"/>
      </w:r>
      <w:r>
        <w:fldChar w:fldCharType="end"/>
      </w:r>
    </w:p>
    <w:p w14:paraId="5AD405BD">
      <w:pPr>
        <w:pStyle w:val="7"/>
        <w:tabs>
          <w:tab w:val="right" w:leader="dot" w:pos="10466"/>
        </w:tabs>
      </w:pPr>
      <w:r>
        <w:fldChar w:fldCharType="begin"/>
      </w:r>
      <w:r>
        <w:instrText xml:space="preserve"> HYPERLINK \l _Toc16073 </w:instrText>
      </w:r>
      <w:r>
        <w:fldChar w:fldCharType="separate"/>
      </w:r>
      <w:r>
        <w:rPr>
          <w:rFonts w:hint="eastAsia"/>
        </w:rPr>
        <w:t>十、安全事故应急救援</w:t>
      </w:r>
      <w:r>
        <w:tab/>
      </w:r>
      <w:r>
        <w:fldChar w:fldCharType="begin"/>
      </w:r>
      <w:r>
        <w:instrText xml:space="preserve"> PAGEREF _Toc16073 \h </w:instrText>
      </w:r>
      <w:r>
        <w:fldChar w:fldCharType="separate"/>
      </w:r>
      <w:r>
        <w:t>50</w:t>
      </w:r>
      <w:r>
        <w:fldChar w:fldCharType="end"/>
      </w:r>
      <w:r>
        <w:fldChar w:fldCharType="end"/>
      </w:r>
    </w:p>
    <w:p w14:paraId="72424D13">
      <w:pPr>
        <w:pStyle w:val="7"/>
        <w:tabs>
          <w:tab w:val="right" w:leader="dot" w:pos="10466"/>
        </w:tabs>
      </w:pPr>
      <w:r>
        <w:fldChar w:fldCharType="begin"/>
      </w:r>
      <w:r>
        <w:instrText xml:space="preserve"> HYPERLINK \l _Toc9860 </w:instrText>
      </w:r>
      <w:r>
        <w:fldChar w:fldCharType="separate"/>
      </w:r>
      <w:r>
        <w:rPr>
          <w:rFonts w:hint="eastAsia"/>
        </w:rPr>
        <w:t>十一、</w:t>
      </w:r>
      <w:r>
        <w:t>文明施工的管理体系与措施</w:t>
      </w:r>
      <w:r>
        <w:tab/>
      </w:r>
      <w:r>
        <w:fldChar w:fldCharType="begin"/>
      </w:r>
      <w:r>
        <w:instrText xml:space="preserve"> PAGEREF _Toc9860 \h </w:instrText>
      </w:r>
      <w:r>
        <w:fldChar w:fldCharType="separate"/>
      </w:r>
      <w:r>
        <w:t>53</w:t>
      </w:r>
      <w:r>
        <w:fldChar w:fldCharType="end"/>
      </w:r>
      <w:r>
        <w:fldChar w:fldCharType="end"/>
      </w:r>
    </w:p>
    <w:p w14:paraId="32316FF1">
      <w:pPr>
        <w:pStyle w:val="7"/>
        <w:tabs>
          <w:tab w:val="right" w:leader="dot" w:pos="10466"/>
        </w:tabs>
      </w:pPr>
      <w:r>
        <w:fldChar w:fldCharType="begin"/>
      </w:r>
      <w:r>
        <w:instrText xml:space="preserve"> HYPERLINK \l _Toc21370 </w:instrText>
      </w:r>
      <w:r>
        <w:fldChar w:fldCharType="separate"/>
      </w:r>
      <w:r>
        <w:rPr>
          <w:rFonts w:hint="eastAsia"/>
        </w:rPr>
        <w:t>十二、</w:t>
      </w:r>
      <w:r>
        <w:t>文物保护保证体系及保证措施</w:t>
      </w:r>
      <w:r>
        <w:tab/>
      </w:r>
      <w:r>
        <w:fldChar w:fldCharType="begin"/>
      </w:r>
      <w:r>
        <w:instrText xml:space="preserve"> PAGEREF _Toc21370 \h </w:instrText>
      </w:r>
      <w:r>
        <w:fldChar w:fldCharType="separate"/>
      </w:r>
      <w:r>
        <w:t>65</w:t>
      </w:r>
      <w:r>
        <w:fldChar w:fldCharType="end"/>
      </w:r>
      <w:r>
        <w:fldChar w:fldCharType="end"/>
      </w:r>
    </w:p>
    <w:p w14:paraId="773BA5F5">
      <w:pPr>
        <w:pStyle w:val="7"/>
        <w:tabs>
          <w:tab w:val="right" w:leader="dot" w:pos="10466"/>
        </w:tabs>
      </w:pPr>
      <w:r>
        <w:fldChar w:fldCharType="begin"/>
      </w:r>
      <w:r>
        <w:instrText xml:space="preserve"> HYPERLINK \l _Toc16893 </w:instrText>
      </w:r>
      <w:r>
        <w:fldChar w:fldCharType="separate"/>
      </w:r>
      <w:r>
        <w:rPr>
          <w:rFonts w:hint="eastAsia"/>
        </w:rPr>
        <w:t>十三、绿色施工保障措施</w:t>
      </w:r>
      <w:r>
        <w:tab/>
      </w:r>
      <w:r>
        <w:fldChar w:fldCharType="begin"/>
      </w:r>
      <w:r>
        <w:instrText xml:space="preserve"> PAGEREF _Toc16893 \h </w:instrText>
      </w:r>
      <w:r>
        <w:fldChar w:fldCharType="separate"/>
      </w:r>
      <w:r>
        <w:t>65</w:t>
      </w:r>
      <w:r>
        <w:fldChar w:fldCharType="end"/>
      </w:r>
      <w:r>
        <w:fldChar w:fldCharType="end"/>
      </w:r>
    </w:p>
    <w:p w14:paraId="610B197F">
      <w:pPr>
        <w:pStyle w:val="7"/>
        <w:tabs>
          <w:tab w:val="right" w:leader="dot" w:pos="10466"/>
        </w:tabs>
      </w:pPr>
      <w:r>
        <w:fldChar w:fldCharType="begin"/>
      </w:r>
      <w:r>
        <w:instrText xml:space="preserve"> HYPERLINK \l _Toc20912 </w:instrText>
      </w:r>
      <w:r>
        <w:fldChar w:fldCharType="separate"/>
      </w:r>
      <w:r>
        <w:rPr>
          <w:rFonts w:hint="eastAsia"/>
        </w:rPr>
        <w:t>十四、文明施工管理措施及分片管理</w:t>
      </w:r>
      <w:r>
        <w:tab/>
      </w:r>
      <w:r>
        <w:fldChar w:fldCharType="begin"/>
      </w:r>
      <w:r>
        <w:instrText xml:space="preserve"> PAGEREF _Toc20912 \h </w:instrText>
      </w:r>
      <w:r>
        <w:fldChar w:fldCharType="separate"/>
      </w:r>
      <w:r>
        <w:t>72</w:t>
      </w:r>
      <w:r>
        <w:fldChar w:fldCharType="end"/>
      </w:r>
      <w:r>
        <w:fldChar w:fldCharType="end"/>
      </w:r>
    </w:p>
    <w:p w14:paraId="288C2142">
      <w:pPr>
        <w:pStyle w:val="7"/>
        <w:tabs>
          <w:tab w:val="right" w:leader="dot" w:pos="10466"/>
        </w:tabs>
      </w:pPr>
      <w:r>
        <w:fldChar w:fldCharType="begin"/>
      </w:r>
      <w:r>
        <w:instrText xml:space="preserve"> HYPERLINK \l _Toc12030 </w:instrText>
      </w:r>
      <w:r>
        <w:fldChar w:fldCharType="separate"/>
      </w:r>
      <w:r>
        <w:rPr>
          <w:rFonts w:hint="eastAsia"/>
        </w:rPr>
        <w:t>十五、安全文明施工标准化措施</w:t>
      </w:r>
      <w:r>
        <w:tab/>
      </w:r>
      <w:r>
        <w:fldChar w:fldCharType="begin"/>
      </w:r>
      <w:r>
        <w:instrText xml:space="preserve"> PAGEREF _Toc12030 \h </w:instrText>
      </w:r>
      <w:r>
        <w:fldChar w:fldCharType="separate"/>
      </w:r>
      <w:r>
        <w:t>75</w:t>
      </w:r>
      <w:r>
        <w:fldChar w:fldCharType="end"/>
      </w:r>
      <w:r>
        <w:fldChar w:fldCharType="end"/>
      </w:r>
    </w:p>
    <w:p w14:paraId="4D86C7B5">
      <w:pPr>
        <w:pStyle w:val="12"/>
        <w:tabs>
          <w:tab w:val="right" w:leader="dot" w:pos="10466"/>
        </w:tabs>
      </w:pPr>
      <w:r>
        <w:fldChar w:fldCharType="begin"/>
      </w:r>
      <w:r>
        <w:instrText xml:space="preserve"> HYPERLINK \l _Toc32614 </w:instrText>
      </w:r>
      <w:r>
        <w:fldChar w:fldCharType="separate"/>
      </w:r>
      <w:r>
        <w:rPr>
          <w:rFonts w:hint="eastAsia"/>
        </w:rPr>
        <w:t>第二节、</w:t>
      </w:r>
      <w:r>
        <w:t>工程质量控制制度</w:t>
      </w:r>
      <w:r>
        <w:tab/>
      </w:r>
      <w:r>
        <w:fldChar w:fldCharType="begin"/>
      </w:r>
      <w:r>
        <w:instrText xml:space="preserve"> PAGEREF _Toc32614 \h </w:instrText>
      </w:r>
      <w:r>
        <w:fldChar w:fldCharType="separate"/>
      </w:r>
      <w:r>
        <w:t>89</w:t>
      </w:r>
      <w:r>
        <w:fldChar w:fldCharType="end"/>
      </w:r>
      <w:r>
        <w:fldChar w:fldCharType="end"/>
      </w:r>
    </w:p>
    <w:p w14:paraId="5FCB43A7">
      <w:pPr>
        <w:pStyle w:val="7"/>
        <w:tabs>
          <w:tab w:val="right" w:leader="dot" w:pos="10466"/>
        </w:tabs>
      </w:pPr>
      <w:r>
        <w:fldChar w:fldCharType="begin"/>
      </w:r>
      <w:r>
        <w:instrText xml:space="preserve"> HYPERLINK \l _Toc7478 </w:instrText>
      </w:r>
      <w:r>
        <w:fldChar w:fldCharType="separate"/>
      </w:r>
      <w:r>
        <w:rPr>
          <w:rFonts w:hint="eastAsia"/>
        </w:rPr>
        <w:t>一、质量管理体系与措施</w:t>
      </w:r>
      <w:r>
        <w:tab/>
      </w:r>
      <w:r>
        <w:fldChar w:fldCharType="begin"/>
      </w:r>
      <w:r>
        <w:instrText xml:space="preserve"> PAGEREF _Toc7478 \h </w:instrText>
      </w:r>
      <w:r>
        <w:fldChar w:fldCharType="separate"/>
      </w:r>
      <w:r>
        <w:t>89</w:t>
      </w:r>
      <w:r>
        <w:fldChar w:fldCharType="end"/>
      </w:r>
      <w:r>
        <w:fldChar w:fldCharType="end"/>
      </w:r>
    </w:p>
    <w:p w14:paraId="7C27F1C5">
      <w:pPr>
        <w:pStyle w:val="7"/>
        <w:tabs>
          <w:tab w:val="right" w:leader="dot" w:pos="10466"/>
        </w:tabs>
      </w:pPr>
      <w:r>
        <w:fldChar w:fldCharType="begin"/>
      </w:r>
      <w:r>
        <w:instrText xml:space="preserve"> HYPERLINK \l _Toc31657 </w:instrText>
      </w:r>
      <w:r>
        <w:fldChar w:fldCharType="separate"/>
      </w:r>
      <w:r>
        <w:rPr>
          <w:rFonts w:hint="eastAsia"/>
        </w:rPr>
        <w:t>二、确保工程质量的主要措施</w:t>
      </w:r>
      <w:r>
        <w:tab/>
      </w:r>
      <w:r>
        <w:fldChar w:fldCharType="begin"/>
      </w:r>
      <w:r>
        <w:instrText xml:space="preserve"> PAGEREF _Toc31657 \h </w:instrText>
      </w:r>
      <w:r>
        <w:fldChar w:fldCharType="separate"/>
      </w:r>
      <w:r>
        <w:t>93</w:t>
      </w:r>
      <w:r>
        <w:fldChar w:fldCharType="end"/>
      </w:r>
      <w:r>
        <w:fldChar w:fldCharType="end"/>
      </w:r>
    </w:p>
    <w:p w14:paraId="1E6F85D3">
      <w:pPr>
        <w:pStyle w:val="7"/>
        <w:tabs>
          <w:tab w:val="right" w:leader="dot" w:pos="10466"/>
        </w:tabs>
      </w:pPr>
      <w:r>
        <w:fldChar w:fldCharType="begin"/>
      </w:r>
      <w:r>
        <w:instrText xml:space="preserve"> HYPERLINK \l _Toc31033 </w:instrText>
      </w:r>
      <w:r>
        <w:fldChar w:fldCharType="separate"/>
      </w:r>
      <w:r>
        <w:rPr>
          <w:rFonts w:hint="eastAsia"/>
        </w:rPr>
        <w:t>三、工程质量的技术要求</w:t>
      </w:r>
      <w:r>
        <w:tab/>
      </w:r>
      <w:r>
        <w:fldChar w:fldCharType="begin"/>
      </w:r>
      <w:r>
        <w:instrText xml:space="preserve"> PAGEREF _Toc31033 \h </w:instrText>
      </w:r>
      <w:r>
        <w:fldChar w:fldCharType="separate"/>
      </w:r>
      <w:r>
        <w:t>105</w:t>
      </w:r>
      <w:r>
        <w:fldChar w:fldCharType="end"/>
      </w:r>
      <w:r>
        <w:fldChar w:fldCharType="end"/>
      </w:r>
    </w:p>
    <w:p w14:paraId="50269696">
      <w:pPr>
        <w:pStyle w:val="7"/>
        <w:tabs>
          <w:tab w:val="right" w:leader="dot" w:pos="10466"/>
        </w:tabs>
      </w:pPr>
      <w:r>
        <w:fldChar w:fldCharType="begin"/>
      </w:r>
      <w:r>
        <w:instrText xml:space="preserve"> HYPERLINK \l _Toc588 </w:instrText>
      </w:r>
      <w:r>
        <w:fldChar w:fldCharType="separate"/>
      </w:r>
      <w:r>
        <w:rPr>
          <w:rFonts w:hint="eastAsia"/>
        </w:rPr>
        <w:t>四、工程质量的管理</w:t>
      </w:r>
      <w:r>
        <w:tab/>
      </w:r>
      <w:r>
        <w:fldChar w:fldCharType="begin"/>
      </w:r>
      <w:r>
        <w:instrText xml:space="preserve"> PAGEREF _Toc588 \h </w:instrText>
      </w:r>
      <w:r>
        <w:fldChar w:fldCharType="separate"/>
      </w:r>
      <w:r>
        <w:t>109</w:t>
      </w:r>
      <w:r>
        <w:fldChar w:fldCharType="end"/>
      </w:r>
      <w:r>
        <w:fldChar w:fldCharType="end"/>
      </w:r>
    </w:p>
    <w:p w14:paraId="6065AF71">
      <w:pPr>
        <w:pStyle w:val="7"/>
        <w:tabs>
          <w:tab w:val="right" w:leader="dot" w:pos="10466"/>
        </w:tabs>
      </w:pPr>
      <w:r>
        <w:fldChar w:fldCharType="begin"/>
      </w:r>
      <w:r>
        <w:instrText xml:space="preserve"> HYPERLINK \l _Toc10242 </w:instrText>
      </w:r>
      <w:r>
        <w:fldChar w:fldCharType="separate"/>
      </w:r>
      <w:r>
        <w:rPr>
          <w:rFonts w:hint="eastAsia"/>
        </w:rPr>
        <w:t>五、质量保障措施</w:t>
      </w:r>
      <w:r>
        <w:tab/>
      </w:r>
      <w:r>
        <w:fldChar w:fldCharType="begin"/>
      </w:r>
      <w:r>
        <w:instrText xml:space="preserve"> PAGEREF _Toc10242 \h </w:instrText>
      </w:r>
      <w:r>
        <w:fldChar w:fldCharType="separate"/>
      </w:r>
      <w:r>
        <w:t>117</w:t>
      </w:r>
      <w:r>
        <w:fldChar w:fldCharType="end"/>
      </w:r>
      <w:r>
        <w:fldChar w:fldCharType="end"/>
      </w:r>
    </w:p>
    <w:p w14:paraId="6D27F2C2">
      <w:pPr>
        <w:pStyle w:val="7"/>
        <w:tabs>
          <w:tab w:val="right" w:leader="dot" w:pos="10466"/>
        </w:tabs>
      </w:pPr>
      <w:r>
        <w:fldChar w:fldCharType="begin"/>
      </w:r>
      <w:r>
        <w:instrText xml:space="preserve"> HYPERLINK \l _Toc4979 </w:instrText>
      </w:r>
      <w:r>
        <w:fldChar w:fldCharType="separate"/>
      </w:r>
      <w:r>
        <w:rPr>
          <w:rFonts w:hint="eastAsia"/>
        </w:rPr>
        <w:t>六、供水管道质量保证措施</w:t>
      </w:r>
      <w:r>
        <w:tab/>
      </w:r>
      <w:r>
        <w:fldChar w:fldCharType="begin"/>
      </w:r>
      <w:r>
        <w:instrText xml:space="preserve"> PAGEREF _Toc4979 \h </w:instrText>
      </w:r>
      <w:r>
        <w:fldChar w:fldCharType="separate"/>
      </w:r>
      <w:r>
        <w:t>130</w:t>
      </w:r>
      <w:r>
        <w:fldChar w:fldCharType="end"/>
      </w:r>
      <w:r>
        <w:fldChar w:fldCharType="end"/>
      </w:r>
    </w:p>
    <w:p w14:paraId="74325AA8">
      <w:pPr>
        <w:pStyle w:val="12"/>
        <w:tabs>
          <w:tab w:val="right" w:leader="dot" w:pos="10466"/>
        </w:tabs>
      </w:pPr>
      <w:r>
        <w:fldChar w:fldCharType="begin"/>
      </w:r>
      <w:r>
        <w:instrText xml:space="preserve"> HYPERLINK \l _Toc10529 </w:instrText>
      </w:r>
      <w:r>
        <w:fldChar w:fldCharType="separate"/>
      </w:r>
      <w:r>
        <w:rPr>
          <w:rFonts w:hint="eastAsia"/>
        </w:rPr>
        <w:t>第三节、</w:t>
      </w:r>
      <w:r>
        <w:t>工期控制</w:t>
      </w:r>
      <w:r>
        <w:tab/>
      </w:r>
      <w:r>
        <w:fldChar w:fldCharType="begin"/>
      </w:r>
      <w:r>
        <w:instrText xml:space="preserve"> PAGEREF _Toc10529 \h </w:instrText>
      </w:r>
      <w:r>
        <w:fldChar w:fldCharType="separate"/>
      </w:r>
      <w:r>
        <w:t>132</w:t>
      </w:r>
      <w:r>
        <w:fldChar w:fldCharType="end"/>
      </w:r>
      <w:r>
        <w:fldChar w:fldCharType="end"/>
      </w:r>
    </w:p>
    <w:p w14:paraId="3E917F32">
      <w:pPr>
        <w:pStyle w:val="7"/>
        <w:tabs>
          <w:tab w:val="right" w:leader="dot" w:pos="10466"/>
        </w:tabs>
      </w:pPr>
      <w:r>
        <w:fldChar w:fldCharType="begin"/>
      </w:r>
      <w:r>
        <w:instrText xml:space="preserve"> HYPERLINK \l _Toc20760 </w:instrText>
      </w:r>
      <w:r>
        <w:fldChar w:fldCharType="separate"/>
      </w:r>
      <w:r>
        <w:rPr>
          <w:rFonts w:hint="eastAsia"/>
        </w:rPr>
        <w:t>一、工程进度计划确定</w:t>
      </w:r>
      <w:r>
        <w:tab/>
      </w:r>
      <w:r>
        <w:fldChar w:fldCharType="begin"/>
      </w:r>
      <w:r>
        <w:instrText xml:space="preserve"> PAGEREF _Toc20760 \h </w:instrText>
      </w:r>
      <w:r>
        <w:fldChar w:fldCharType="separate"/>
      </w:r>
      <w:r>
        <w:t>132</w:t>
      </w:r>
      <w:r>
        <w:fldChar w:fldCharType="end"/>
      </w:r>
      <w:r>
        <w:fldChar w:fldCharType="end"/>
      </w:r>
    </w:p>
    <w:p w14:paraId="00F84C59">
      <w:pPr>
        <w:pStyle w:val="7"/>
        <w:tabs>
          <w:tab w:val="right" w:leader="dot" w:pos="10466"/>
        </w:tabs>
      </w:pPr>
      <w:r>
        <w:fldChar w:fldCharType="begin"/>
      </w:r>
      <w:r>
        <w:instrText xml:space="preserve"> HYPERLINK \l _Toc10459 </w:instrText>
      </w:r>
      <w:r>
        <w:fldChar w:fldCharType="separate"/>
      </w:r>
      <w:r>
        <w:rPr>
          <w:rFonts w:hint="eastAsia"/>
        </w:rPr>
        <w:t>二、施工进度编制原则及依据</w:t>
      </w:r>
      <w:r>
        <w:tab/>
      </w:r>
      <w:r>
        <w:fldChar w:fldCharType="begin"/>
      </w:r>
      <w:r>
        <w:instrText xml:space="preserve"> PAGEREF _Toc10459 \h </w:instrText>
      </w:r>
      <w:r>
        <w:fldChar w:fldCharType="separate"/>
      </w:r>
      <w:r>
        <w:t>133</w:t>
      </w:r>
      <w:r>
        <w:fldChar w:fldCharType="end"/>
      </w:r>
      <w:r>
        <w:fldChar w:fldCharType="end"/>
      </w:r>
    </w:p>
    <w:p w14:paraId="4449F7EC">
      <w:pPr>
        <w:pStyle w:val="7"/>
        <w:tabs>
          <w:tab w:val="right" w:leader="dot" w:pos="10466"/>
        </w:tabs>
      </w:pPr>
      <w:r>
        <w:fldChar w:fldCharType="begin"/>
      </w:r>
      <w:r>
        <w:instrText xml:space="preserve"> HYPERLINK \l _Toc21133 </w:instrText>
      </w:r>
      <w:r>
        <w:fldChar w:fldCharType="separate"/>
      </w:r>
      <w:r>
        <w:rPr>
          <w:rFonts w:hint="eastAsia"/>
        </w:rPr>
        <w:t>三、确保工期的组织架构</w:t>
      </w:r>
      <w:r>
        <w:tab/>
      </w:r>
      <w:r>
        <w:fldChar w:fldCharType="begin"/>
      </w:r>
      <w:r>
        <w:instrText xml:space="preserve"> PAGEREF _Toc21133 \h </w:instrText>
      </w:r>
      <w:r>
        <w:fldChar w:fldCharType="separate"/>
      </w:r>
      <w:r>
        <w:t>134</w:t>
      </w:r>
      <w:r>
        <w:fldChar w:fldCharType="end"/>
      </w:r>
      <w:r>
        <w:fldChar w:fldCharType="end"/>
      </w:r>
    </w:p>
    <w:p w14:paraId="03436F42">
      <w:pPr>
        <w:pStyle w:val="7"/>
        <w:tabs>
          <w:tab w:val="right" w:leader="dot" w:pos="10466"/>
        </w:tabs>
      </w:pPr>
      <w:r>
        <w:fldChar w:fldCharType="begin"/>
      </w:r>
      <w:r>
        <w:instrText xml:space="preserve"> HYPERLINK \l _Toc8886 </w:instrText>
      </w:r>
      <w:r>
        <w:fldChar w:fldCharType="separate"/>
      </w:r>
      <w:r>
        <w:rPr>
          <w:rFonts w:hint="eastAsia"/>
        </w:rPr>
        <w:t>四、确保工期的措施</w:t>
      </w:r>
      <w:r>
        <w:tab/>
      </w:r>
      <w:r>
        <w:fldChar w:fldCharType="begin"/>
      </w:r>
      <w:r>
        <w:instrText xml:space="preserve"> PAGEREF _Toc8886 \h </w:instrText>
      </w:r>
      <w:r>
        <w:fldChar w:fldCharType="separate"/>
      </w:r>
      <w:r>
        <w:t>138</w:t>
      </w:r>
      <w:r>
        <w:fldChar w:fldCharType="end"/>
      </w:r>
      <w:r>
        <w:fldChar w:fldCharType="end"/>
      </w:r>
    </w:p>
    <w:p w14:paraId="3D4A1741">
      <w:pPr>
        <w:pStyle w:val="7"/>
        <w:tabs>
          <w:tab w:val="right" w:leader="dot" w:pos="10466"/>
        </w:tabs>
      </w:pPr>
      <w:r>
        <w:fldChar w:fldCharType="begin"/>
      </w:r>
      <w:r>
        <w:instrText xml:space="preserve"> HYPERLINK \l _Toc27113 </w:instrText>
      </w:r>
      <w:r>
        <w:fldChar w:fldCharType="separate"/>
      </w:r>
      <w:r>
        <w:rPr>
          <w:rFonts w:hint="eastAsia"/>
        </w:rPr>
        <w:t>五、工期延误处理办法</w:t>
      </w:r>
      <w:r>
        <w:tab/>
      </w:r>
      <w:r>
        <w:fldChar w:fldCharType="begin"/>
      </w:r>
      <w:r>
        <w:instrText xml:space="preserve"> PAGEREF _Toc27113 \h </w:instrText>
      </w:r>
      <w:r>
        <w:fldChar w:fldCharType="separate"/>
      </w:r>
      <w:r>
        <w:t>145</w:t>
      </w:r>
      <w:r>
        <w:fldChar w:fldCharType="end"/>
      </w:r>
      <w:r>
        <w:fldChar w:fldCharType="end"/>
      </w:r>
    </w:p>
    <w:p w14:paraId="3B08ADAF">
      <w:pPr>
        <w:pStyle w:val="7"/>
        <w:tabs>
          <w:tab w:val="right" w:leader="dot" w:pos="10466"/>
        </w:tabs>
      </w:pPr>
      <w:r>
        <w:fldChar w:fldCharType="begin"/>
      </w:r>
      <w:r>
        <w:instrText xml:space="preserve"> HYPERLINK \l _Toc1508 </w:instrText>
      </w:r>
      <w:r>
        <w:fldChar w:fldCharType="separate"/>
      </w:r>
      <w:r>
        <w:rPr>
          <w:rFonts w:hint="eastAsia"/>
        </w:rPr>
        <w:t>六、工期赶工措施</w:t>
      </w:r>
      <w:r>
        <w:tab/>
      </w:r>
      <w:r>
        <w:fldChar w:fldCharType="begin"/>
      </w:r>
      <w:r>
        <w:instrText xml:space="preserve"> PAGEREF _Toc1508 \h </w:instrText>
      </w:r>
      <w:r>
        <w:fldChar w:fldCharType="separate"/>
      </w:r>
      <w:r>
        <w:t>147</w:t>
      </w:r>
      <w:r>
        <w:fldChar w:fldCharType="end"/>
      </w:r>
      <w:r>
        <w:fldChar w:fldCharType="end"/>
      </w:r>
    </w:p>
    <w:p w14:paraId="671C70FD">
      <w:pPr>
        <w:pStyle w:val="7"/>
        <w:tabs>
          <w:tab w:val="right" w:leader="dot" w:pos="10466"/>
        </w:tabs>
      </w:pPr>
      <w:r>
        <w:fldChar w:fldCharType="begin"/>
      </w:r>
      <w:r>
        <w:instrText xml:space="preserve"> HYPERLINK \l _Toc19654 </w:instrText>
      </w:r>
      <w:r>
        <w:fldChar w:fldCharType="separate"/>
      </w:r>
      <w:r>
        <w:rPr>
          <w:rFonts w:hint="eastAsia"/>
        </w:rPr>
        <w:t>七、进度违约责任</w:t>
      </w:r>
      <w:r>
        <w:tab/>
      </w:r>
      <w:r>
        <w:fldChar w:fldCharType="begin"/>
      </w:r>
      <w:r>
        <w:instrText xml:space="preserve"> PAGEREF _Toc19654 \h </w:instrText>
      </w:r>
      <w:r>
        <w:fldChar w:fldCharType="separate"/>
      </w:r>
      <w:r>
        <w:t>148</w:t>
      </w:r>
      <w:r>
        <w:fldChar w:fldCharType="end"/>
      </w:r>
      <w:r>
        <w:fldChar w:fldCharType="end"/>
      </w:r>
    </w:p>
    <w:p w14:paraId="13021BAF">
      <w:pPr>
        <w:pStyle w:val="12"/>
        <w:tabs>
          <w:tab w:val="right" w:leader="dot" w:pos="10466"/>
        </w:tabs>
      </w:pPr>
      <w:r>
        <w:fldChar w:fldCharType="begin"/>
      </w:r>
      <w:r>
        <w:instrText xml:space="preserve"> HYPERLINK \l _Toc18415 </w:instrText>
      </w:r>
      <w:r>
        <w:fldChar w:fldCharType="separate"/>
      </w:r>
      <w:r>
        <w:rPr>
          <w:rFonts w:hint="eastAsia"/>
        </w:rPr>
        <w:t>第四节、</w:t>
      </w:r>
      <w:r>
        <w:t>人员管理</w:t>
      </w:r>
      <w:r>
        <w:tab/>
      </w:r>
      <w:r>
        <w:fldChar w:fldCharType="begin"/>
      </w:r>
      <w:r>
        <w:instrText xml:space="preserve"> PAGEREF _Toc18415 \h </w:instrText>
      </w:r>
      <w:r>
        <w:fldChar w:fldCharType="separate"/>
      </w:r>
      <w:r>
        <w:t>150</w:t>
      </w:r>
      <w:r>
        <w:fldChar w:fldCharType="end"/>
      </w:r>
      <w:r>
        <w:fldChar w:fldCharType="end"/>
      </w:r>
    </w:p>
    <w:p w14:paraId="04FB2BB4">
      <w:pPr>
        <w:pStyle w:val="7"/>
        <w:tabs>
          <w:tab w:val="right" w:leader="dot" w:pos="10466"/>
        </w:tabs>
      </w:pPr>
      <w:r>
        <w:fldChar w:fldCharType="begin"/>
      </w:r>
      <w:r>
        <w:instrText xml:space="preserve"> HYPERLINK \l _Toc14756 </w:instrText>
      </w:r>
      <w:r>
        <w:fldChar w:fldCharType="separate"/>
      </w:r>
      <w:r>
        <w:rPr>
          <w:rFonts w:hint="eastAsia"/>
        </w:rPr>
        <w:t>一、劳动力投入计划</w:t>
      </w:r>
      <w:r>
        <w:tab/>
      </w:r>
      <w:r>
        <w:fldChar w:fldCharType="begin"/>
      </w:r>
      <w:r>
        <w:instrText xml:space="preserve"> PAGEREF _Toc14756 \h </w:instrText>
      </w:r>
      <w:r>
        <w:fldChar w:fldCharType="separate"/>
      </w:r>
      <w:r>
        <w:t>150</w:t>
      </w:r>
      <w:r>
        <w:fldChar w:fldCharType="end"/>
      </w:r>
      <w:r>
        <w:fldChar w:fldCharType="end"/>
      </w:r>
    </w:p>
    <w:p w14:paraId="7C0B92FD">
      <w:pPr>
        <w:pStyle w:val="7"/>
        <w:tabs>
          <w:tab w:val="right" w:leader="dot" w:pos="10466"/>
        </w:tabs>
      </w:pPr>
      <w:r>
        <w:fldChar w:fldCharType="begin"/>
      </w:r>
      <w:r>
        <w:instrText xml:space="preserve"> HYPERLINK \l _Toc18464 </w:instrText>
      </w:r>
      <w:r>
        <w:fldChar w:fldCharType="separate"/>
      </w:r>
      <w:r>
        <w:rPr>
          <w:rFonts w:hint="eastAsia"/>
        </w:rPr>
        <w:t>二、劳动力安排及保障措施</w:t>
      </w:r>
      <w:r>
        <w:tab/>
      </w:r>
      <w:r>
        <w:fldChar w:fldCharType="begin"/>
      </w:r>
      <w:r>
        <w:instrText xml:space="preserve"> PAGEREF _Toc18464 \h </w:instrText>
      </w:r>
      <w:r>
        <w:fldChar w:fldCharType="separate"/>
      </w:r>
      <w:r>
        <w:t>153</w:t>
      </w:r>
      <w:r>
        <w:fldChar w:fldCharType="end"/>
      </w:r>
      <w:r>
        <w:fldChar w:fldCharType="end"/>
      </w:r>
    </w:p>
    <w:p w14:paraId="1BA0D380">
      <w:pPr>
        <w:pStyle w:val="7"/>
        <w:tabs>
          <w:tab w:val="right" w:leader="dot" w:pos="10466"/>
        </w:tabs>
      </w:pPr>
      <w:r>
        <w:fldChar w:fldCharType="begin"/>
      </w:r>
      <w:r>
        <w:instrText xml:space="preserve"> HYPERLINK \l _Toc11742 </w:instrText>
      </w:r>
      <w:r>
        <w:fldChar w:fldCharType="separate"/>
      </w:r>
      <w:r>
        <w:rPr>
          <w:rFonts w:hint="eastAsia"/>
        </w:rPr>
        <w:t>三、农民工工资保证措施</w:t>
      </w:r>
      <w:r>
        <w:tab/>
      </w:r>
      <w:r>
        <w:fldChar w:fldCharType="begin"/>
      </w:r>
      <w:r>
        <w:instrText xml:space="preserve"> PAGEREF _Toc11742 \h </w:instrText>
      </w:r>
      <w:r>
        <w:fldChar w:fldCharType="separate"/>
      </w:r>
      <w:r>
        <w:t>161</w:t>
      </w:r>
      <w:r>
        <w:fldChar w:fldCharType="end"/>
      </w:r>
      <w:r>
        <w:fldChar w:fldCharType="end"/>
      </w:r>
    </w:p>
    <w:p w14:paraId="7A524A92">
      <w:pPr>
        <w:pStyle w:val="12"/>
        <w:tabs>
          <w:tab w:val="right" w:leader="dot" w:pos="10466"/>
        </w:tabs>
      </w:pPr>
      <w:r>
        <w:fldChar w:fldCharType="begin"/>
      </w:r>
      <w:r>
        <w:instrText xml:space="preserve"> HYPERLINK \l _Toc21284 </w:instrText>
      </w:r>
      <w:r>
        <w:fldChar w:fldCharType="separate"/>
      </w:r>
      <w:r>
        <w:rPr>
          <w:rFonts w:hint="eastAsia"/>
        </w:rPr>
        <w:t>第五节、</w:t>
      </w:r>
      <w:r>
        <w:t>设备管理</w:t>
      </w:r>
      <w:r>
        <w:tab/>
      </w:r>
      <w:r>
        <w:fldChar w:fldCharType="begin"/>
      </w:r>
      <w:r>
        <w:instrText xml:space="preserve"> PAGEREF _Toc21284 \h </w:instrText>
      </w:r>
      <w:r>
        <w:fldChar w:fldCharType="separate"/>
      </w:r>
      <w:r>
        <w:t>189</w:t>
      </w:r>
      <w:r>
        <w:fldChar w:fldCharType="end"/>
      </w:r>
      <w:r>
        <w:fldChar w:fldCharType="end"/>
      </w:r>
    </w:p>
    <w:p w14:paraId="1FA35141">
      <w:pPr>
        <w:pStyle w:val="7"/>
        <w:tabs>
          <w:tab w:val="right" w:leader="dot" w:pos="10466"/>
        </w:tabs>
      </w:pPr>
      <w:r>
        <w:fldChar w:fldCharType="begin"/>
      </w:r>
      <w:r>
        <w:instrText xml:space="preserve"> HYPERLINK \l _Toc18498 </w:instrText>
      </w:r>
      <w:r>
        <w:fldChar w:fldCharType="separate"/>
      </w:r>
      <w:r>
        <w:rPr>
          <w:rFonts w:hint="eastAsia"/>
        </w:rPr>
        <w:t>一、拟投入的主要施工机械、设备计划</w:t>
      </w:r>
      <w:r>
        <w:tab/>
      </w:r>
      <w:r>
        <w:fldChar w:fldCharType="begin"/>
      </w:r>
      <w:r>
        <w:instrText xml:space="preserve"> PAGEREF _Toc18498 \h </w:instrText>
      </w:r>
      <w:r>
        <w:fldChar w:fldCharType="separate"/>
      </w:r>
      <w:r>
        <w:t>189</w:t>
      </w:r>
      <w:r>
        <w:fldChar w:fldCharType="end"/>
      </w:r>
      <w:r>
        <w:fldChar w:fldCharType="end"/>
      </w:r>
    </w:p>
    <w:p w14:paraId="76DD86CF">
      <w:pPr>
        <w:pStyle w:val="7"/>
        <w:tabs>
          <w:tab w:val="right" w:leader="dot" w:pos="10466"/>
        </w:tabs>
      </w:pPr>
      <w:r>
        <w:fldChar w:fldCharType="begin"/>
      </w:r>
      <w:r>
        <w:instrText xml:space="preserve"> HYPERLINK \l _Toc16580 </w:instrText>
      </w:r>
      <w:r>
        <w:fldChar w:fldCharType="separate"/>
      </w:r>
      <w:r>
        <w:rPr>
          <w:rFonts w:hint="eastAsia"/>
        </w:rPr>
        <w:t>二、机械设备管理保证措施</w:t>
      </w:r>
      <w:r>
        <w:tab/>
      </w:r>
      <w:r>
        <w:fldChar w:fldCharType="begin"/>
      </w:r>
      <w:r>
        <w:instrText xml:space="preserve"> PAGEREF _Toc16580 \h </w:instrText>
      </w:r>
      <w:r>
        <w:fldChar w:fldCharType="separate"/>
      </w:r>
      <w:r>
        <w:t>196</w:t>
      </w:r>
      <w:r>
        <w:fldChar w:fldCharType="end"/>
      </w:r>
      <w:r>
        <w:fldChar w:fldCharType="end"/>
      </w:r>
    </w:p>
    <w:p w14:paraId="1A9D7873">
      <w:pPr>
        <w:pStyle w:val="7"/>
        <w:tabs>
          <w:tab w:val="right" w:leader="dot" w:pos="10466"/>
        </w:tabs>
      </w:pPr>
      <w:r>
        <w:fldChar w:fldCharType="begin"/>
      </w:r>
      <w:r>
        <w:instrText xml:space="preserve"> HYPERLINK \l _Toc31647 </w:instrText>
      </w:r>
      <w:r>
        <w:fldChar w:fldCharType="separate"/>
      </w:r>
      <w:r>
        <w:rPr>
          <w:rFonts w:hint="eastAsia"/>
        </w:rPr>
        <w:t>三、主要机具使用安排内容</w:t>
      </w:r>
      <w:r>
        <w:tab/>
      </w:r>
      <w:r>
        <w:fldChar w:fldCharType="begin"/>
      </w:r>
      <w:r>
        <w:instrText xml:space="preserve"> PAGEREF _Toc31647 \h </w:instrText>
      </w:r>
      <w:r>
        <w:fldChar w:fldCharType="separate"/>
      </w:r>
      <w:r>
        <w:t>211</w:t>
      </w:r>
      <w:r>
        <w:fldChar w:fldCharType="end"/>
      </w:r>
      <w:r>
        <w:fldChar w:fldCharType="end"/>
      </w:r>
    </w:p>
    <w:p w14:paraId="748128CB">
      <w:pPr>
        <w:pStyle w:val="12"/>
        <w:tabs>
          <w:tab w:val="right" w:leader="dot" w:pos="10466"/>
        </w:tabs>
      </w:pPr>
      <w:r>
        <w:fldChar w:fldCharType="begin"/>
      </w:r>
      <w:r>
        <w:instrText xml:space="preserve"> HYPERLINK \l _Toc6683 </w:instrText>
      </w:r>
      <w:r>
        <w:fldChar w:fldCharType="separate"/>
      </w:r>
      <w:r>
        <w:rPr>
          <w:rFonts w:hint="eastAsia"/>
        </w:rPr>
        <w:t>第六节、</w:t>
      </w:r>
      <w:r>
        <w:t>用户服务</w:t>
      </w:r>
      <w:r>
        <w:tab/>
      </w:r>
      <w:r>
        <w:fldChar w:fldCharType="begin"/>
      </w:r>
      <w:r>
        <w:instrText xml:space="preserve"> PAGEREF _Toc6683 \h </w:instrText>
      </w:r>
      <w:r>
        <w:fldChar w:fldCharType="separate"/>
      </w:r>
      <w:r>
        <w:t>212</w:t>
      </w:r>
      <w:r>
        <w:fldChar w:fldCharType="end"/>
      </w:r>
      <w:r>
        <w:fldChar w:fldCharType="end"/>
      </w:r>
    </w:p>
    <w:p w14:paraId="348FEF7E">
      <w:pPr>
        <w:pStyle w:val="7"/>
        <w:tabs>
          <w:tab w:val="right" w:leader="dot" w:pos="10466"/>
        </w:tabs>
      </w:pPr>
      <w:r>
        <w:fldChar w:fldCharType="begin"/>
      </w:r>
      <w:r>
        <w:instrText xml:space="preserve"> HYPERLINK \l _Toc29338 </w:instrText>
      </w:r>
      <w:r>
        <w:fldChar w:fldCharType="separate"/>
      </w:r>
      <w:r>
        <w:rPr>
          <w:rFonts w:hint="eastAsia"/>
        </w:rPr>
        <w:t>一、水质水压标准</w:t>
      </w:r>
      <w:r>
        <w:tab/>
      </w:r>
      <w:r>
        <w:fldChar w:fldCharType="begin"/>
      </w:r>
      <w:r>
        <w:instrText xml:space="preserve"> PAGEREF _Toc29338 \h </w:instrText>
      </w:r>
      <w:r>
        <w:fldChar w:fldCharType="separate"/>
      </w:r>
      <w:r>
        <w:t>212</w:t>
      </w:r>
      <w:r>
        <w:fldChar w:fldCharType="end"/>
      </w:r>
      <w:r>
        <w:fldChar w:fldCharType="end"/>
      </w:r>
    </w:p>
    <w:p w14:paraId="6F29702C">
      <w:pPr>
        <w:pStyle w:val="7"/>
        <w:tabs>
          <w:tab w:val="right" w:leader="dot" w:pos="10466"/>
        </w:tabs>
      </w:pPr>
      <w:r>
        <w:fldChar w:fldCharType="begin"/>
      </w:r>
      <w:r>
        <w:instrText xml:space="preserve"> HYPERLINK \l _Toc9223 </w:instrText>
      </w:r>
      <w:r>
        <w:fldChar w:fldCharType="separate"/>
      </w:r>
      <w:r>
        <w:rPr>
          <w:rFonts w:hint="eastAsia"/>
        </w:rPr>
        <w:t>二、</w:t>
      </w:r>
      <w:r>
        <w:t>停水服务</w:t>
      </w:r>
      <w:r>
        <w:tab/>
      </w:r>
      <w:r>
        <w:fldChar w:fldCharType="begin"/>
      </w:r>
      <w:r>
        <w:instrText xml:space="preserve"> PAGEREF _Toc9223 \h </w:instrText>
      </w:r>
      <w:r>
        <w:fldChar w:fldCharType="separate"/>
      </w:r>
      <w:r>
        <w:t>213</w:t>
      </w:r>
      <w:r>
        <w:fldChar w:fldCharType="end"/>
      </w:r>
      <w:r>
        <w:fldChar w:fldCharType="end"/>
      </w:r>
    </w:p>
    <w:p w14:paraId="523342F9">
      <w:pPr>
        <w:pStyle w:val="7"/>
        <w:tabs>
          <w:tab w:val="right" w:leader="dot" w:pos="10466"/>
        </w:tabs>
      </w:pPr>
      <w:r>
        <w:fldChar w:fldCharType="begin"/>
      </w:r>
      <w:r>
        <w:instrText xml:space="preserve"> HYPERLINK \l _Toc23740 </w:instrText>
      </w:r>
      <w:r>
        <w:fldChar w:fldCharType="separate"/>
      </w:r>
      <w:r>
        <w:rPr>
          <w:rFonts w:hint="eastAsia"/>
        </w:rPr>
        <w:t>三、供用水设施维护规范</w:t>
      </w:r>
      <w:r>
        <w:tab/>
      </w:r>
      <w:r>
        <w:fldChar w:fldCharType="begin"/>
      </w:r>
      <w:r>
        <w:instrText xml:space="preserve"> PAGEREF _Toc23740 \h </w:instrText>
      </w:r>
      <w:r>
        <w:fldChar w:fldCharType="separate"/>
      </w:r>
      <w:r>
        <w:t>214</w:t>
      </w:r>
      <w:r>
        <w:fldChar w:fldCharType="end"/>
      </w:r>
      <w:r>
        <w:fldChar w:fldCharType="end"/>
      </w:r>
    </w:p>
    <w:p w14:paraId="7B55B5BF">
      <w:pPr>
        <w:pStyle w:val="7"/>
        <w:tabs>
          <w:tab w:val="right" w:leader="dot" w:pos="10466"/>
        </w:tabs>
      </w:pPr>
      <w:r>
        <w:fldChar w:fldCharType="begin"/>
      </w:r>
      <w:r>
        <w:instrText xml:space="preserve"> HYPERLINK \l _Toc2110 </w:instrText>
      </w:r>
      <w:r>
        <w:fldChar w:fldCharType="separate"/>
      </w:r>
      <w:r>
        <w:rPr>
          <w:rFonts w:hint="eastAsia"/>
        </w:rPr>
        <w:t>四、现场服务规范</w:t>
      </w:r>
      <w:r>
        <w:tab/>
      </w:r>
      <w:r>
        <w:fldChar w:fldCharType="begin"/>
      </w:r>
      <w:r>
        <w:instrText xml:space="preserve"> PAGEREF _Toc2110 \h </w:instrText>
      </w:r>
      <w:r>
        <w:fldChar w:fldCharType="separate"/>
      </w:r>
      <w:r>
        <w:t>215</w:t>
      </w:r>
      <w:r>
        <w:fldChar w:fldCharType="end"/>
      </w:r>
      <w:r>
        <w:fldChar w:fldCharType="end"/>
      </w:r>
    </w:p>
    <w:p w14:paraId="38E7325E">
      <w:pPr>
        <w:pStyle w:val="10"/>
        <w:tabs>
          <w:tab w:val="right" w:leader="dot" w:pos="10466"/>
        </w:tabs>
      </w:pPr>
      <w:r>
        <w:fldChar w:fldCharType="begin"/>
      </w:r>
      <w:r>
        <w:instrText xml:space="preserve"> HYPERLINK \l _Toc1927 </w:instrText>
      </w:r>
      <w:r>
        <w:fldChar w:fldCharType="separate"/>
      </w:r>
      <w:r>
        <w:rPr>
          <w:rFonts w:hint="eastAsia"/>
          <w:lang w:val="en-US" w:eastAsia="zh-CN"/>
        </w:rPr>
        <w:t>第六章、</w:t>
      </w:r>
      <w:r>
        <w:rPr>
          <w:rFonts w:hint="eastAsia"/>
        </w:rPr>
        <w:t>拟投入的主要施工机械设备计划</w:t>
      </w:r>
      <w:r>
        <w:tab/>
      </w:r>
      <w:r>
        <w:fldChar w:fldCharType="begin"/>
      </w:r>
      <w:r>
        <w:instrText xml:space="preserve"> PAGEREF _Toc1927 \h </w:instrText>
      </w:r>
      <w:r>
        <w:fldChar w:fldCharType="separate"/>
      </w:r>
      <w:r>
        <w:t>217</w:t>
      </w:r>
      <w:r>
        <w:fldChar w:fldCharType="end"/>
      </w:r>
      <w:r>
        <w:fldChar w:fldCharType="end"/>
      </w:r>
    </w:p>
    <w:p w14:paraId="15F72D43">
      <w:pPr>
        <w:pStyle w:val="10"/>
        <w:tabs>
          <w:tab w:val="right" w:leader="dot" w:pos="10466"/>
        </w:tabs>
      </w:pPr>
      <w:r>
        <w:fldChar w:fldCharType="begin"/>
      </w:r>
      <w:r>
        <w:instrText xml:space="preserve"> HYPERLINK \l _Toc15411 </w:instrText>
      </w:r>
      <w:r>
        <w:fldChar w:fldCharType="separate"/>
      </w:r>
      <w:r>
        <w:rPr>
          <w:rFonts w:hint="eastAsia"/>
          <w:lang w:val="en-US" w:eastAsia="zh-CN"/>
        </w:rPr>
        <w:t>第七章、</w:t>
      </w:r>
      <w:r>
        <w:rPr>
          <w:rFonts w:hint="eastAsia"/>
        </w:rPr>
        <w:t>项目管理机构、劳动力安排计划</w:t>
      </w:r>
      <w:r>
        <w:tab/>
      </w:r>
      <w:r>
        <w:fldChar w:fldCharType="begin"/>
      </w:r>
      <w:r>
        <w:instrText xml:space="preserve"> PAGEREF _Toc15411 \h </w:instrText>
      </w:r>
      <w:r>
        <w:fldChar w:fldCharType="separate"/>
      </w:r>
      <w:r>
        <w:t>218</w:t>
      </w:r>
      <w:r>
        <w:fldChar w:fldCharType="end"/>
      </w:r>
      <w:r>
        <w:fldChar w:fldCharType="end"/>
      </w:r>
    </w:p>
    <w:p w14:paraId="73AA5BE5">
      <w:pPr>
        <w:pStyle w:val="10"/>
        <w:tabs>
          <w:tab w:val="right" w:leader="dot" w:pos="10466"/>
        </w:tabs>
      </w:pPr>
      <w:r>
        <w:fldChar w:fldCharType="begin"/>
      </w:r>
      <w:r>
        <w:instrText xml:space="preserve"> HYPERLINK \l _Toc7879 </w:instrText>
      </w:r>
      <w:r>
        <w:fldChar w:fldCharType="separate"/>
      </w:r>
      <w:r>
        <w:rPr>
          <w:rFonts w:hint="eastAsia"/>
          <w:lang w:val="en-US" w:eastAsia="zh-CN"/>
        </w:rPr>
        <w:t>第八章、</w:t>
      </w:r>
      <w:r>
        <w:rPr>
          <w:rFonts w:hint="eastAsia"/>
        </w:rPr>
        <w:t>新技术、新产品、新工艺、新材料</w:t>
      </w:r>
      <w:r>
        <w:tab/>
      </w:r>
      <w:r>
        <w:fldChar w:fldCharType="begin"/>
      </w:r>
      <w:r>
        <w:instrText xml:space="preserve"> PAGEREF _Toc7879 \h </w:instrText>
      </w:r>
      <w:r>
        <w:fldChar w:fldCharType="separate"/>
      </w:r>
      <w:r>
        <w:t>219</w:t>
      </w:r>
      <w:r>
        <w:fldChar w:fldCharType="end"/>
      </w:r>
      <w:r>
        <w:fldChar w:fldCharType="end"/>
      </w:r>
    </w:p>
    <w:p w14:paraId="3E849035">
      <w:pPr>
        <w:pStyle w:val="12"/>
        <w:tabs>
          <w:tab w:val="right" w:leader="dot" w:pos="10466"/>
        </w:tabs>
      </w:pPr>
      <w:r>
        <w:fldChar w:fldCharType="begin"/>
      </w:r>
      <w:r>
        <w:instrText xml:space="preserve"> HYPERLINK \l _Toc3203 </w:instrText>
      </w:r>
      <w:r>
        <w:fldChar w:fldCharType="separate"/>
      </w:r>
      <w:r>
        <w:rPr>
          <w:rFonts w:hint="eastAsia"/>
          <w:lang w:val="en-US" w:eastAsia="zh-CN"/>
        </w:rPr>
        <w:t>第一节</w:t>
      </w:r>
      <w:r>
        <w:rPr>
          <w:rFonts w:hint="eastAsia"/>
        </w:rPr>
        <w:t>、新技术</w:t>
      </w:r>
      <w:r>
        <w:tab/>
      </w:r>
      <w:r>
        <w:fldChar w:fldCharType="begin"/>
      </w:r>
      <w:r>
        <w:instrText xml:space="preserve"> PAGEREF _Toc3203 \h </w:instrText>
      </w:r>
      <w:r>
        <w:fldChar w:fldCharType="separate"/>
      </w:r>
      <w:r>
        <w:t>219</w:t>
      </w:r>
      <w:r>
        <w:fldChar w:fldCharType="end"/>
      </w:r>
      <w:r>
        <w:fldChar w:fldCharType="end"/>
      </w:r>
    </w:p>
    <w:p w14:paraId="3C715F07">
      <w:pPr>
        <w:pStyle w:val="12"/>
        <w:tabs>
          <w:tab w:val="right" w:leader="dot" w:pos="10466"/>
        </w:tabs>
      </w:pPr>
      <w:r>
        <w:fldChar w:fldCharType="begin"/>
      </w:r>
      <w:r>
        <w:instrText xml:space="preserve"> HYPERLINK \l _Toc6797 </w:instrText>
      </w:r>
      <w:r>
        <w:fldChar w:fldCharType="separate"/>
      </w:r>
      <w:r>
        <w:rPr>
          <w:rFonts w:hint="eastAsia"/>
          <w:lang w:val="en-US" w:eastAsia="zh-CN"/>
        </w:rPr>
        <w:t>第二节</w:t>
      </w:r>
      <w:r>
        <w:rPr>
          <w:rFonts w:hint="eastAsia"/>
        </w:rPr>
        <w:t>、新产品</w:t>
      </w:r>
      <w:r>
        <w:tab/>
      </w:r>
      <w:r>
        <w:fldChar w:fldCharType="begin"/>
      </w:r>
      <w:r>
        <w:instrText xml:space="preserve"> PAGEREF _Toc6797 \h </w:instrText>
      </w:r>
      <w:r>
        <w:fldChar w:fldCharType="separate"/>
      </w:r>
      <w:r>
        <w:t>219</w:t>
      </w:r>
      <w:r>
        <w:fldChar w:fldCharType="end"/>
      </w:r>
      <w:r>
        <w:fldChar w:fldCharType="end"/>
      </w:r>
    </w:p>
    <w:p w14:paraId="47D0AA65">
      <w:pPr>
        <w:pStyle w:val="12"/>
        <w:tabs>
          <w:tab w:val="right" w:leader="dot" w:pos="10466"/>
        </w:tabs>
      </w:pPr>
      <w:r>
        <w:fldChar w:fldCharType="begin"/>
      </w:r>
      <w:r>
        <w:instrText xml:space="preserve"> HYPERLINK \l _Toc30618 </w:instrText>
      </w:r>
      <w:r>
        <w:fldChar w:fldCharType="separate"/>
      </w:r>
      <w:r>
        <w:rPr>
          <w:rFonts w:hint="eastAsia"/>
          <w:lang w:val="en-US" w:eastAsia="zh-CN"/>
        </w:rPr>
        <w:t>第三节</w:t>
      </w:r>
      <w:r>
        <w:rPr>
          <w:rFonts w:hint="eastAsia"/>
        </w:rPr>
        <w:t>、新工艺</w:t>
      </w:r>
      <w:r>
        <w:tab/>
      </w:r>
      <w:r>
        <w:fldChar w:fldCharType="begin"/>
      </w:r>
      <w:r>
        <w:instrText xml:space="preserve"> PAGEREF _Toc30618 \h </w:instrText>
      </w:r>
      <w:r>
        <w:fldChar w:fldCharType="separate"/>
      </w:r>
      <w:r>
        <w:t>220</w:t>
      </w:r>
      <w:r>
        <w:fldChar w:fldCharType="end"/>
      </w:r>
      <w:r>
        <w:fldChar w:fldCharType="end"/>
      </w:r>
    </w:p>
    <w:p w14:paraId="25108763">
      <w:pPr>
        <w:pStyle w:val="12"/>
        <w:tabs>
          <w:tab w:val="right" w:leader="dot" w:pos="10466"/>
        </w:tabs>
      </w:pPr>
      <w:r>
        <w:fldChar w:fldCharType="begin"/>
      </w:r>
      <w:r>
        <w:instrText xml:space="preserve"> HYPERLINK \l _Toc11313 </w:instrText>
      </w:r>
      <w:r>
        <w:fldChar w:fldCharType="separate"/>
      </w:r>
      <w:r>
        <w:rPr>
          <w:rFonts w:hint="eastAsia"/>
          <w:lang w:val="en-US" w:eastAsia="zh-CN"/>
        </w:rPr>
        <w:t>第四节</w:t>
      </w:r>
      <w:r>
        <w:rPr>
          <w:rFonts w:hint="eastAsia"/>
        </w:rPr>
        <w:t>、新材料</w:t>
      </w:r>
      <w:r>
        <w:tab/>
      </w:r>
      <w:r>
        <w:fldChar w:fldCharType="begin"/>
      </w:r>
      <w:r>
        <w:instrText xml:space="preserve"> PAGEREF _Toc11313 \h </w:instrText>
      </w:r>
      <w:r>
        <w:fldChar w:fldCharType="separate"/>
      </w:r>
      <w:r>
        <w:t>220</w:t>
      </w:r>
      <w:r>
        <w:fldChar w:fldCharType="end"/>
      </w:r>
      <w:r>
        <w:fldChar w:fldCharType="end"/>
      </w:r>
    </w:p>
    <w:p w14:paraId="05343128">
      <w:pPr>
        <w:pStyle w:val="10"/>
        <w:tabs>
          <w:tab w:val="right" w:leader="dot" w:pos="10466"/>
        </w:tabs>
      </w:pPr>
      <w:r>
        <w:fldChar w:fldCharType="begin"/>
      </w:r>
      <w:r>
        <w:instrText xml:space="preserve"> HYPERLINK \l _Toc31522 </w:instrText>
      </w:r>
      <w:r>
        <w:fldChar w:fldCharType="separate"/>
      </w:r>
      <w:r>
        <w:rPr>
          <w:rFonts w:hint="eastAsia"/>
          <w:lang w:val="en-US" w:eastAsia="zh-CN"/>
        </w:rPr>
        <w:t>第九章、</w:t>
      </w:r>
      <w:r>
        <w:rPr>
          <w:rFonts w:hint="eastAsia"/>
        </w:rPr>
        <w:t>建筑信息模型（BIM）技术</w:t>
      </w:r>
      <w:r>
        <w:tab/>
      </w:r>
      <w:r>
        <w:fldChar w:fldCharType="begin"/>
      </w:r>
      <w:r>
        <w:instrText xml:space="preserve"> PAGEREF _Toc31522 \h </w:instrText>
      </w:r>
      <w:r>
        <w:fldChar w:fldCharType="separate"/>
      </w:r>
      <w:r>
        <w:t>221</w:t>
      </w:r>
      <w:r>
        <w:fldChar w:fldCharType="end"/>
      </w:r>
      <w:r>
        <w:fldChar w:fldCharType="end"/>
      </w:r>
    </w:p>
    <w:p w14:paraId="47AD74AC">
      <w:pPr>
        <w:pStyle w:val="12"/>
        <w:tabs>
          <w:tab w:val="right" w:leader="dot" w:pos="10466"/>
        </w:tabs>
      </w:pPr>
      <w:r>
        <w:fldChar w:fldCharType="begin"/>
      </w:r>
      <w:r>
        <w:instrText xml:space="preserve"> HYPERLINK \l _Toc8240 </w:instrText>
      </w:r>
      <w:r>
        <w:fldChar w:fldCharType="separate"/>
      </w:r>
      <w:r>
        <w:rPr>
          <w:rFonts w:hint="eastAsia"/>
          <w:lang w:val="en-US" w:eastAsia="zh-CN"/>
        </w:rPr>
        <w:t>第一节</w:t>
      </w:r>
      <w:r>
        <w:rPr>
          <w:rFonts w:hint="eastAsia"/>
        </w:rPr>
        <w:t>、应用价值</w:t>
      </w:r>
      <w:r>
        <w:tab/>
      </w:r>
      <w:r>
        <w:fldChar w:fldCharType="begin"/>
      </w:r>
      <w:r>
        <w:instrText xml:space="preserve"> PAGEREF _Toc8240 \h </w:instrText>
      </w:r>
      <w:r>
        <w:fldChar w:fldCharType="separate"/>
      </w:r>
      <w:r>
        <w:t>221</w:t>
      </w:r>
      <w:r>
        <w:fldChar w:fldCharType="end"/>
      </w:r>
      <w:r>
        <w:fldChar w:fldCharType="end"/>
      </w:r>
    </w:p>
    <w:p w14:paraId="2A78A99C">
      <w:pPr>
        <w:pStyle w:val="12"/>
        <w:tabs>
          <w:tab w:val="right" w:leader="dot" w:pos="10466"/>
        </w:tabs>
      </w:pPr>
      <w:r>
        <w:fldChar w:fldCharType="begin"/>
      </w:r>
      <w:r>
        <w:instrText xml:space="preserve"> HYPERLINK \l _Toc24273 </w:instrText>
      </w:r>
      <w:r>
        <w:fldChar w:fldCharType="separate"/>
      </w:r>
      <w:r>
        <w:rPr>
          <w:rFonts w:hint="eastAsia"/>
          <w:lang w:val="en-US" w:eastAsia="zh-CN"/>
        </w:rPr>
        <w:t>第二节</w:t>
      </w:r>
      <w:r>
        <w:rPr>
          <w:rFonts w:hint="eastAsia"/>
        </w:rPr>
        <w:t>、各阶段应用要点</w:t>
      </w:r>
      <w:r>
        <w:tab/>
      </w:r>
      <w:r>
        <w:fldChar w:fldCharType="begin"/>
      </w:r>
      <w:r>
        <w:instrText xml:space="preserve"> PAGEREF _Toc24273 \h </w:instrText>
      </w:r>
      <w:r>
        <w:fldChar w:fldCharType="separate"/>
      </w:r>
      <w:r>
        <w:t>221</w:t>
      </w:r>
      <w:r>
        <w:fldChar w:fldCharType="end"/>
      </w:r>
      <w:r>
        <w:fldChar w:fldCharType="end"/>
      </w:r>
    </w:p>
    <w:p w14:paraId="13F57095">
      <w:pPr>
        <w:pStyle w:val="12"/>
        <w:tabs>
          <w:tab w:val="right" w:leader="dot" w:pos="10466"/>
        </w:tabs>
      </w:pPr>
      <w:r>
        <w:fldChar w:fldCharType="begin"/>
      </w:r>
      <w:r>
        <w:instrText xml:space="preserve"> HYPERLINK \l _Toc12098 </w:instrText>
      </w:r>
      <w:r>
        <w:fldChar w:fldCharType="separate"/>
      </w:r>
      <w:r>
        <w:rPr>
          <w:rFonts w:hint="eastAsia"/>
          <w:lang w:val="en-US" w:eastAsia="zh-CN"/>
        </w:rPr>
        <w:t>第三节</w:t>
      </w:r>
      <w:r>
        <w:rPr>
          <w:rFonts w:hint="eastAsia"/>
        </w:rPr>
        <w:t>、实施保障</w:t>
      </w:r>
      <w:r>
        <w:tab/>
      </w:r>
      <w:r>
        <w:fldChar w:fldCharType="begin"/>
      </w:r>
      <w:r>
        <w:instrText xml:space="preserve"> PAGEREF _Toc12098 \h </w:instrText>
      </w:r>
      <w:r>
        <w:fldChar w:fldCharType="separate"/>
      </w:r>
      <w:r>
        <w:t>222</w:t>
      </w:r>
      <w:r>
        <w:fldChar w:fldCharType="end"/>
      </w:r>
      <w:r>
        <w:fldChar w:fldCharType="end"/>
      </w:r>
    </w:p>
    <w:p w14:paraId="69B347A5">
      <w:pPr>
        <w:pStyle w:val="12"/>
        <w:tabs>
          <w:tab w:val="right" w:leader="dot" w:pos="10466"/>
        </w:tabs>
      </w:pPr>
      <w:r>
        <w:fldChar w:fldCharType="begin"/>
      </w:r>
      <w:r>
        <w:instrText xml:space="preserve"> HYPERLINK \l _Toc4933 </w:instrText>
      </w:r>
      <w:r>
        <w:fldChar w:fldCharType="separate"/>
      </w:r>
      <w:r>
        <w:rPr>
          <w:rFonts w:hint="eastAsia"/>
          <w:lang w:val="en-US" w:eastAsia="zh-CN"/>
        </w:rPr>
        <w:t>第四节</w:t>
      </w:r>
      <w:r>
        <w:rPr>
          <w:rFonts w:hint="eastAsia"/>
        </w:rPr>
        <w:t>、典型应用场景</w:t>
      </w:r>
      <w:r>
        <w:tab/>
      </w:r>
      <w:r>
        <w:fldChar w:fldCharType="begin"/>
      </w:r>
      <w:r>
        <w:instrText xml:space="preserve"> PAGEREF _Toc4933 \h </w:instrText>
      </w:r>
      <w:r>
        <w:fldChar w:fldCharType="separate"/>
      </w:r>
      <w:r>
        <w:t>222</w:t>
      </w:r>
      <w:r>
        <w:fldChar w:fldCharType="end"/>
      </w:r>
      <w:r>
        <w:fldChar w:fldCharType="end"/>
      </w:r>
    </w:p>
    <w:p w14:paraId="7B322E5B">
      <w:pPr>
        <w:pStyle w:val="10"/>
        <w:tabs>
          <w:tab w:val="right" w:leader="dot" w:pos="10466"/>
        </w:tabs>
      </w:pPr>
      <w:r>
        <w:fldChar w:fldCharType="begin"/>
      </w:r>
      <w:r>
        <w:instrText xml:space="preserve"> HYPERLINK \l _Toc30646 </w:instrText>
      </w:r>
      <w:r>
        <w:fldChar w:fldCharType="separate"/>
      </w:r>
      <w:r>
        <w:rPr>
          <w:rFonts w:hint="eastAsia"/>
          <w:lang w:val="en-US" w:eastAsia="zh-CN"/>
        </w:rPr>
        <w:t>第十章、</w:t>
      </w:r>
      <w:r>
        <w:rPr>
          <w:rFonts w:hint="eastAsia"/>
        </w:rPr>
        <w:t>EPC 分包管理</w:t>
      </w:r>
      <w:r>
        <w:tab/>
      </w:r>
      <w:r>
        <w:fldChar w:fldCharType="begin"/>
      </w:r>
      <w:r>
        <w:instrText xml:space="preserve"> PAGEREF _Toc30646 \h </w:instrText>
      </w:r>
      <w:r>
        <w:fldChar w:fldCharType="separate"/>
      </w:r>
      <w:r>
        <w:t>223</w:t>
      </w:r>
      <w:r>
        <w:fldChar w:fldCharType="end"/>
      </w:r>
      <w:r>
        <w:fldChar w:fldCharType="end"/>
      </w:r>
    </w:p>
    <w:p w14:paraId="2121EB61">
      <w:pPr>
        <w:pStyle w:val="12"/>
        <w:tabs>
          <w:tab w:val="right" w:leader="dot" w:pos="10466"/>
        </w:tabs>
      </w:pPr>
      <w:r>
        <w:fldChar w:fldCharType="begin"/>
      </w:r>
      <w:r>
        <w:instrText xml:space="preserve"> HYPERLINK \l _Toc9062 </w:instrText>
      </w:r>
      <w:r>
        <w:fldChar w:fldCharType="separate"/>
      </w:r>
      <w:r>
        <w:rPr>
          <w:rFonts w:hint="eastAsia"/>
        </w:rPr>
        <w:t>一、分包管理原则</w:t>
      </w:r>
      <w:r>
        <w:tab/>
      </w:r>
      <w:r>
        <w:fldChar w:fldCharType="begin"/>
      </w:r>
      <w:r>
        <w:instrText xml:space="preserve"> PAGEREF _Toc9062 \h </w:instrText>
      </w:r>
      <w:r>
        <w:fldChar w:fldCharType="separate"/>
      </w:r>
      <w:r>
        <w:t>223</w:t>
      </w:r>
      <w:r>
        <w:fldChar w:fldCharType="end"/>
      </w:r>
      <w:r>
        <w:fldChar w:fldCharType="end"/>
      </w:r>
    </w:p>
    <w:p w14:paraId="40473E34">
      <w:pPr>
        <w:pStyle w:val="12"/>
        <w:tabs>
          <w:tab w:val="right" w:leader="dot" w:pos="10466"/>
        </w:tabs>
      </w:pPr>
      <w:r>
        <w:fldChar w:fldCharType="begin"/>
      </w:r>
      <w:r>
        <w:instrText xml:space="preserve"> HYPERLINK \l _Toc16192 </w:instrText>
      </w:r>
      <w:r>
        <w:fldChar w:fldCharType="separate"/>
      </w:r>
      <w:r>
        <w:rPr>
          <w:rFonts w:hint="eastAsia"/>
        </w:rPr>
        <w:t>二、分包范围划分</w:t>
      </w:r>
      <w:r>
        <w:tab/>
      </w:r>
      <w:r>
        <w:fldChar w:fldCharType="begin"/>
      </w:r>
      <w:r>
        <w:instrText xml:space="preserve"> PAGEREF _Toc16192 \h </w:instrText>
      </w:r>
      <w:r>
        <w:fldChar w:fldCharType="separate"/>
      </w:r>
      <w:r>
        <w:t>223</w:t>
      </w:r>
      <w:r>
        <w:fldChar w:fldCharType="end"/>
      </w:r>
      <w:r>
        <w:fldChar w:fldCharType="end"/>
      </w:r>
    </w:p>
    <w:p w14:paraId="1C3758C8">
      <w:pPr>
        <w:pStyle w:val="12"/>
        <w:tabs>
          <w:tab w:val="right" w:leader="dot" w:pos="10466"/>
        </w:tabs>
      </w:pPr>
      <w:r>
        <w:fldChar w:fldCharType="begin"/>
      </w:r>
      <w:r>
        <w:instrText xml:space="preserve"> HYPERLINK \l _Toc25758 </w:instrText>
      </w:r>
      <w:r>
        <w:fldChar w:fldCharType="separate"/>
      </w:r>
      <w:r>
        <w:rPr>
          <w:rFonts w:hint="eastAsia"/>
        </w:rPr>
        <w:t>三、分包管理流程</w:t>
      </w:r>
      <w:r>
        <w:tab/>
      </w:r>
      <w:r>
        <w:fldChar w:fldCharType="begin"/>
      </w:r>
      <w:r>
        <w:instrText xml:space="preserve"> PAGEREF _Toc25758 \h </w:instrText>
      </w:r>
      <w:r>
        <w:fldChar w:fldCharType="separate"/>
      </w:r>
      <w:r>
        <w:t>223</w:t>
      </w:r>
      <w:r>
        <w:fldChar w:fldCharType="end"/>
      </w:r>
      <w:r>
        <w:fldChar w:fldCharType="end"/>
      </w:r>
    </w:p>
    <w:p w14:paraId="2F0A610D">
      <w:pPr>
        <w:pStyle w:val="12"/>
        <w:tabs>
          <w:tab w:val="right" w:leader="dot" w:pos="10466"/>
        </w:tabs>
      </w:pPr>
      <w:r>
        <w:fldChar w:fldCharType="begin"/>
      </w:r>
      <w:r>
        <w:instrText xml:space="preserve"> HYPERLINK \l _Toc17657 </w:instrText>
      </w:r>
      <w:r>
        <w:fldChar w:fldCharType="separate"/>
      </w:r>
      <w:r>
        <w:rPr>
          <w:rFonts w:hint="eastAsia"/>
        </w:rPr>
        <w:t>四、关键管控要点</w:t>
      </w:r>
      <w:r>
        <w:tab/>
      </w:r>
      <w:r>
        <w:fldChar w:fldCharType="begin"/>
      </w:r>
      <w:r>
        <w:instrText xml:space="preserve"> PAGEREF _Toc17657 \h </w:instrText>
      </w:r>
      <w:r>
        <w:fldChar w:fldCharType="separate"/>
      </w:r>
      <w:r>
        <w:t>225</w:t>
      </w:r>
      <w:r>
        <w:fldChar w:fldCharType="end"/>
      </w:r>
      <w:r>
        <w:fldChar w:fldCharType="end"/>
      </w:r>
    </w:p>
    <w:p w14:paraId="47E7AFD8">
      <w:pPr>
        <w:pStyle w:val="12"/>
        <w:tabs>
          <w:tab w:val="right" w:leader="dot" w:pos="10466"/>
        </w:tabs>
      </w:pPr>
      <w:r>
        <w:fldChar w:fldCharType="begin"/>
      </w:r>
      <w:r>
        <w:instrText xml:space="preserve"> HYPERLINK \l _Toc14974 </w:instrText>
      </w:r>
      <w:r>
        <w:fldChar w:fldCharType="separate"/>
      </w:r>
      <w:r>
        <w:rPr>
          <w:rFonts w:hint="eastAsia"/>
        </w:rPr>
        <w:t>五、风险防范措施</w:t>
      </w:r>
      <w:r>
        <w:tab/>
      </w:r>
      <w:r>
        <w:fldChar w:fldCharType="begin"/>
      </w:r>
      <w:r>
        <w:instrText xml:space="preserve"> PAGEREF _Toc14974 \h </w:instrText>
      </w:r>
      <w:r>
        <w:fldChar w:fldCharType="separate"/>
      </w:r>
      <w:r>
        <w:t>225</w:t>
      </w:r>
      <w:r>
        <w:fldChar w:fldCharType="end"/>
      </w:r>
      <w:r>
        <w:fldChar w:fldCharType="end"/>
      </w:r>
    </w:p>
    <w:p w14:paraId="31E413D9">
      <w:pPr>
        <w:pStyle w:val="12"/>
        <w:tabs>
          <w:tab w:val="right" w:leader="dot" w:pos="10466"/>
        </w:tabs>
      </w:pPr>
      <w:r>
        <w:fldChar w:fldCharType="begin"/>
      </w:r>
      <w:r>
        <w:instrText xml:space="preserve"> HYPERLINK \l _Toc21639 </w:instrText>
      </w:r>
      <w:r>
        <w:fldChar w:fldCharType="separate"/>
      </w:r>
      <w:r>
        <w:rPr>
          <w:rFonts w:hint="eastAsia"/>
        </w:rPr>
        <w:t>六、分包管理责任体系</w:t>
      </w:r>
      <w:r>
        <w:tab/>
      </w:r>
      <w:r>
        <w:fldChar w:fldCharType="begin"/>
      </w:r>
      <w:r>
        <w:instrText xml:space="preserve"> PAGEREF _Toc21639 \h </w:instrText>
      </w:r>
      <w:r>
        <w:fldChar w:fldCharType="separate"/>
      </w:r>
      <w:r>
        <w:t>225</w:t>
      </w:r>
      <w:r>
        <w:fldChar w:fldCharType="end"/>
      </w:r>
      <w:r>
        <w:fldChar w:fldCharType="end"/>
      </w:r>
    </w:p>
    <w:p w14:paraId="1AD639FF">
      <w:pPr>
        <w:pStyle w:val="10"/>
        <w:tabs>
          <w:tab w:val="right" w:leader="dot" w:pos="10466"/>
        </w:tabs>
      </w:pPr>
      <w:r>
        <w:fldChar w:fldCharType="begin"/>
      </w:r>
      <w:r>
        <w:instrText xml:space="preserve"> HYPERLINK \l _Toc22567 </w:instrText>
      </w:r>
      <w:r>
        <w:fldChar w:fldCharType="separate"/>
      </w:r>
      <w:r>
        <w:rPr>
          <w:rFonts w:hint="eastAsia"/>
        </w:rPr>
        <w:t>第</w:t>
      </w:r>
      <w:r>
        <w:rPr>
          <w:rFonts w:hint="eastAsia"/>
          <w:lang w:val="en-US" w:eastAsia="zh-CN"/>
        </w:rPr>
        <w:t>十一</w:t>
      </w:r>
      <w:r>
        <w:rPr>
          <w:rFonts w:hint="eastAsia"/>
        </w:rPr>
        <w:t>章、本地化服务</w:t>
      </w:r>
      <w:r>
        <w:tab/>
      </w:r>
      <w:r>
        <w:fldChar w:fldCharType="begin"/>
      </w:r>
      <w:r>
        <w:instrText xml:space="preserve"> PAGEREF _Toc22567 \h </w:instrText>
      </w:r>
      <w:r>
        <w:fldChar w:fldCharType="separate"/>
      </w:r>
      <w:r>
        <w:t>226</w:t>
      </w:r>
      <w:r>
        <w:fldChar w:fldCharType="end"/>
      </w:r>
      <w:r>
        <w:fldChar w:fldCharType="end"/>
      </w:r>
    </w:p>
    <w:p w14:paraId="27CB0B2F">
      <w:pPr>
        <w:pStyle w:val="12"/>
        <w:tabs>
          <w:tab w:val="right" w:leader="dot" w:pos="10466"/>
        </w:tabs>
      </w:pPr>
      <w:r>
        <w:fldChar w:fldCharType="begin"/>
      </w:r>
      <w:r>
        <w:instrText xml:space="preserve"> HYPERLINK \l _Toc18314 </w:instrText>
      </w:r>
      <w:r>
        <w:fldChar w:fldCharType="separate"/>
      </w:r>
      <w:r>
        <w:rPr>
          <w:rFonts w:hint="eastAsia"/>
        </w:rPr>
        <w:t>第一节、项目班子组成方案及优势</w:t>
      </w:r>
      <w:r>
        <w:tab/>
      </w:r>
      <w:r>
        <w:fldChar w:fldCharType="begin"/>
      </w:r>
      <w:r>
        <w:instrText xml:space="preserve"> PAGEREF _Toc18314 \h </w:instrText>
      </w:r>
      <w:r>
        <w:fldChar w:fldCharType="separate"/>
      </w:r>
      <w:r>
        <w:t>226</w:t>
      </w:r>
      <w:r>
        <w:fldChar w:fldCharType="end"/>
      </w:r>
      <w:r>
        <w:fldChar w:fldCharType="end"/>
      </w:r>
    </w:p>
    <w:p w14:paraId="71E8E584">
      <w:pPr>
        <w:pStyle w:val="7"/>
        <w:tabs>
          <w:tab w:val="right" w:leader="dot" w:pos="10466"/>
        </w:tabs>
      </w:pPr>
      <w:r>
        <w:fldChar w:fldCharType="begin"/>
      </w:r>
      <w:r>
        <w:instrText xml:space="preserve"> HYPERLINK \l _Toc15151 </w:instrText>
      </w:r>
      <w:r>
        <w:fldChar w:fldCharType="separate"/>
      </w:r>
      <w:r>
        <w:rPr>
          <w:rFonts w:hint="eastAsia"/>
        </w:rPr>
        <w:t>一、项目管理体系</w:t>
      </w:r>
      <w:r>
        <w:tab/>
      </w:r>
      <w:r>
        <w:fldChar w:fldCharType="begin"/>
      </w:r>
      <w:r>
        <w:instrText xml:space="preserve"> PAGEREF _Toc15151 \h </w:instrText>
      </w:r>
      <w:r>
        <w:fldChar w:fldCharType="separate"/>
      </w:r>
      <w:r>
        <w:t>226</w:t>
      </w:r>
      <w:r>
        <w:fldChar w:fldCharType="end"/>
      </w:r>
      <w:r>
        <w:fldChar w:fldCharType="end"/>
      </w:r>
    </w:p>
    <w:p w14:paraId="4A15709C">
      <w:pPr>
        <w:pStyle w:val="7"/>
        <w:tabs>
          <w:tab w:val="right" w:leader="dot" w:pos="10466"/>
        </w:tabs>
      </w:pPr>
      <w:r>
        <w:fldChar w:fldCharType="begin"/>
      </w:r>
      <w:r>
        <w:instrText xml:space="preserve"> HYPERLINK \l _Toc4765 </w:instrText>
      </w:r>
      <w:r>
        <w:fldChar w:fldCharType="separate"/>
      </w:r>
      <w:r>
        <w:rPr>
          <w:rFonts w:hint="eastAsia"/>
        </w:rPr>
        <w:t>二、项目组织机构原则</w:t>
      </w:r>
      <w:r>
        <w:tab/>
      </w:r>
      <w:r>
        <w:fldChar w:fldCharType="begin"/>
      </w:r>
      <w:r>
        <w:instrText xml:space="preserve"> PAGEREF _Toc4765 \h </w:instrText>
      </w:r>
      <w:r>
        <w:fldChar w:fldCharType="separate"/>
      </w:r>
      <w:r>
        <w:t>226</w:t>
      </w:r>
      <w:r>
        <w:fldChar w:fldCharType="end"/>
      </w:r>
      <w:r>
        <w:fldChar w:fldCharType="end"/>
      </w:r>
    </w:p>
    <w:p w14:paraId="00AEE218">
      <w:pPr>
        <w:pStyle w:val="7"/>
        <w:tabs>
          <w:tab w:val="right" w:leader="dot" w:pos="10466"/>
        </w:tabs>
      </w:pPr>
      <w:r>
        <w:fldChar w:fldCharType="begin"/>
      </w:r>
      <w:r>
        <w:instrText xml:space="preserve"> HYPERLINK \l _Toc7532 </w:instrText>
      </w:r>
      <w:r>
        <w:fldChar w:fldCharType="separate"/>
      </w:r>
      <w:r>
        <w:rPr>
          <w:rFonts w:hint="eastAsia"/>
        </w:rPr>
        <w:t>三、项目班子组成</w:t>
      </w:r>
      <w:r>
        <w:tab/>
      </w:r>
      <w:r>
        <w:fldChar w:fldCharType="begin"/>
      </w:r>
      <w:r>
        <w:instrText xml:space="preserve"> PAGEREF _Toc7532 \h </w:instrText>
      </w:r>
      <w:r>
        <w:fldChar w:fldCharType="separate"/>
      </w:r>
      <w:r>
        <w:t>227</w:t>
      </w:r>
      <w:r>
        <w:fldChar w:fldCharType="end"/>
      </w:r>
      <w:r>
        <w:fldChar w:fldCharType="end"/>
      </w:r>
    </w:p>
    <w:p w14:paraId="1E89EB3D">
      <w:pPr>
        <w:pStyle w:val="7"/>
        <w:tabs>
          <w:tab w:val="right" w:leader="dot" w:pos="10466"/>
        </w:tabs>
      </w:pPr>
      <w:r>
        <w:fldChar w:fldCharType="begin"/>
      </w:r>
      <w:r>
        <w:instrText xml:space="preserve"> HYPERLINK \l _Toc19469 </w:instrText>
      </w:r>
      <w:r>
        <w:fldChar w:fldCharType="separate"/>
      </w:r>
      <w:r>
        <w:rPr>
          <w:rFonts w:hint="eastAsia"/>
        </w:rPr>
        <w:t>四、管理人员职责</w:t>
      </w:r>
      <w:r>
        <w:tab/>
      </w:r>
      <w:r>
        <w:fldChar w:fldCharType="begin"/>
      </w:r>
      <w:r>
        <w:instrText xml:space="preserve"> PAGEREF _Toc19469 \h </w:instrText>
      </w:r>
      <w:r>
        <w:fldChar w:fldCharType="separate"/>
      </w:r>
      <w:r>
        <w:t>227</w:t>
      </w:r>
      <w:r>
        <w:fldChar w:fldCharType="end"/>
      </w:r>
      <w:r>
        <w:fldChar w:fldCharType="end"/>
      </w:r>
    </w:p>
    <w:p w14:paraId="79A0B538">
      <w:pPr>
        <w:pStyle w:val="7"/>
        <w:tabs>
          <w:tab w:val="right" w:leader="dot" w:pos="10466"/>
        </w:tabs>
      </w:pPr>
      <w:r>
        <w:fldChar w:fldCharType="begin"/>
      </w:r>
      <w:r>
        <w:instrText xml:space="preserve"> HYPERLINK \l _Toc23973 </w:instrText>
      </w:r>
      <w:r>
        <w:fldChar w:fldCharType="separate"/>
      </w:r>
      <w:r>
        <w:rPr>
          <w:rFonts w:hint="eastAsia"/>
        </w:rPr>
        <w:t>五、对项目管理工作的主要要求</w:t>
      </w:r>
      <w:r>
        <w:tab/>
      </w:r>
      <w:r>
        <w:fldChar w:fldCharType="begin"/>
      </w:r>
      <w:r>
        <w:instrText xml:space="preserve"> PAGEREF _Toc23973 \h </w:instrText>
      </w:r>
      <w:r>
        <w:fldChar w:fldCharType="separate"/>
      </w:r>
      <w:r>
        <w:t>232</w:t>
      </w:r>
      <w:r>
        <w:fldChar w:fldCharType="end"/>
      </w:r>
      <w:r>
        <w:fldChar w:fldCharType="end"/>
      </w:r>
    </w:p>
    <w:p w14:paraId="22EA2107">
      <w:pPr>
        <w:pStyle w:val="12"/>
        <w:tabs>
          <w:tab w:val="right" w:leader="dot" w:pos="10466"/>
        </w:tabs>
      </w:pPr>
      <w:r>
        <w:fldChar w:fldCharType="begin"/>
      </w:r>
      <w:r>
        <w:instrText xml:space="preserve"> HYPERLINK \l _Toc7060 </w:instrText>
      </w:r>
      <w:r>
        <w:fldChar w:fldCharType="separate"/>
      </w:r>
      <w:r>
        <w:rPr>
          <w:rFonts w:hint="eastAsia"/>
        </w:rPr>
        <w:t>第二节、人、财、物资源支持方案及优势</w:t>
      </w:r>
      <w:r>
        <w:tab/>
      </w:r>
      <w:r>
        <w:fldChar w:fldCharType="begin"/>
      </w:r>
      <w:r>
        <w:instrText xml:space="preserve"> PAGEREF _Toc7060 \h </w:instrText>
      </w:r>
      <w:r>
        <w:fldChar w:fldCharType="separate"/>
      </w:r>
      <w:r>
        <w:t>234</w:t>
      </w:r>
      <w:r>
        <w:fldChar w:fldCharType="end"/>
      </w:r>
      <w:r>
        <w:fldChar w:fldCharType="end"/>
      </w:r>
    </w:p>
    <w:p w14:paraId="7876961A">
      <w:pPr>
        <w:pStyle w:val="7"/>
        <w:tabs>
          <w:tab w:val="right" w:leader="dot" w:pos="10466"/>
        </w:tabs>
      </w:pPr>
      <w:r>
        <w:fldChar w:fldCharType="begin"/>
      </w:r>
      <w:r>
        <w:instrText xml:space="preserve"> HYPERLINK \l _Toc21298 </w:instrText>
      </w:r>
      <w:r>
        <w:fldChar w:fldCharType="separate"/>
      </w:r>
      <w:r>
        <w:rPr>
          <w:rFonts w:hint="eastAsia"/>
        </w:rPr>
        <w:t>一、人力资源支持</w:t>
      </w:r>
      <w:r>
        <w:tab/>
      </w:r>
      <w:r>
        <w:fldChar w:fldCharType="begin"/>
      </w:r>
      <w:r>
        <w:instrText xml:space="preserve"> PAGEREF _Toc21298 \h </w:instrText>
      </w:r>
      <w:r>
        <w:fldChar w:fldCharType="separate"/>
      </w:r>
      <w:r>
        <w:t>234</w:t>
      </w:r>
      <w:r>
        <w:fldChar w:fldCharType="end"/>
      </w:r>
      <w:r>
        <w:fldChar w:fldCharType="end"/>
      </w:r>
    </w:p>
    <w:p w14:paraId="317474D4">
      <w:pPr>
        <w:pStyle w:val="7"/>
        <w:tabs>
          <w:tab w:val="right" w:leader="dot" w:pos="10466"/>
        </w:tabs>
      </w:pPr>
      <w:r>
        <w:fldChar w:fldCharType="begin"/>
      </w:r>
      <w:r>
        <w:instrText xml:space="preserve"> HYPERLINK \l _Toc28807 </w:instrText>
      </w:r>
      <w:r>
        <w:fldChar w:fldCharType="separate"/>
      </w:r>
      <w:r>
        <w:rPr>
          <w:rFonts w:hint="eastAsia"/>
        </w:rPr>
        <w:t>二、财务支出支持</w:t>
      </w:r>
      <w:r>
        <w:tab/>
      </w:r>
      <w:r>
        <w:fldChar w:fldCharType="begin"/>
      </w:r>
      <w:r>
        <w:instrText xml:space="preserve"> PAGEREF _Toc28807 \h </w:instrText>
      </w:r>
      <w:r>
        <w:fldChar w:fldCharType="separate"/>
      </w:r>
      <w:r>
        <w:t>234</w:t>
      </w:r>
      <w:r>
        <w:fldChar w:fldCharType="end"/>
      </w:r>
      <w:r>
        <w:fldChar w:fldCharType="end"/>
      </w:r>
    </w:p>
    <w:p w14:paraId="20FD63FA">
      <w:pPr>
        <w:pStyle w:val="7"/>
        <w:tabs>
          <w:tab w:val="right" w:leader="dot" w:pos="10466"/>
        </w:tabs>
      </w:pPr>
      <w:r>
        <w:fldChar w:fldCharType="begin"/>
      </w:r>
      <w:r>
        <w:instrText xml:space="preserve"> HYPERLINK \l _Toc17069 </w:instrText>
      </w:r>
      <w:r>
        <w:fldChar w:fldCharType="separate"/>
      </w:r>
      <w:r>
        <w:rPr>
          <w:rFonts w:hint="eastAsia"/>
        </w:rPr>
        <w:t>三、物资力量支持</w:t>
      </w:r>
      <w:r>
        <w:tab/>
      </w:r>
      <w:r>
        <w:fldChar w:fldCharType="begin"/>
      </w:r>
      <w:r>
        <w:instrText xml:space="preserve"> PAGEREF _Toc17069 \h </w:instrText>
      </w:r>
      <w:r>
        <w:fldChar w:fldCharType="separate"/>
      </w:r>
      <w:r>
        <w:t>250</w:t>
      </w:r>
      <w:r>
        <w:fldChar w:fldCharType="end"/>
      </w:r>
      <w:r>
        <w:fldChar w:fldCharType="end"/>
      </w:r>
    </w:p>
    <w:p w14:paraId="7B4C02AD">
      <w:pPr>
        <w:pStyle w:val="12"/>
        <w:tabs>
          <w:tab w:val="right" w:leader="dot" w:pos="10466"/>
        </w:tabs>
      </w:pPr>
      <w:r>
        <w:fldChar w:fldCharType="begin"/>
      </w:r>
      <w:r>
        <w:instrText xml:space="preserve"> HYPERLINK \l _Toc10681 </w:instrText>
      </w:r>
      <w:r>
        <w:fldChar w:fldCharType="separate"/>
      </w:r>
      <w:r>
        <w:rPr>
          <w:rFonts w:hint="eastAsia"/>
        </w:rPr>
        <w:t>第三节、公司技术支持方案</w:t>
      </w:r>
      <w:r>
        <w:tab/>
      </w:r>
      <w:r>
        <w:fldChar w:fldCharType="begin"/>
      </w:r>
      <w:r>
        <w:instrText xml:space="preserve"> PAGEREF _Toc10681 \h </w:instrText>
      </w:r>
      <w:r>
        <w:fldChar w:fldCharType="separate"/>
      </w:r>
      <w:r>
        <w:t>280</w:t>
      </w:r>
      <w:r>
        <w:fldChar w:fldCharType="end"/>
      </w:r>
      <w:r>
        <w:fldChar w:fldCharType="end"/>
      </w:r>
    </w:p>
    <w:p w14:paraId="6354651F">
      <w:pPr>
        <w:pStyle w:val="7"/>
        <w:tabs>
          <w:tab w:val="right" w:leader="dot" w:pos="10466"/>
        </w:tabs>
      </w:pPr>
      <w:r>
        <w:fldChar w:fldCharType="begin"/>
      </w:r>
      <w:r>
        <w:instrText xml:space="preserve"> HYPERLINK \l _Toc2125 </w:instrText>
      </w:r>
      <w:r>
        <w:fldChar w:fldCharType="separate"/>
      </w:r>
      <w:r>
        <w:rPr>
          <w:rFonts w:hint="eastAsia"/>
        </w:rPr>
        <w:t>一、供水管网GIS信息系统</w:t>
      </w:r>
      <w:r>
        <w:tab/>
      </w:r>
      <w:r>
        <w:fldChar w:fldCharType="begin"/>
      </w:r>
      <w:r>
        <w:instrText xml:space="preserve"> PAGEREF _Toc2125 \h </w:instrText>
      </w:r>
      <w:r>
        <w:fldChar w:fldCharType="separate"/>
      </w:r>
      <w:r>
        <w:t>280</w:t>
      </w:r>
      <w:r>
        <w:fldChar w:fldCharType="end"/>
      </w:r>
      <w:r>
        <w:fldChar w:fldCharType="end"/>
      </w:r>
    </w:p>
    <w:p w14:paraId="38BF270C">
      <w:pPr>
        <w:pStyle w:val="7"/>
        <w:tabs>
          <w:tab w:val="right" w:leader="dot" w:pos="10466"/>
        </w:tabs>
      </w:pPr>
      <w:r>
        <w:fldChar w:fldCharType="begin"/>
      </w:r>
      <w:r>
        <w:instrText xml:space="preserve"> HYPERLINK \l _Toc27864 </w:instrText>
      </w:r>
      <w:r>
        <w:fldChar w:fldCharType="separate"/>
      </w:r>
      <w:r>
        <w:rPr>
          <w:rFonts w:hint="eastAsia"/>
        </w:rPr>
        <w:t>二、系统总体设计</w:t>
      </w:r>
      <w:r>
        <w:tab/>
      </w:r>
      <w:r>
        <w:fldChar w:fldCharType="begin"/>
      </w:r>
      <w:r>
        <w:instrText xml:space="preserve"> PAGEREF _Toc27864 \h </w:instrText>
      </w:r>
      <w:r>
        <w:fldChar w:fldCharType="separate"/>
      </w:r>
      <w:r>
        <w:t>281</w:t>
      </w:r>
      <w:r>
        <w:fldChar w:fldCharType="end"/>
      </w:r>
      <w:r>
        <w:fldChar w:fldCharType="end"/>
      </w:r>
    </w:p>
    <w:p w14:paraId="4470D41D">
      <w:pPr>
        <w:pStyle w:val="7"/>
        <w:tabs>
          <w:tab w:val="right" w:leader="dot" w:pos="10466"/>
        </w:tabs>
      </w:pPr>
      <w:r>
        <w:fldChar w:fldCharType="begin"/>
      </w:r>
      <w:r>
        <w:instrText xml:space="preserve"> HYPERLINK \l _Toc19472 </w:instrText>
      </w:r>
      <w:r>
        <w:fldChar w:fldCharType="separate"/>
      </w:r>
      <w:r>
        <w:rPr>
          <w:rFonts w:hint="eastAsia"/>
        </w:rPr>
        <w:t>三、系统功能设计</w:t>
      </w:r>
      <w:r>
        <w:tab/>
      </w:r>
      <w:r>
        <w:fldChar w:fldCharType="begin"/>
      </w:r>
      <w:r>
        <w:instrText xml:space="preserve"> PAGEREF _Toc19472 \h </w:instrText>
      </w:r>
      <w:r>
        <w:fldChar w:fldCharType="separate"/>
      </w:r>
      <w:r>
        <w:t>284</w:t>
      </w:r>
      <w:r>
        <w:fldChar w:fldCharType="end"/>
      </w:r>
      <w:r>
        <w:fldChar w:fldCharType="end"/>
      </w:r>
    </w:p>
    <w:p w14:paraId="0271062B">
      <w:pPr>
        <w:pStyle w:val="12"/>
        <w:tabs>
          <w:tab w:val="right" w:leader="dot" w:pos="10466"/>
        </w:tabs>
      </w:pPr>
      <w:r>
        <w:fldChar w:fldCharType="begin"/>
      </w:r>
      <w:r>
        <w:instrText xml:space="preserve"> HYPERLINK \l _Toc7885 </w:instrText>
      </w:r>
      <w:r>
        <w:fldChar w:fldCharType="separate"/>
      </w:r>
      <w:r>
        <w:rPr>
          <w:rFonts w:hint="eastAsia"/>
        </w:rPr>
        <w:t>第四节、外部协调方案及优势</w:t>
      </w:r>
      <w:r>
        <w:tab/>
      </w:r>
      <w:r>
        <w:fldChar w:fldCharType="begin"/>
      </w:r>
      <w:r>
        <w:instrText xml:space="preserve"> PAGEREF _Toc7885 \h </w:instrText>
      </w:r>
      <w:r>
        <w:fldChar w:fldCharType="separate"/>
      </w:r>
      <w:r>
        <w:t>290</w:t>
      </w:r>
      <w:r>
        <w:fldChar w:fldCharType="end"/>
      </w:r>
      <w:r>
        <w:fldChar w:fldCharType="end"/>
      </w:r>
    </w:p>
    <w:p w14:paraId="1FF1C0E2">
      <w:pPr>
        <w:pStyle w:val="7"/>
        <w:tabs>
          <w:tab w:val="right" w:leader="dot" w:pos="10466"/>
        </w:tabs>
      </w:pPr>
      <w:r>
        <w:fldChar w:fldCharType="begin"/>
      </w:r>
      <w:r>
        <w:instrText xml:space="preserve"> HYPERLINK \l _Toc20630 </w:instrText>
      </w:r>
      <w:r>
        <w:fldChar w:fldCharType="separate"/>
      </w:r>
      <w:r>
        <w:rPr>
          <w:rFonts w:hint="eastAsia"/>
        </w:rPr>
        <w:t>一、与建设管理方的配合协调</w:t>
      </w:r>
      <w:r>
        <w:tab/>
      </w:r>
      <w:r>
        <w:fldChar w:fldCharType="begin"/>
      </w:r>
      <w:r>
        <w:instrText xml:space="preserve"> PAGEREF _Toc20630 \h </w:instrText>
      </w:r>
      <w:r>
        <w:fldChar w:fldCharType="separate"/>
      </w:r>
      <w:r>
        <w:t>290</w:t>
      </w:r>
      <w:r>
        <w:fldChar w:fldCharType="end"/>
      </w:r>
      <w:r>
        <w:fldChar w:fldCharType="end"/>
      </w:r>
    </w:p>
    <w:p w14:paraId="02A993EA">
      <w:pPr>
        <w:pStyle w:val="7"/>
        <w:tabs>
          <w:tab w:val="right" w:leader="dot" w:pos="10466"/>
        </w:tabs>
      </w:pPr>
      <w:r>
        <w:fldChar w:fldCharType="begin"/>
      </w:r>
      <w:r>
        <w:instrText xml:space="preserve"> HYPERLINK \l _Toc16138 </w:instrText>
      </w:r>
      <w:r>
        <w:fldChar w:fldCharType="separate"/>
      </w:r>
      <w:r>
        <w:rPr>
          <w:rFonts w:hint="eastAsia"/>
        </w:rPr>
        <w:t>二、与设计单位的配合协调</w:t>
      </w:r>
      <w:r>
        <w:tab/>
      </w:r>
      <w:r>
        <w:fldChar w:fldCharType="begin"/>
      </w:r>
      <w:r>
        <w:instrText xml:space="preserve"> PAGEREF _Toc16138 \h </w:instrText>
      </w:r>
      <w:r>
        <w:fldChar w:fldCharType="separate"/>
      </w:r>
      <w:r>
        <w:t>290</w:t>
      </w:r>
      <w:r>
        <w:fldChar w:fldCharType="end"/>
      </w:r>
      <w:r>
        <w:fldChar w:fldCharType="end"/>
      </w:r>
    </w:p>
    <w:p w14:paraId="28E4B77E">
      <w:pPr>
        <w:pStyle w:val="7"/>
        <w:tabs>
          <w:tab w:val="right" w:leader="dot" w:pos="10466"/>
        </w:tabs>
      </w:pPr>
      <w:r>
        <w:fldChar w:fldCharType="begin"/>
      </w:r>
      <w:r>
        <w:instrText xml:space="preserve"> HYPERLINK \l _Toc28275 </w:instrText>
      </w:r>
      <w:r>
        <w:fldChar w:fldCharType="separate"/>
      </w:r>
      <w:r>
        <w:rPr>
          <w:rFonts w:hint="eastAsia"/>
        </w:rPr>
        <w:t>三、与监理单位的配合协调</w:t>
      </w:r>
      <w:r>
        <w:tab/>
      </w:r>
      <w:r>
        <w:fldChar w:fldCharType="begin"/>
      </w:r>
      <w:r>
        <w:instrText xml:space="preserve"> PAGEREF _Toc28275 \h </w:instrText>
      </w:r>
      <w:r>
        <w:fldChar w:fldCharType="separate"/>
      </w:r>
      <w:r>
        <w:t>291</w:t>
      </w:r>
      <w:r>
        <w:fldChar w:fldCharType="end"/>
      </w:r>
      <w:r>
        <w:fldChar w:fldCharType="end"/>
      </w:r>
    </w:p>
    <w:p w14:paraId="0DEEB30C">
      <w:pPr>
        <w:pStyle w:val="7"/>
        <w:tabs>
          <w:tab w:val="right" w:leader="dot" w:pos="10466"/>
        </w:tabs>
      </w:pPr>
      <w:r>
        <w:fldChar w:fldCharType="begin"/>
      </w:r>
      <w:r>
        <w:instrText xml:space="preserve"> HYPERLINK \l _Toc15545 </w:instrText>
      </w:r>
      <w:r>
        <w:fldChar w:fldCharType="separate"/>
      </w:r>
      <w:r>
        <w:rPr>
          <w:rFonts w:hint="eastAsia"/>
        </w:rPr>
        <w:t>四、与市政、管线、道路等单位的配合协调</w:t>
      </w:r>
      <w:r>
        <w:tab/>
      </w:r>
      <w:r>
        <w:fldChar w:fldCharType="begin"/>
      </w:r>
      <w:r>
        <w:instrText xml:space="preserve"> PAGEREF _Toc15545 \h </w:instrText>
      </w:r>
      <w:r>
        <w:fldChar w:fldCharType="separate"/>
      </w:r>
      <w:r>
        <w:t>291</w:t>
      </w:r>
      <w:r>
        <w:fldChar w:fldCharType="end"/>
      </w:r>
      <w:r>
        <w:fldChar w:fldCharType="end"/>
      </w:r>
    </w:p>
    <w:p w14:paraId="29072211">
      <w:pPr>
        <w:pStyle w:val="7"/>
        <w:tabs>
          <w:tab w:val="right" w:leader="dot" w:pos="10466"/>
        </w:tabs>
      </w:pPr>
      <w:r>
        <w:fldChar w:fldCharType="begin"/>
      </w:r>
      <w:r>
        <w:instrText xml:space="preserve"> HYPERLINK \l _Toc29838 </w:instrText>
      </w:r>
      <w:r>
        <w:fldChar w:fldCharType="separate"/>
      </w:r>
      <w:r>
        <w:rPr>
          <w:rFonts w:hint="eastAsia"/>
        </w:rPr>
        <w:t>五、与当地政府、周边单位、居民的配合协调</w:t>
      </w:r>
      <w:r>
        <w:tab/>
      </w:r>
      <w:r>
        <w:fldChar w:fldCharType="begin"/>
      </w:r>
      <w:r>
        <w:instrText xml:space="preserve"> PAGEREF _Toc29838 \h </w:instrText>
      </w:r>
      <w:r>
        <w:fldChar w:fldCharType="separate"/>
      </w:r>
      <w:r>
        <w:t>291</w:t>
      </w:r>
      <w:r>
        <w:fldChar w:fldCharType="end"/>
      </w:r>
      <w:r>
        <w:fldChar w:fldCharType="end"/>
      </w:r>
    </w:p>
    <w:p w14:paraId="4F4F5681">
      <w:pPr>
        <w:pStyle w:val="7"/>
        <w:tabs>
          <w:tab w:val="right" w:leader="dot" w:pos="10466"/>
        </w:tabs>
      </w:pPr>
      <w:r>
        <w:fldChar w:fldCharType="begin"/>
      </w:r>
      <w:r>
        <w:instrText xml:space="preserve"> HYPERLINK \l _Toc20341 </w:instrText>
      </w:r>
      <w:r>
        <w:fldChar w:fldCharType="separate"/>
      </w:r>
      <w:r>
        <w:rPr>
          <w:rFonts w:hint="eastAsia"/>
        </w:rPr>
        <w:t>六、与交通管理部门的配合协调</w:t>
      </w:r>
      <w:r>
        <w:tab/>
      </w:r>
      <w:r>
        <w:fldChar w:fldCharType="begin"/>
      </w:r>
      <w:r>
        <w:instrText xml:space="preserve"> PAGEREF _Toc20341 \h </w:instrText>
      </w:r>
      <w:r>
        <w:fldChar w:fldCharType="separate"/>
      </w:r>
      <w:r>
        <w:t>292</w:t>
      </w:r>
      <w:r>
        <w:fldChar w:fldCharType="end"/>
      </w:r>
      <w:r>
        <w:fldChar w:fldCharType="end"/>
      </w:r>
    </w:p>
    <w:p w14:paraId="55D5BBC0">
      <w:pPr>
        <w:pStyle w:val="7"/>
        <w:tabs>
          <w:tab w:val="right" w:leader="dot" w:pos="10466"/>
        </w:tabs>
      </w:pPr>
      <w:r>
        <w:fldChar w:fldCharType="begin"/>
      </w:r>
      <w:r>
        <w:instrText xml:space="preserve"> HYPERLINK \l _Toc31193 </w:instrText>
      </w:r>
      <w:r>
        <w:fldChar w:fldCharType="separate"/>
      </w:r>
      <w:r>
        <w:rPr>
          <w:rFonts w:hint="eastAsia"/>
        </w:rPr>
        <w:t>七、与周边在建、已建项目的协调</w:t>
      </w:r>
      <w:r>
        <w:tab/>
      </w:r>
      <w:r>
        <w:fldChar w:fldCharType="begin"/>
      </w:r>
      <w:r>
        <w:instrText xml:space="preserve"> PAGEREF _Toc31193 \h </w:instrText>
      </w:r>
      <w:r>
        <w:fldChar w:fldCharType="separate"/>
      </w:r>
      <w:r>
        <w:t>292</w:t>
      </w:r>
      <w:r>
        <w:fldChar w:fldCharType="end"/>
      </w:r>
      <w:r>
        <w:fldChar w:fldCharType="end"/>
      </w:r>
    </w:p>
    <w:p w14:paraId="6AD94E88">
      <w:pPr>
        <w:pStyle w:val="7"/>
        <w:tabs>
          <w:tab w:val="right" w:leader="dot" w:pos="10466"/>
        </w:tabs>
      </w:pPr>
      <w:r>
        <w:fldChar w:fldCharType="begin"/>
      </w:r>
      <w:r>
        <w:instrText xml:space="preserve"> HYPERLINK \l _Toc12626 </w:instrText>
      </w:r>
      <w:r>
        <w:fldChar w:fldCharType="separate"/>
      </w:r>
      <w:r>
        <w:rPr>
          <w:rFonts w:hint="eastAsia"/>
        </w:rPr>
        <w:t>八、园林和文物保护单位的协调</w:t>
      </w:r>
      <w:r>
        <w:tab/>
      </w:r>
      <w:r>
        <w:fldChar w:fldCharType="begin"/>
      </w:r>
      <w:r>
        <w:instrText xml:space="preserve"> PAGEREF _Toc12626 \h </w:instrText>
      </w:r>
      <w:r>
        <w:fldChar w:fldCharType="separate"/>
      </w:r>
      <w:r>
        <w:t>292</w:t>
      </w:r>
      <w:r>
        <w:fldChar w:fldCharType="end"/>
      </w:r>
      <w:r>
        <w:fldChar w:fldCharType="end"/>
      </w:r>
    </w:p>
    <w:p w14:paraId="0FB1A5A4">
      <w:pPr>
        <w:ind w:firstLine="560"/>
      </w:pPr>
      <w:r>
        <w:fldChar w:fldCharType="end"/>
      </w:r>
      <w:r>
        <w:rPr>
          <w:rFonts w:hint="eastAsia"/>
        </w:rPr>
        <w:br w:type="page"/>
      </w:r>
    </w:p>
    <w:p w14:paraId="68F05564">
      <w:pPr>
        <w:pStyle w:val="2"/>
        <w:spacing w:before="156" w:after="156"/>
        <w:rPr>
          <w:rFonts w:hint="default" w:eastAsia="宋体"/>
          <w:lang w:val="en-US" w:eastAsia="zh-CN"/>
        </w:rPr>
      </w:pPr>
      <w:bookmarkStart w:id="3" w:name="_Toc25107"/>
      <w:bookmarkStart w:id="4" w:name="_Toc14561"/>
      <w:bookmarkStart w:id="5" w:name="_Toc13961"/>
      <w:bookmarkStart w:id="6" w:name="_Toc29792"/>
      <w:r>
        <w:rPr>
          <w:rFonts w:hint="eastAsia"/>
        </w:rPr>
        <w:t>第一章、</w:t>
      </w:r>
      <w:bookmarkEnd w:id="0"/>
      <w:bookmarkEnd w:id="1"/>
      <w:bookmarkEnd w:id="2"/>
      <w:bookmarkEnd w:id="3"/>
      <w:bookmarkEnd w:id="4"/>
      <w:bookmarkEnd w:id="5"/>
      <w:r>
        <w:rPr>
          <w:rFonts w:hint="eastAsia"/>
          <w:lang w:val="en-US" w:eastAsia="zh-CN"/>
        </w:rPr>
        <w:t>总体概述</w:t>
      </w:r>
      <w:bookmarkEnd w:id="6"/>
    </w:p>
    <w:p w14:paraId="02D6F11A">
      <w:pPr>
        <w:pStyle w:val="3"/>
      </w:pPr>
      <w:bookmarkStart w:id="7" w:name="_Toc8887"/>
      <w:bookmarkStart w:id="8" w:name="_Toc18271"/>
      <w:bookmarkStart w:id="9" w:name="_Toc8825"/>
      <w:bookmarkStart w:id="10" w:name="_Toc6840"/>
      <w:bookmarkStart w:id="11" w:name="_Toc8438"/>
      <w:bookmarkStart w:id="12" w:name="_Toc32578"/>
      <w:bookmarkStart w:id="13" w:name="_Toc9615"/>
      <w:bookmarkStart w:id="14" w:name="_Toc19441"/>
      <w:bookmarkStart w:id="15" w:name="_Toc22786"/>
      <w:bookmarkStart w:id="16" w:name="_Toc32588"/>
      <w:r>
        <w:rPr>
          <w:rFonts w:hint="eastAsia"/>
        </w:rPr>
        <w:t>第一节、</w:t>
      </w:r>
      <w:bookmarkStart w:id="17" w:name="_Toc14389"/>
      <w:bookmarkStart w:id="18" w:name="_Toc25487"/>
      <w:bookmarkStart w:id="19" w:name="_Toc31904"/>
      <w:bookmarkStart w:id="20" w:name="_Toc31267"/>
      <w:bookmarkStart w:id="21" w:name="_Toc12153"/>
      <w:r>
        <w:rPr>
          <w:rFonts w:hint="eastAsia"/>
        </w:rPr>
        <w:t>工程简介</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2"/>
        <w:gridCol w:w="1769"/>
        <w:gridCol w:w="7881"/>
      </w:tblGrid>
      <w:tr w14:paraId="0FF0D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3"/>
            <w:shd w:val="clear" w:color="auto" w:fill="auto"/>
            <w:vAlign w:val="center"/>
          </w:tcPr>
          <w:p w14:paraId="7DE77545">
            <w:pPr>
              <w:pStyle w:val="18"/>
              <w:rPr>
                <w:rFonts w:hint="eastAsia" w:eastAsia="宋体"/>
                <w:lang w:val="en-US" w:eastAsia="zh-CN"/>
              </w:rPr>
            </w:pPr>
            <w:r>
              <w:rPr>
                <w:rFonts w:hint="eastAsia"/>
                <w:b/>
                <w:bCs/>
                <w:lang w:eastAsia="zh-CN"/>
              </w:rPr>
              <w:t>某镇供水管网工程项目 EPC（工程总承包)</w:t>
            </w:r>
          </w:p>
        </w:tc>
      </w:tr>
      <w:tr w14:paraId="5741F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shd w:val="clear" w:color="auto" w:fill="auto"/>
            <w:vAlign w:val="center"/>
          </w:tcPr>
          <w:p w14:paraId="0C2BE656">
            <w:pPr>
              <w:pStyle w:val="18"/>
              <w:rPr>
                <w:rFonts w:hint="eastAsia" w:eastAsia="宋体"/>
                <w:lang w:val="en-US" w:eastAsia="zh-CN"/>
              </w:rPr>
            </w:pPr>
            <w:r>
              <w:rPr>
                <w:rFonts w:hint="eastAsia"/>
                <w:lang w:val="en-US" w:eastAsia="zh-CN"/>
              </w:rPr>
              <w:t>1</w:t>
            </w:r>
          </w:p>
        </w:tc>
        <w:tc>
          <w:tcPr>
            <w:tcW w:w="828" w:type="pct"/>
            <w:shd w:val="clear" w:color="auto" w:fill="auto"/>
            <w:vAlign w:val="center"/>
          </w:tcPr>
          <w:p w14:paraId="261EFA26">
            <w:pPr>
              <w:pStyle w:val="18"/>
              <w:rPr>
                <w:lang w:val="en-US"/>
              </w:rPr>
            </w:pPr>
            <w:r>
              <w:rPr>
                <w:rFonts w:hint="eastAsia"/>
                <w:lang w:val="en-US"/>
              </w:rPr>
              <w:t>项目地点</w:t>
            </w:r>
          </w:p>
        </w:tc>
        <w:tc>
          <w:tcPr>
            <w:tcW w:w="3687" w:type="pct"/>
            <w:shd w:val="clear" w:color="auto" w:fill="auto"/>
            <w:vAlign w:val="center"/>
          </w:tcPr>
          <w:p w14:paraId="10628FB7">
            <w:pPr>
              <w:pStyle w:val="18"/>
              <w:rPr>
                <w:lang w:val="en-US"/>
              </w:rPr>
            </w:pPr>
            <w:r>
              <w:rPr>
                <w:rFonts w:hint="eastAsia"/>
                <w:lang w:val="en-US" w:eastAsia="zh-CN"/>
              </w:rPr>
              <w:t>某</w:t>
            </w:r>
            <w:r>
              <w:rPr>
                <w:rFonts w:hint="eastAsia"/>
                <w:lang w:val="en-US"/>
              </w:rPr>
              <w:t>镇</w:t>
            </w:r>
          </w:p>
        </w:tc>
      </w:tr>
      <w:tr w14:paraId="6B487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shd w:val="clear" w:color="auto" w:fill="auto"/>
            <w:vAlign w:val="center"/>
          </w:tcPr>
          <w:p w14:paraId="5DD47766">
            <w:pPr>
              <w:pStyle w:val="18"/>
              <w:rPr>
                <w:rFonts w:hint="eastAsia" w:eastAsia="宋体"/>
                <w:lang w:val="en-US" w:eastAsia="zh-CN"/>
              </w:rPr>
            </w:pPr>
            <w:r>
              <w:rPr>
                <w:rFonts w:hint="eastAsia"/>
                <w:lang w:val="en-US" w:eastAsia="zh-CN"/>
              </w:rPr>
              <w:t>2</w:t>
            </w:r>
          </w:p>
        </w:tc>
        <w:tc>
          <w:tcPr>
            <w:tcW w:w="828" w:type="pct"/>
            <w:shd w:val="clear" w:color="auto" w:fill="auto"/>
            <w:vAlign w:val="center"/>
          </w:tcPr>
          <w:p w14:paraId="4058CA30">
            <w:pPr>
              <w:pStyle w:val="18"/>
              <w:rPr>
                <w:rFonts w:hint="default" w:eastAsia="宋体"/>
                <w:lang w:val="en-US" w:eastAsia="zh-CN"/>
              </w:rPr>
            </w:pPr>
            <w:r>
              <w:rPr>
                <w:rFonts w:hint="eastAsia"/>
                <w:lang w:val="en-US" w:eastAsia="zh-CN"/>
              </w:rPr>
              <w:t>招标范围</w:t>
            </w:r>
          </w:p>
        </w:tc>
        <w:tc>
          <w:tcPr>
            <w:tcW w:w="3687" w:type="pct"/>
            <w:shd w:val="clear" w:color="auto" w:fill="auto"/>
            <w:vAlign w:val="center"/>
          </w:tcPr>
          <w:p w14:paraId="43B98744">
            <w:pPr>
              <w:pStyle w:val="18"/>
              <w:ind w:firstLine="560" w:firstLineChars="200"/>
              <w:jc w:val="both"/>
              <w:rPr>
                <w:rFonts w:hint="eastAsia"/>
                <w:lang w:val="en-US"/>
              </w:rPr>
            </w:pPr>
            <w:r>
              <w:rPr>
                <w:rFonts w:hint="eastAsia"/>
                <w:lang w:val="en-US"/>
              </w:rPr>
              <w:t>项目范围内的勘察、设计、施工、设备安装与调试、工程竣工验收、施工后试验（试运行）和交付使用 以及提供其他相关服务。中标人应承担的具体工作范围包括但不限于以下内容：</w:t>
            </w:r>
          </w:p>
          <w:p w14:paraId="4A440811">
            <w:pPr>
              <w:pStyle w:val="18"/>
              <w:ind w:firstLine="560" w:firstLineChars="200"/>
              <w:jc w:val="both"/>
              <w:rPr>
                <w:rFonts w:hint="eastAsia"/>
                <w:lang w:val="en-US"/>
              </w:rPr>
            </w:pPr>
            <w:r>
              <w:rPr>
                <w:rFonts w:hint="eastAsia"/>
                <w:lang w:val="en-US"/>
              </w:rPr>
              <w:t>1、设计范围：完成详细勘察、施工图设计、施工图设计、图纸审查及相应配套服务；</w:t>
            </w:r>
          </w:p>
          <w:p w14:paraId="021AE87D">
            <w:pPr>
              <w:pStyle w:val="18"/>
              <w:ind w:firstLine="560" w:firstLineChars="200"/>
              <w:jc w:val="both"/>
              <w:rPr>
                <w:rFonts w:hint="eastAsia"/>
                <w:lang w:val="en-US"/>
              </w:rPr>
            </w:pPr>
            <w:r>
              <w:rPr>
                <w:rFonts w:hint="eastAsia"/>
                <w:lang w:val="en-US"/>
              </w:rPr>
              <w:t>2、采购范围：完成项目范围内设备、材料的采购、运输、储存、交货、 安装、调试等内容；</w:t>
            </w:r>
          </w:p>
          <w:p w14:paraId="4614DA78">
            <w:pPr>
              <w:pStyle w:val="18"/>
              <w:ind w:firstLine="560" w:firstLineChars="200"/>
              <w:jc w:val="both"/>
              <w:rPr>
                <w:lang w:val="en-US"/>
              </w:rPr>
            </w:pPr>
            <w:r>
              <w:rPr>
                <w:rFonts w:hint="eastAsia"/>
                <w:lang w:val="en-US"/>
              </w:rPr>
              <w:t>3、施工范围：承担本建设项目的施工图图纸及设计变更范围内全部工程的施工； 直至竣工验收、调试及整体移交、质量缺陷责任期内的缺陷修复等相关工作；对工程项目进行质量、安全、进度、费用、合同、信息等管理和控制。</w:t>
            </w:r>
          </w:p>
        </w:tc>
      </w:tr>
      <w:tr w14:paraId="710A9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shd w:val="clear" w:color="auto" w:fill="auto"/>
            <w:vAlign w:val="center"/>
          </w:tcPr>
          <w:p w14:paraId="1F467394">
            <w:pPr>
              <w:pStyle w:val="18"/>
              <w:rPr>
                <w:rFonts w:hint="eastAsia" w:eastAsia="宋体"/>
                <w:lang w:val="en-US" w:eastAsia="zh-CN"/>
              </w:rPr>
            </w:pPr>
            <w:r>
              <w:rPr>
                <w:rFonts w:hint="eastAsia"/>
                <w:lang w:val="en-US" w:eastAsia="zh-CN"/>
              </w:rPr>
              <w:t>3</w:t>
            </w:r>
          </w:p>
        </w:tc>
        <w:tc>
          <w:tcPr>
            <w:tcW w:w="828" w:type="pct"/>
            <w:shd w:val="clear" w:color="auto" w:fill="auto"/>
            <w:vAlign w:val="center"/>
          </w:tcPr>
          <w:p w14:paraId="6E9F90F9">
            <w:pPr>
              <w:pStyle w:val="18"/>
              <w:rPr>
                <w:lang w:val="en-US"/>
              </w:rPr>
            </w:pPr>
            <w:r>
              <w:rPr>
                <w:rFonts w:hint="eastAsia"/>
                <w:lang w:val="en-US"/>
              </w:rPr>
              <w:t>工期目标</w:t>
            </w:r>
          </w:p>
        </w:tc>
        <w:tc>
          <w:tcPr>
            <w:tcW w:w="3687" w:type="pct"/>
            <w:shd w:val="clear" w:color="auto" w:fill="auto"/>
            <w:vAlign w:val="center"/>
          </w:tcPr>
          <w:p w14:paraId="4BAB1995">
            <w:pPr>
              <w:pStyle w:val="18"/>
              <w:ind w:firstLine="560" w:firstLineChars="200"/>
              <w:jc w:val="both"/>
              <w:rPr>
                <w:rFonts w:hint="eastAsia"/>
                <w:lang w:val="en-US"/>
              </w:rPr>
            </w:pPr>
            <w:r>
              <w:rPr>
                <w:rFonts w:hint="eastAsia"/>
                <w:lang w:val="en-US"/>
              </w:rPr>
              <w:t>计划工期：450 日历天（施工图设计及图审：60 日历天）</w:t>
            </w:r>
          </w:p>
          <w:p w14:paraId="50EFB28C">
            <w:pPr>
              <w:pStyle w:val="18"/>
              <w:ind w:firstLine="560" w:firstLineChars="200"/>
              <w:jc w:val="both"/>
              <w:rPr>
                <w:rFonts w:hint="eastAsia"/>
                <w:lang w:val="en-US"/>
              </w:rPr>
            </w:pPr>
            <w:r>
              <w:rPr>
                <w:rFonts w:hint="eastAsia"/>
                <w:lang w:val="en-US"/>
              </w:rPr>
              <w:t>计划开工日期：2021 年 11 月 30 日</w:t>
            </w:r>
          </w:p>
          <w:p w14:paraId="0C3A43C5">
            <w:pPr>
              <w:pStyle w:val="18"/>
              <w:ind w:firstLine="560" w:firstLineChars="200"/>
              <w:jc w:val="both"/>
              <w:rPr>
                <w:lang w:val="en-US"/>
              </w:rPr>
            </w:pPr>
            <w:r>
              <w:rPr>
                <w:rFonts w:hint="eastAsia"/>
                <w:lang w:val="en-US"/>
              </w:rPr>
              <w:t>计划竣工日期：2023 年 02 月 22 日</w:t>
            </w:r>
          </w:p>
        </w:tc>
      </w:tr>
      <w:tr w14:paraId="7854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shd w:val="clear" w:color="auto" w:fill="auto"/>
            <w:vAlign w:val="center"/>
          </w:tcPr>
          <w:p w14:paraId="3F0A4D0F">
            <w:pPr>
              <w:pStyle w:val="18"/>
              <w:rPr>
                <w:rFonts w:hint="eastAsia" w:eastAsia="宋体"/>
                <w:lang w:val="en-US" w:eastAsia="zh-CN"/>
              </w:rPr>
            </w:pPr>
            <w:r>
              <w:rPr>
                <w:rFonts w:hint="eastAsia"/>
                <w:lang w:val="en-US" w:eastAsia="zh-CN"/>
              </w:rPr>
              <w:t>4</w:t>
            </w:r>
          </w:p>
        </w:tc>
        <w:tc>
          <w:tcPr>
            <w:tcW w:w="828" w:type="pct"/>
            <w:shd w:val="clear" w:color="auto" w:fill="auto"/>
            <w:vAlign w:val="center"/>
          </w:tcPr>
          <w:p w14:paraId="77E34343">
            <w:pPr>
              <w:pStyle w:val="18"/>
              <w:rPr>
                <w:lang w:val="en-US"/>
              </w:rPr>
            </w:pPr>
            <w:r>
              <w:rPr>
                <w:rFonts w:hint="eastAsia"/>
                <w:lang w:val="en-US"/>
              </w:rPr>
              <w:t>质量要求</w:t>
            </w:r>
          </w:p>
        </w:tc>
        <w:tc>
          <w:tcPr>
            <w:tcW w:w="3687" w:type="pct"/>
            <w:shd w:val="clear" w:color="auto" w:fill="auto"/>
            <w:vAlign w:val="center"/>
          </w:tcPr>
          <w:p w14:paraId="66E220DA">
            <w:pPr>
              <w:pStyle w:val="18"/>
              <w:rPr>
                <w:rFonts w:hint="eastAsia" w:eastAsia="宋体"/>
                <w:b/>
                <w:bCs/>
                <w:lang w:val="en-US" w:eastAsia="zh-CN"/>
              </w:rPr>
            </w:pPr>
            <w:r>
              <w:rPr>
                <w:rFonts w:hint="eastAsia"/>
                <w:b w:val="0"/>
                <w:bCs w:val="0"/>
                <w:lang w:val="en-US" w:eastAsia="zh-CN"/>
              </w:rPr>
              <w:t>合格</w:t>
            </w:r>
          </w:p>
        </w:tc>
      </w:tr>
    </w:tbl>
    <w:p w14:paraId="5646DAC8">
      <w:pPr>
        <w:pStyle w:val="3"/>
      </w:pPr>
      <w:bookmarkStart w:id="22" w:name="_Toc5210"/>
      <w:bookmarkStart w:id="23" w:name="_Toc10392"/>
      <w:bookmarkStart w:id="24" w:name="_Toc6956"/>
      <w:bookmarkStart w:id="25" w:name="_Toc6164"/>
      <w:bookmarkStart w:id="26" w:name="_Toc16123"/>
      <w:bookmarkStart w:id="27" w:name="_Toc27829"/>
      <w:bookmarkStart w:id="28" w:name="_Toc15739"/>
      <w:bookmarkStart w:id="29" w:name="_Toc4487"/>
      <w:bookmarkStart w:id="30" w:name="_Toc28205"/>
      <w:bookmarkStart w:id="31" w:name="_Toc5242"/>
      <w:bookmarkStart w:id="32" w:name="_Toc5108"/>
      <w:bookmarkStart w:id="33" w:name="_Toc15286"/>
      <w:r>
        <w:rPr>
          <w:rFonts w:hint="eastAsia"/>
        </w:rPr>
        <w:t>第</w:t>
      </w:r>
      <w:r>
        <w:rPr>
          <w:rFonts w:hint="eastAsia"/>
          <w:lang w:val="en-US" w:eastAsia="zh-CN"/>
        </w:rPr>
        <w:t>二</w:t>
      </w:r>
      <w:r>
        <w:rPr>
          <w:rFonts w:hint="eastAsia"/>
        </w:rPr>
        <w:t>节、编制说明</w:t>
      </w:r>
      <w:bookmarkEnd w:id="22"/>
      <w:bookmarkEnd w:id="23"/>
      <w:bookmarkEnd w:id="24"/>
      <w:bookmarkEnd w:id="25"/>
      <w:bookmarkEnd w:id="26"/>
      <w:bookmarkEnd w:id="27"/>
      <w:bookmarkEnd w:id="28"/>
      <w:bookmarkEnd w:id="29"/>
      <w:bookmarkEnd w:id="30"/>
      <w:bookmarkEnd w:id="31"/>
      <w:bookmarkEnd w:id="32"/>
      <w:bookmarkEnd w:id="33"/>
    </w:p>
    <w:p w14:paraId="306082A5">
      <w:pPr>
        <w:pStyle w:val="4"/>
        <w:spacing w:before="93" w:after="31"/>
      </w:pPr>
      <w:bookmarkStart w:id="34" w:name="_Toc20861"/>
      <w:bookmarkStart w:id="35" w:name="_Toc8683"/>
      <w:bookmarkStart w:id="36" w:name="_Toc23795"/>
      <w:bookmarkStart w:id="37" w:name="_Toc12339"/>
      <w:bookmarkStart w:id="38" w:name="_Toc2579"/>
      <w:bookmarkStart w:id="39" w:name="_Toc19272"/>
      <w:bookmarkStart w:id="40" w:name="_Toc4694"/>
      <w:bookmarkStart w:id="41" w:name="_Toc9538"/>
      <w:bookmarkStart w:id="42" w:name="_Toc22914"/>
      <w:bookmarkStart w:id="43" w:name="_Toc10560"/>
      <w:r>
        <w:rPr>
          <w:rFonts w:hint="eastAsia"/>
        </w:rPr>
        <w:t>一、说明</w:t>
      </w:r>
      <w:bookmarkEnd w:id="34"/>
      <w:bookmarkEnd w:id="35"/>
      <w:bookmarkEnd w:id="36"/>
      <w:bookmarkEnd w:id="37"/>
      <w:bookmarkEnd w:id="38"/>
      <w:bookmarkEnd w:id="39"/>
      <w:bookmarkEnd w:id="40"/>
      <w:bookmarkEnd w:id="41"/>
      <w:bookmarkEnd w:id="42"/>
      <w:bookmarkEnd w:id="43"/>
    </w:p>
    <w:p w14:paraId="169E3EF2">
      <w:pPr>
        <w:ind w:firstLine="560"/>
      </w:pPr>
      <w:r>
        <w:rPr>
          <w:rFonts w:hint="eastAsia"/>
        </w:rPr>
        <w:t>1.</w:t>
      </w:r>
      <w:r>
        <w:t>首先，我司通过对本工程的招标文件、设计方案以及现场实际情况的认真解读和分析，对本工程有了一个深刻的理解和认识。我司认为，本工程施工中的特点、重点主要有</w:t>
      </w:r>
      <w:r>
        <w:rPr>
          <w:rFonts w:hint="eastAsia"/>
        </w:rPr>
        <w:t>施工工期短</w:t>
      </w:r>
      <w:r>
        <w:t>、协调工作复杂、质量要求精、安全要求严、文明施工和环境保护要求高等几个方面，我方在本次施工组织设计中紧紧围绕着解决问题进行细致的组织和设计。我方郑重向业主承诺承接本工程的所确定的各项目标指标。</w:t>
      </w:r>
    </w:p>
    <w:p w14:paraId="30088CC1">
      <w:pPr>
        <w:ind w:firstLine="560"/>
      </w:pPr>
      <w:r>
        <w:rPr>
          <w:rFonts w:hint="eastAsia"/>
        </w:rPr>
        <w:t>2.</w:t>
      </w:r>
      <w:r>
        <w:t>为更好地完成本工程，我方在本工程中配备了强有力的项目管理班子，由我司优秀的项目经理组织施工管理，并且为该项目安排了高素质的劳务施工队伍以及先进的机械设备。</w:t>
      </w:r>
    </w:p>
    <w:p w14:paraId="55A485DD">
      <w:pPr>
        <w:ind w:firstLine="560"/>
      </w:pPr>
      <w:r>
        <w:rPr>
          <w:rFonts w:hint="eastAsia"/>
        </w:rPr>
        <w:t>3.</w:t>
      </w:r>
      <w:r>
        <w:t>在本施工组织设计中，我们对几个关键分部工程的节点控制时间做了详细的安排。针对本工程做了详细的施工进度计划编制及本工程所需调动的人、财、物等计划，并且通过制定周密的保证措施来对如期完成各关键工程乃至整体工程进行有效的控制。</w:t>
      </w:r>
    </w:p>
    <w:p w14:paraId="2AD0094A">
      <w:pPr>
        <w:ind w:firstLine="560"/>
      </w:pPr>
      <w:r>
        <w:rPr>
          <w:rFonts w:hint="eastAsia"/>
        </w:rPr>
        <w:t>4.</w:t>
      </w:r>
      <w:r>
        <w:t>为全面实现本工程质量、安全、环境等各项施工目标、指标，我们在施工组织设计中编写了各项施工过程的管理措施，包括质量措施、安全措施、文明施工和环保措施等各方面。并且我司也有良好的售后服务系统，能在优质完成本工程的同时做好本工程的完工总调试和维护保养工作，为本工程的连续使用保驾护航。</w:t>
      </w:r>
    </w:p>
    <w:p w14:paraId="1E2D5E80">
      <w:pPr>
        <w:pStyle w:val="4"/>
        <w:spacing w:before="93" w:after="31"/>
      </w:pPr>
      <w:bookmarkStart w:id="44" w:name="_Toc8489"/>
      <w:bookmarkStart w:id="45" w:name="_Toc31315"/>
      <w:bookmarkStart w:id="46" w:name="_Toc27855"/>
      <w:bookmarkStart w:id="47" w:name="_Toc9815"/>
      <w:bookmarkStart w:id="48" w:name="_Toc8476"/>
      <w:bookmarkStart w:id="49" w:name="_Toc31022"/>
      <w:bookmarkStart w:id="50" w:name="_Toc6501"/>
      <w:bookmarkStart w:id="51" w:name="_Toc17223"/>
      <w:bookmarkStart w:id="52" w:name="_Toc17941"/>
      <w:bookmarkStart w:id="53" w:name="_Toc10081"/>
      <w:bookmarkStart w:id="54" w:name="_Toc19603"/>
      <w:bookmarkStart w:id="55" w:name="_Toc30012"/>
      <w:bookmarkStart w:id="56" w:name="_Toc9324"/>
      <w:bookmarkStart w:id="57" w:name="_Toc30456"/>
      <w:bookmarkStart w:id="58" w:name="_Toc12550"/>
      <w:bookmarkStart w:id="59" w:name="_Toc15760"/>
      <w:r>
        <w:rPr>
          <w:rFonts w:hint="eastAsia"/>
        </w:rPr>
        <w:t>二、编制依据</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41F7C72C">
      <w:pPr>
        <w:ind w:firstLine="560"/>
      </w:pPr>
      <w:r>
        <w:rPr>
          <w:rFonts w:hint="eastAsia"/>
        </w:rPr>
        <w:t>（一）招标文件等相关资料</w:t>
      </w:r>
    </w:p>
    <w:p w14:paraId="5F6CB195">
      <w:pPr>
        <w:ind w:firstLine="560"/>
      </w:pPr>
      <w:r>
        <w:rPr>
          <w:rFonts w:hint="eastAsia"/>
        </w:rPr>
        <w:t>1.</w:t>
      </w:r>
      <w:r>
        <w:rPr>
          <w:rFonts w:hint="eastAsia"/>
          <w:b/>
          <w:bCs/>
          <w:lang w:eastAsia="zh-CN"/>
        </w:rPr>
        <w:t>某镇供水管网工程项目 EPC（工程总承包)</w:t>
      </w:r>
      <w:r>
        <w:rPr>
          <w:rFonts w:hint="eastAsia"/>
        </w:rPr>
        <w:t>招标文件；</w:t>
      </w:r>
    </w:p>
    <w:p w14:paraId="7F2EC57D">
      <w:pPr>
        <w:ind w:firstLine="560"/>
      </w:pPr>
      <w:r>
        <w:rPr>
          <w:rFonts w:hint="eastAsia"/>
        </w:rPr>
        <w:t>2.</w:t>
      </w:r>
      <w:r>
        <w:rPr>
          <w:rFonts w:hint="eastAsia"/>
          <w:b/>
          <w:bCs/>
          <w:lang w:eastAsia="zh-CN"/>
        </w:rPr>
        <w:t>某镇供水管网工程项目 EPC（工程总承包)</w:t>
      </w:r>
      <w:r>
        <w:rPr>
          <w:rFonts w:hint="eastAsia"/>
        </w:rPr>
        <w:t>设计图纸；</w:t>
      </w:r>
    </w:p>
    <w:p w14:paraId="7E3A8A4D">
      <w:pPr>
        <w:ind w:firstLine="560"/>
      </w:pPr>
      <w:r>
        <w:rPr>
          <w:rFonts w:hint="eastAsia"/>
        </w:rPr>
        <w:t>3.</w:t>
      </w:r>
      <w:r>
        <w:rPr>
          <w:rFonts w:hint="eastAsia"/>
          <w:b/>
          <w:bCs/>
          <w:lang w:eastAsia="zh-CN"/>
        </w:rPr>
        <w:t>某镇供水管网工程项目 EPC（工程总承包)</w:t>
      </w:r>
      <w:r>
        <w:rPr>
          <w:rFonts w:hint="eastAsia"/>
        </w:rPr>
        <w:t>现场勘探资料；</w:t>
      </w:r>
    </w:p>
    <w:p w14:paraId="1F375D63">
      <w:pPr>
        <w:ind w:firstLine="560"/>
      </w:pPr>
      <w:r>
        <w:rPr>
          <w:rFonts w:hint="eastAsia"/>
        </w:rPr>
        <w:t>4.本单位的设计及施工技术水平、管理水平和施工机械装备能力；</w:t>
      </w:r>
    </w:p>
    <w:p w14:paraId="20CA1D3A">
      <w:pPr>
        <w:ind w:firstLine="560"/>
      </w:pPr>
      <w:r>
        <w:rPr>
          <w:rFonts w:hint="eastAsia"/>
        </w:rPr>
        <w:t>（二）国家及地方主要法律法规、标准等规范性文件</w:t>
      </w:r>
    </w:p>
    <w:p w14:paraId="4E6BE8C1">
      <w:pPr>
        <w:ind w:firstLine="560"/>
      </w:pPr>
      <w:r>
        <w:rPr>
          <w:rFonts w:hint="eastAsia"/>
        </w:rPr>
        <w:t>1.所涉及的主要的现行国家或行业规范、标准、规程、法规、图集、地方标准、法律法规图集。</w:t>
      </w:r>
    </w:p>
    <w:p w14:paraId="1911D330">
      <w:pPr>
        <w:ind w:firstLine="560"/>
      </w:pPr>
      <w:r>
        <w:rPr>
          <w:rFonts w:hint="eastAsia"/>
        </w:rPr>
        <w:t>本工程施工组织设计是对本工程在将来施工组织、施工管理、劳动力组织、材料设备供应、施工工艺、进度计划、质量安全措施等做详细而周全的设计规划，使本工程在施工的全过程中，各个环节始终处于受控状态，达到高质量、高标准、高水平、使业主称心满意，工程管理更加合理有效。</w:t>
      </w:r>
    </w:p>
    <w:p w14:paraId="3DE082F1">
      <w:pPr>
        <w:ind w:firstLine="560"/>
      </w:pPr>
      <w:r>
        <w:rPr>
          <w:rFonts w:hint="eastAsia"/>
        </w:rPr>
        <w:t>2.国家颁发的有关设计及施工技术、环保、安全质量验收标准、法规文件：</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6131"/>
        <w:gridCol w:w="3449"/>
      </w:tblGrid>
      <w:tr w14:paraId="2A916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74540340">
            <w:pPr>
              <w:pStyle w:val="18"/>
              <w:rPr>
                <w:lang w:val="en-US"/>
              </w:rPr>
            </w:pPr>
            <w:r>
              <w:rPr>
                <w:rFonts w:hint="eastAsia"/>
                <w:lang w:val="en-US"/>
              </w:rPr>
              <w:t>序号</w:t>
            </w:r>
          </w:p>
        </w:tc>
        <w:tc>
          <w:tcPr>
            <w:tcW w:w="2870" w:type="pct"/>
            <w:shd w:val="clear" w:color="auto" w:fill="auto"/>
          </w:tcPr>
          <w:p w14:paraId="1854DAF6">
            <w:pPr>
              <w:pStyle w:val="18"/>
              <w:rPr>
                <w:lang w:val="en-US"/>
              </w:rPr>
            </w:pPr>
            <w:r>
              <w:rPr>
                <w:rFonts w:hint="eastAsia"/>
                <w:lang w:val="en-US"/>
              </w:rPr>
              <w:t>有关法律、法规</w:t>
            </w:r>
          </w:p>
        </w:tc>
        <w:tc>
          <w:tcPr>
            <w:tcW w:w="1614" w:type="pct"/>
            <w:shd w:val="clear" w:color="auto" w:fill="auto"/>
          </w:tcPr>
          <w:p w14:paraId="3F68FF40">
            <w:pPr>
              <w:pStyle w:val="18"/>
              <w:rPr>
                <w:lang w:val="en-US"/>
              </w:rPr>
            </w:pPr>
            <w:r>
              <w:rPr>
                <w:rFonts w:hint="eastAsia"/>
                <w:lang w:val="en-US"/>
              </w:rPr>
              <w:t>发布机关（发文号）</w:t>
            </w:r>
          </w:p>
        </w:tc>
      </w:tr>
      <w:tr w14:paraId="54923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28EB3B9D">
            <w:pPr>
              <w:pStyle w:val="18"/>
              <w:rPr>
                <w:lang w:val="en-US"/>
              </w:rPr>
            </w:pPr>
            <w:r>
              <w:rPr>
                <w:rFonts w:hint="eastAsia"/>
                <w:lang w:val="en-US"/>
              </w:rPr>
              <w:t>1</w:t>
            </w:r>
          </w:p>
        </w:tc>
        <w:tc>
          <w:tcPr>
            <w:tcW w:w="2870" w:type="pct"/>
            <w:shd w:val="clear" w:color="auto" w:fill="auto"/>
          </w:tcPr>
          <w:p w14:paraId="582D0C33">
            <w:pPr>
              <w:pStyle w:val="18"/>
              <w:rPr>
                <w:lang w:val="en-US"/>
              </w:rPr>
            </w:pPr>
            <w:r>
              <w:rPr>
                <w:rFonts w:hint="eastAsia"/>
                <w:lang w:val="en-US"/>
              </w:rPr>
              <w:t>《中华人民共和国宪法》</w:t>
            </w:r>
          </w:p>
        </w:tc>
        <w:tc>
          <w:tcPr>
            <w:tcW w:w="1614" w:type="pct"/>
            <w:shd w:val="clear" w:color="auto" w:fill="auto"/>
          </w:tcPr>
          <w:p w14:paraId="5EBB58B6">
            <w:pPr>
              <w:pStyle w:val="18"/>
              <w:rPr>
                <w:lang w:val="en-US"/>
              </w:rPr>
            </w:pPr>
            <w:r>
              <w:rPr>
                <w:rFonts w:hint="eastAsia"/>
                <w:lang w:val="en-US"/>
              </w:rPr>
              <w:t>全国人民代表大会</w:t>
            </w:r>
          </w:p>
        </w:tc>
      </w:tr>
      <w:tr w14:paraId="03DEB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3A7A129A">
            <w:pPr>
              <w:pStyle w:val="18"/>
              <w:rPr>
                <w:lang w:val="en-US"/>
              </w:rPr>
            </w:pPr>
            <w:r>
              <w:rPr>
                <w:rFonts w:hint="eastAsia"/>
                <w:lang w:val="en-US"/>
              </w:rPr>
              <w:t>2</w:t>
            </w:r>
          </w:p>
        </w:tc>
        <w:tc>
          <w:tcPr>
            <w:tcW w:w="2870" w:type="pct"/>
            <w:shd w:val="clear" w:color="auto" w:fill="auto"/>
          </w:tcPr>
          <w:p w14:paraId="691A4623">
            <w:pPr>
              <w:pStyle w:val="18"/>
              <w:rPr>
                <w:lang w:val="en-US"/>
              </w:rPr>
            </w:pPr>
            <w:r>
              <w:rPr>
                <w:rFonts w:hint="eastAsia"/>
                <w:lang w:val="en-US"/>
              </w:rPr>
              <w:t>《中华人民共和国安全生产法》</w:t>
            </w:r>
          </w:p>
        </w:tc>
        <w:tc>
          <w:tcPr>
            <w:tcW w:w="1614" w:type="pct"/>
            <w:shd w:val="clear" w:color="auto" w:fill="auto"/>
          </w:tcPr>
          <w:p w14:paraId="2C6E568E">
            <w:pPr>
              <w:pStyle w:val="18"/>
              <w:rPr>
                <w:lang w:val="en-US"/>
              </w:rPr>
            </w:pPr>
            <w:r>
              <w:rPr>
                <w:rFonts w:hint="eastAsia"/>
                <w:lang w:val="en-US"/>
              </w:rPr>
              <w:t>主席令91号</w:t>
            </w:r>
          </w:p>
        </w:tc>
      </w:tr>
      <w:tr w14:paraId="7D58E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7B16CA36">
            <w:pPr>
              <w:pStyle w:val="18"/>
              <w:rPr>
                <w:lang w:val="en-US"/>
              </w:rPr>
            </w:pPr>
            <w:r>
              <w:rPr>
                <w:rFonts w:hint="eastAsia"/>
                <w:lang w:val="en-US"/>
              </w:rPr>
              <w:t>3</w:t>
            </w:r>
          </w:p>
        </w:tc>
        <w:tc>
          <w:tcPr>
            <w:tcW w:w="2870" w:type="pct"/>
            <w:shd w:val="clear" w:color="auto" w:fill="auto"/>
          </w:tcPr>
          <w:p w14:paraId="29006B20">
            <w:pPr>
              <w:pStyle w:val="18"/>
              <w:rPr>
                <w:lang w:val="en-US"/>
              </w:rPr>
            </w:pPr>
            <w:r>
              <w:rPr>
                <w:rFonts w:hint="eastAsia"/>
                <w:lang w:val="en-US"/>
              </w:rPr>
              <w:t>《中华人民共和国劳动法》</w:t>
            </w:r>
          </w:p>
        </w:tc>
        <w:tc>
          <w:tcPr>
            <w:tcW w:w="1614" w:type="pct"/>
            <w:shd w:val="clear" w:color="auto" w:fill="auto"/>
          </w:tcPr>
          <w:p w14:paraId="6978D590">
            <w:pPr>
              <w:pStyle w:val="18"/>
              <w:rPr>
                <w:lang w:val="en-US"/>
              </w:rPr>
            </w:pPr>
            <w:r>
              <w:rPr>
                <w:rFonts w:hint="eastAsia"/>
                <w:lang w:val="en-US"/>
              </w:rPr>
              <w:t>主席令65号</w:t>
            </w:r>
          </w:p>
        </w:tc>
      </w:tr>
      <w:tr w14:paraId="40C57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5CC2391D">
            <w:pPr>
              <w:pStyle w:val="18"/>
              <w:rPr>
                <w:lang w:val="en-US"/>
              </w:rPr>
            </w:pPr>
            <w:r>
              <w:rPr>
                <w:rFonts w:hint="eastAsia"/>
                <w:lang w:val="en-US"/>
              </w:rPr>
              <w:t>4</w:t>
            </w:r>
          </w:p>
        </w:tc>
        <w:tc>
          <w:tcPr>
            <w:tcW w:w="2870" w:type="pct"/>
            <w:shd w:val="clear" w:color="auto" w:fill="auto"/>
          </w:tcPr>
          <w:p w14:paraId="4ED04515">
            <w:pPr>
              <w:pStyle w:val="18"/>
              <w:rPr>
                <w:lang w:val="en-US"/>
              </w:rPr>
            </w:pPr>
            <w:r>
              <w:rPr>
                <w:rFonts w:hint="eastAsia"/>
                <w:lang w:val="en-US"/>
              </w:rPr>
              <w:t>《中华人民共和国建筑法》</w:t>
            </w:r>
          </w:p>
        </w:tc>
        <w:tc>
          <w:tcPr>
            <w:tcW w:w="1614" w:type="pct"/>
            <w:shd w:val="clear" w:color="auto" w:fill="auto"/>
          </w:tcPr>
          <w:p w14:paraId="2A3727A0">
            <w:pPr>
              <w:pStyle w:val="18"/>
              <w:rPr>
                <w:lang w:val="en-US"/>
              </w:rPr>
            </w:pPr>
            <w:r>
              <w:rPr>
                <w:rFonts w:hint="eastAsia"/>
                <w:lang w:val="en-US"/>
              </w:rPr>
              <w:t>主席令46号</w:t>
            </w:r>
          </w:p>
        </w:tc>
      </w:tr>
      <w:tr w14:paraId="7E476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1C5E85A2">
            <w:pPr>
              <w:pStyle w:val="18"/>
              <w:rPr>
                <w:lang w:val="en-US"/>
              </w:rPr>
            </w:pPr>
            <w:r>
              <w:rPr>
                <w:rFonts w:hint="eastAsia"/>
                <w:lang w:val="en-US"/>
              </w:rPr>
              <w:t>5</w:t>
            </w:r>
          </w:p>
        </w:tc>
        <w:tc>
          <w:tcPr>
            <w:tcW w:w="2870" w:type="pct"/>
            <w:shd w:val="clear" w:color="auto" w:fill="auto"/>
          </w:tcPr>
          <w:p w14:paraId="4869C806">
            <w:pPr>
              <w:pStyle w:val="18"/>
              <w:rPr>
                <w:lang w:val="en-US"/>
              </w:rPr>
            </w:pPr>
            <w:r>
              <w:rPr>
                <w:rFonts w:hint="eastAsia"/>
                <w:lang w:val="en-US"/>
              </w:rPr>
              <w:t>《中华人民共和国环境保护法》</w:t>
            </w:r>
          </w:p>
        </w:tc>
        <w:tc>
          <w:tcPr>
            <w:tcW w:w="1614" w:type="pct"/>
            <w:shd w:val="clear" w:color="auto" w:fill="auto"/>
          </w:tcPr>
          <w:p w14:paraId="270DD1B1">
            <w:pPr>
              <w:pStyle w:val="18"/>
              <w:rPr>
                <w:lang w:val="en-US"/>
              </w:rPr>
            </w:pPr>
            <w:r>
              <w:rPr>
                <w:rFonts w:hint="eastAsia"/>
                <w:lang w:val="en-US"/>
              </w:rPr>
              <w:t>主席令22号</w:t>
            </w:r>
          </w:p>
        </w:tc>
      </w:tr>
      <w:tr w14:paraId="69656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1061A895">
            <w:pPr>
              <w:pStyle w:val="18"/>
              <w:rPr>
                <w:lang w:val="en-US"/>
              </w:rPr>
            </w:pPr>
            <w:r>
              <w:rPr>
                <w:rFonts w:hint="eastAsia"/>
                <w:lang w:val="en-US"/>
              </w:rPr>
              <w:t>6</w:t>
            </w:r>
          </w:p>
        </w:tc>
        <w:tc>
          <w:tcPr>
            <w:tcW w:w="2870" w:type="pct"/>
            <w:shd w:val="clear" w:color="auto" w:fill="auto"/>
          </w:tcPr>
          <w:p w14:paraId="3644C9AD">
            <w:pPr>
              <w:pStyle w:val="18"/>
              <w:rPr>
                <w:lang w:val="en-US"/>
              </w:rPr>
            </w:pPr>
            <w:r>
              <w:rPr>
                <w:rFonts w:hint="eastAsia"/>
                <w:lang w:val="en-US"/>
              </w:rPr>
              <w:t>《中华人民共和国特种设备安全法》</w:t>
            </w:r>
          </w:p>
        </w:tc>
        <w:tc>
          <w:tcPr>
            <w:tcW w:w="1614" w:type="pct"/>
            <w:shd w:val="clear" w:color="auto" w:fill="auto"/>
          </w:tcPr>
          <w:p w14:paraId="39BAF670">
            <w:pPr>
              <w:pStyle w:val="18"/>
              <w:rPr>
                <w:lang w:val="en-US"/>
              </w:rPr>
            </w:pPr>
            <w:r>
              <w:rPr>
                <w:rFonts w:hint="eastAsia"/>
                <w:lang w:val="en-US"/>
              </w:rPr>
              <w:t>主席令4号</w:t>
            </w:r>
          </w:p>
        </w:tc>
      </w:tr>
      <w:tr w14:paraId="2CDA7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56813C8D">
            <w:pPr>
              <w:pStyle w:val="18"/>
              <w:rPr>
                <w:lang w:val="en-US"/>
              </w:rPr>
            </w:pPr>
            <w:r>
              <w:rPr>
                <w:rFonts w:hint="eastAsia"/>
                <w:lang w:val="en-US"/>
              </w:rPr>
              <w:t>7</w:t>
            </w:r>
          </w:p>
        </w:tc>
        <w:tc>
          <w:tcPr>
            <w:tcW w:w="2870" w:type="pct"/>
            <w:shd w:val="clear" w:color="auto" w:fill="auto"/>
          </w:tcPr>
          <w:p w14:paraId="620CA934">
            <w:pPr>
              <w:pStyle w:val="18"/>
              <w:rPr>
                <w:lang w:val="en-US"/>
              </w:rPr>
            </w:pPr>
            <w:r>
              <w:rPr>
                <w:rFonts w:hint="eastAsia"/>
                <w:lang w:val="en-US"/>
              </w:rPr>
              <w:t>《建设工程质量管理条例》</w:t>
            </w:r>
          </w:p>
        </w:tc>
        <w:tc>
          <w:tcPr>
            <w:tcW w:w="1614" w:type="pct"/>
            <w:shd w:val="clear" w:color="auto" w:fill="auto"/>
          </w:tcPr>
          <w:p w14:paraId="73A454D7">
            <w:pPr>
              <w:pStyle w:val="18"/>
              <w:rPr>
                <w:lang w:val="en-US"/>
              </w:rPr>
            </w:pPr>
            <w:r>
              <w:rPr>
                <w:rFonts w:hint="eastAsia"/>
                <w:lang w:val="en-US"/>
              </w:rPr>
              <w:t>国务院令第297号</w:t>
            </w:r>
          </w:p>
        </w:tc>
      </w:tr>
      <w:tr w14:paraId="5870A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7A3C835F">
            <w:pPr>
              <w:pStyle w:val="18"/>
              <w:rPr>
                <w:lang w:val="en-US"/>
              </w:rPr>
            </w:pPr>
            <w:r>
              <w:rPr>
                <w:rFonts w:hint="eastAsia"/>
                <w:lang w:val="en-US"/>
              </w:rPr>
              <w:t>8</w:t>
            </w:r>
          </w:p>
        </w:tc>
        <w:tc>
          <w:tcPr>
            <w:tcW w:w="2870" w:type="pct"/>
            <w:shd w:val="clear" w:color="auto" w:fill="auto"/>
          </w:tcPr>
          <w:p w14:paraId="710FB39C">
            <w:pPr>
              <w:pStyle w:val="18"/>
              <w:rPr>
                <w:lang w:val="en-US"/>
              </w:rPr>
            </w:pPr>
            <w:r>
              <w:rPr>
                <w:rFonts w:hint="eastAsia"/>
                <w:lang w:val="en-US"/>
              </w:rPr>
              <w:t>《建设工程安全生产管理条例》</w:t>
            </w:r>
          </w:p>
        </w:tc>
        <w:tc>
          <w:tcPr>
            <w:tcW w:w="1614" w:type="pct"/>
            <w:shd w:val="clear" w:color="auto" w:fill="auto"/>
          </w:tcPr>
          <w:p w14:paraId="79C935B6">
            <w:pPr>
              <w:pStyle w:val="18"/>
              <w:rPr>
                <w:lang w:val="en-US"/>
              </w:rPr>
            </w:pPr>
            <w:r>
              <w:rPr>
                <w:rFonts w:hint="eastAsia"/>
                <w:lang w:val="en-US"/>
              </w:rPr>
              <w:t>国务院令第393号</w:t>
            </w:r>
          </w:p>
        </w:tc>
      </w:tr>
      <w:tr w14:paraId="0632F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4F2AEC5B">
            <w:pPr>
              <w:pStyle w:val="18"/>
              <w:rPr>
                <w:lang w:val="en-US"/>
              </w:rPr>
            </w:pPr>
            <w:r>
              <w:rPr>
                <w:rFonts w:hint="eastAsia"/>
                <w:lang w:val="en-US"/>
              </w:rPr>
              <w:t>9</w:t>
            </w:r>
          </w:p>
        </w:tc>
        <w:tc>
          <w:tcPr>
            <w:tcW w:w="2870" w:type="pct"/>
            <w:shd w:val="clear" w:color="auto" w:fill="auto"/>
          </w:tcPr>
          <w:p w14:paraId="1E43FAEA">
            <w:pPr>
              <w:pStyle w:val="18"/>
              <w:rPr>
                <w:lang w:val="en-US"/>
              </w:rPr>
            </w:pPr>
            <w:r>
              <w:rPr>
                <w:rFonts w:hint="eastAsia"/>
                <w:lang w:val="en-US"/>
              </w:rPr>
              <w:t>《安全生产许可证条例》</w:t>
            </w:r>
          </w:p>
        </w:tc>
        <w:tc>
          <w:tcPr>
            <w:tcW w:w="1614" w:type="pct"/>
            <w:shd w:val="clear" w:color="auto" w:fill="auto"/>
          </w:tcPr>
          <w:p w14:paraId="0830C2B5">
            <w:pPr>
              <w:pStyle w:val="18"/>
              <w:rPr>
                <w:lang w:val="en-US"/>
              </w:rPr>
            </w:pPr>
            <w:r>
              <w:rPr>
                <w:rFonts w:hint="eastAsia"/>
                <w:lang w:val="en-US"/>
              </w:rPr>
              <w:t>国务院令第397号</w:t>
            </w:r>
          </w:p>
        </w:tc>
      </w:tr>
      <w:tr w14:paraId="34843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tcPr>
          <w:p w14:paraId="1A276C35">
            <w:pPr>
              <w:pStyle w:val="18"/>
              <w:rPr>
                <w:lang w:val="en-US"/>
              </w:rPr>
            </w:pPr>
            <w:r>
              <w:rPr>
                <w:rFonts w:hint="eastAsia"/>
                <w:lang w:val="en-US"/>
              </w:rPr>
              <w:t>10</w:t>
            </w:r>
          </w:p>
        </w:tc>
        <w:tc>
          <w:tcPr>
            <w:tcW w:w="2870" w:type="pct"/>
            <w:shd w:val="clear" w:color="auto" w:fill="auto"/>
          </w:tcPr>
          <w:p w14:paraId="2C55B8F4">
            <w:pPr>
              <w:pStyle w:val="18"/>
              <w:jc w:val="both"/>
              <w:rPr>
                <w:lang w:val="en-US"/>
              </w:rPr>
            </w:pPr>
            <w:r>
              <w:rPr>
                <w:rFonts w:hint="eastAsia"/>
                <w:lang w:val="en-US"/>
              </w:rPr>
              <w:t>《企业职工伤亡事故报告和处理规定》</w:t>
            </w:r>
          </w:p>
        </w:tc>
        <w:tc>
          <w:tcPr>
            <w:tcW w:w="1614" w:type="pct"/>
            <w:shd w:val="clear" w:color="auto" w:fill="auto"/>
          </w:tcPr>
          <w:p w14:paraId="210D8505">
            <w:pPr>
              <w:pStyle w:val="18"/>
              <w:rPr>
                <w:lang w:val="en-US"/>
              </w:rPr>
            </w:pPr>
            <w:r>
              <w:rPr>
                <w:rFonts w:hint="eastAsia"/>
                <w:lang w:val="en-US"/>
              </w:rPr>
              <w:t>国务院令第75号</w:t>
            </w:r>
          </w:p>
        </w:tc>
      </w:tr>
    </w:tbl>
    <w:p w14:paraId="59474E9A">
      <w:pPr>
        <w:ind w:firstLine="560"/>
      </w:pPr>
      <w:r>
        <w:rPr>
          <w:rFonts w:hint="eastAsia"/>
        </w:rPr>
        <w:t>5.2现行应用主要有关规范、标准：</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6598"/>
        <w:gridCol w:w="2982"/>
      </w:tblGrid>
      <w:tr w14:paraId="19B34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5E69D73A">
            <w:pPr>
              <w:pStyle w:val="18"/>
              <w:rPr>
                <w:lang w:val="en-US"/>
              </w:rPr>
            </w:pPr>
            <w:bookmarkStart w:id="60" w:name="_Toc2853"/>
            <w:bookmarkStart w:id="61" w:name="_Toc258"/>
            <w:bookmarkStart w:id="62" w:name="_Toc29674"/>
            <w:bookmarkStart w:id="63" w:name="_Toc25068"/>
            <w:bookmarkStart w:id="64" w:name="_Toc32558"/>
            <w:bookmarkStart w:id="65" w:name="_Toc14591"/>
            <w:bookmarkStart w:id="66" w:name="_Toc29634"/>
            <w:bookmarkStart w:id="67" w:name="_Toc2585"/>
            <w:bookmarkStart w:id="68" w:name="_Toc16595"/>
            <w:bookmarkStart w:id="69" w:name="_Toc19709"/>
            <w:bookmarkStart w:id="70" w:name="_Toc19373"/>
            <w:bookmarkStart w:id="71" w:name="_Toc17603"/>
            <w:bookmarkStart w:id="72" w:name="_Toc31999"/>
            <w:bookmarkStart w:id="73" w:name="_Toc17327"/>
            <w:r>
              <w:rPr>
                <w:rFonts w:hint="eastAsia"/>
                <w:lang w:val="en-US"/>
              </w:rPr>
              <w:t>序号</w:t>
            </w:r>
          </w:p>
        </w:tc>
        <w:tc>
          <w:tcPr>
            <w:tcW w:w="3088" w:type="pct"/>
            <w:shd w:val="clear" w:color="auto" w:fill="auto"/>
            <w:vAlign w:val="center"/>
          </w:tcPr>
          <w:p w14:paraId="70902DFB">
            <w:pPr>
              <w:pStyle w:val="18"/>
              <w:rPr>
                <w:lang w:val="en-US"/>
              </w:rPr>
            </w:pPr>
            <w:r>
              <w:rPr>
                <w:rFonts w:hint="eastAsia"/>
                <w:lang w:val="en-US"/>
              </w:rPr>
              <w:t>有关规范、标准</w:t>
            </w:r>
          </w:p>
        </w:tc>
        <w:tc>
          <w:tcPr>
            <w:tcW w:w="1395" w:type="pct"/>
            <w:shd w:val="clear" w:color="auto" w:fill="auto"/>
            <w:vAlign w:val="center"/>
          </w:tcPr>
          <w:p w14:paraId="2833C630">
            <w:pPr>
              <w:pStyle w:val="18"/>
              <w:rPr>
                <w:lang w:val="en-US"/>
              </w:rPr>
            </w:pPr>
            <w:r>
              <w:rPr>
                <w:rFonts w:hint="eastAsia"/>
                <w:lang w:val="en-US"/>
              </w:rPr>
              <w:t>编号</w:t>
            </w:r>
          </w:p>
        </w:tc>
      </w:tr>
      <w:tr w14:paraId="04A06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444EBBF0">
            <w:pPr>
              <w:pStyle w:val="18"/>
              <w:rPr>
                <w:lang w:val="en-US"/>
              </w:rPr>
            </w:pPr>
            <w:r>
              <w:rPr>
                <w:rFonts w:hint="eastAsia"/>
                <w:lang w:val="en-US"/>
              </w:rPr>
              <w:t>1</w:t>
            </w:r>
          </w:p>
        </w:tc>
        <w:tc>
          <w:tcPr>
            <w:tcW w:w="3088" w:type="pct"/>
            <w:shd w:val="clear" w:color="auto" w:fill="auto"/>
            <w:vAlign w:val="center"/>
          </w:tcPr>
          <w:p w14:paraId="2AD75401">
            <w:pPr>
              <w:pStyle w:val="18"/>
              <w:rPr>
                <w:lang w:val="en-US"/>
              </w:rPr>
            </w:pPr>
            <w:r>
              <w:rPr>
                <w:lang w:val="en-US"/>
              </w:rPr>
              <w:t>《工程测量技术规程》</w:t>
            </w:r>
          </w:p>
        </w:tc>
        <w:tc>
          <w:tcPr>
            <w:tcW w:w="1395" w:type="pct"/>
            <w:shd w:val="clear" w:color="auto" w:fill="auto"/>
            <w:vAlign w:val="center"/>
          </w:tcPr>
          <w:p w14:paraId="3773F038">
            <w:pPr>
              <w:pStyle w:val="18"/>
              <w:rPr>
                <w:lang w:val="en-US"/>
              </w:rPr>
            </w:pPr>
            <w:r>
              <w:rPr>
                <w:lang w:val="en-US"/>
              </w:rPr>
              <w:t>DB11/T339-2016</w:t>
            </w:r>
          </w:p>
        </w:tc>
      </w:tr>
      <w:tr w14:paraId="7489C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1026C166">
            <w:pPr>
              <w:pStyle w:val="18"/>
              <w:rPr>
                <w:lang w:val="en-US"/>
              </w:rPr>
            </w:pPr>
            <w:r>
              <w:rPr>
                <w:rFonts w:hint="eastAsia"/>
                <w:lang w:val="en-US"/>
              </w:rPr>
              <w:t>2</w:t>
            </w:r>
          </w:p>
        </w:tc>
        <w:tc>
          <w:tcPr>
            <w:tcW w:w="3088" w:type="pct"/>
            <w:shd w:val="clear" w:color="auto" w:fill="auto"/>
            <w:vAlign w:val="center"/>
          </w:tcPr>
          <w:p w14:paraId="21102DE1">
            <w:pPr>
              <w:pStyle w:val="18"/>
              <w:rPr>
                <w:lang w:val="en-US"/>
              </w:rPr>
            </w:pPr>
            <w:r>
              <w:rPr>
                <w:rFonts w:hint="eastAsia"/>
                <w:lang w:val="en-US"/>
              </w:rPr>
              <w:t>《</w:t>
            </w:r>
            <w:r>
              <w:rPr>
                <w:lang w:val="en-US"/>
              </w:rPr>
              <w:t>建筑基坑支护技术规程</w:t>
            </w:r>
            <w:r>
              <w:rPr>
                <w:rFonts w:hint="eastAsia"/>
                <w:lang w:val="en-US"/>
              </w:rPr>
              <w:t>》</w:t>
            </w:r>
          </w:p>
        </w:tc>
        <w:tc>
          <w:tcPr>
            <w:tcW w:w="1395" w:type="pct"/>
            <w:shd w:val="clear" w:color="auto" w:fill="auto"/>
            <w:vAlign w:val="center"/>
          </w:tcPr>
          <w:p w14:paraId="66AAC358">
            <w:pPr>
              <w:pStyle w:val="18"/>
              <w:rPr>
                <w:lang w:val="en-US"/>
              </w:rPr>
            </w:pPr>
            <w:r>
              <w:rPr>
                <w:lang w:val="en-US"/>
              </w:rPr>
              <w:t>JGJ120-2012</w:t>
            </w:r>
          </w:p>
        </w:tc>
      </w:tr>
      <w:tr w14:paraId="07F60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18F5C8AE">
            <w:pPr>
              <w:pStyle w:val="18"/>
              <w:rPr>
                <w:lang w:val="en-US"/>
              </w:rPr>
            </w:pPr>
            <w:r>
              <w:rPr>
                <w:rFonts w:hint="eastAsia"/>
                <w:lang w:val="en-US"/>
              </w:rPr>
              <w:t>3</w:t>
            </w:r>
          </w:p>
        </w:tc>
        <w:tc>
          <w:tcPr>
            <w:tcW w:w="3088" w:type="pct"/>
            <w:shd w:val="clear" w:color="auto" w:fill="auto"/>
            <w:vAlign w:val="center"/>
          </w:tcPr>
          <w:p w14:paraId="74D28DA7">
            <w:pPr>
              <w:pStyle w:val="18"/>
              <w:rPr>
                <w:lang w:val="en-US"/>
              </w:rPr>
            </w:pPr>
            <w:r>
              <w:rPr>
                <w:rFonts w:hint="eastAsia"/>
                <w:lang w:val="en-US"/>
              </w:rPr>
              <w:t>《</w:t>
            </w:r>
            <w:r>
              <w:t>砼结构工程施工质量验收规范</w:t>
            </w:r>
            <w:r>
              <w:rPr>
                <w:rFonts w:hint="eastAsia"/>
                <w:lang w:val="en-US"/>
              </w:rPr>
              <w:t>》</w:t>
            </w:r>
          </w:p>
        </w:tc>
        <w:tc>
          <w:tcPr>
            <w:tcW w:w="1395" w:type="pct"/>
            <w:shd w:val="clear" w:color="auto" w:fill="auto"/>
            <w:vAlign w:val="center"/>
          </w:tcPr>
          <w:p w14:paraId="4A1982F2">
            <w:pPr>
              <w:pStyle w:val="18"/>
            </w:pPr>
            <w:r>
              <w:t>GB50204-20</w:t>
            </w:r>
            <w:r>
              <w:rPr>
                <w:rFonts w:hint="eastAsia"/>
                <w:lang w:val="en-US"/>
              </w:rPr>
              <w:t>1</w:t>
            </w:r>
            <w:r>
              <w:t>2</w:t>
            </w:r>
          </w:p>
        </w:tc>
      </w:tr>
      <w:tr w14:paraId="2B100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3A8A538B">
            <w:pPr>
              <w:pStyle w:val="18"/>
              <w:rPr>
                <w:lang w:val="en-US"/>
              </w:rPr>
            </w:pPr>
            <w:r>
              <w:rPr>
                <w:rFonts w:hint="eastAsia"/>
                <w:lang w:val="en-US"/>
              </w:rPr>
              <w:t>4</w:t>
            </w:r>
          </w:p>
        </w:tc>
        <w:tc>
          <w:tcPr>
            <w:tcW w:w="3088" w:type="pct"/>
            <w:shd w:val="clear" w:color="auto" w:fill="auto"/>
            <w:vAlign w:val="center"/>
          </w:tcPr>
          <w:p w14:paraId="3AEB1AA3">
            <w:pPr>
              <w:pStyle w:val="18"/>
              <w:rPr>
                <w:lang w:val="en-US"/>
              </w:rPr>
            </w:pPr>
            <w:r>
              <w:rPr>
                <w:rFonts w:hint="eastAsia"/>
                <w:lang w:val="en-US"/>
              </w:rPr>
              <w:t>《</w:t>
            </w:r>
            <w:r>
              <w:t>混凝土质量控制标准</w:t>
            </w:r>
            <w:r>
              <w:rPr>
                <w:rFonts w:hint="eastAsia"/>
                <w:lang w:val="en-US"/>
              </w:rPr>
              <w:t>》</w:t>
            </w:r>
          </w:p>
        </w:tc>
        <w:tc>
          <w:tcPr>
            <w:tcW w:w="1395" w:type="pct"/>
            <w:shd w:val="clear" w:color="auto" w:fill="auto"/>
            <w:vAlign w:val="center"/>
          </w:tcPr>
          <w:p w14:paraId="439BA398">
            <w:pPr>
              <w:pStyle w:val="18"/>
            </w:pPr>
            <w:r>
              <w:t>GB50164-2011</w:t>
            </w:r>
          </w:p>
        </w:tc>
      </w:tr>
      <w:tr w14:paraId="6A17C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293688D2">
            <w:pPr>
              <w:pStyle w:val="18"/>
              <w:rPr>
                <w:lang w:val="en-US"/>
              </w:rPr>
            </w:pPr>
            <w:r>
              <w:rPr>
                <w:rFonts w:hint="eastAsia"/>
                <w:lang w:val="en-US"/>
              </w:rPr>
              <w:t>5</w:t>
            </w:r>
          </w:p>
        </w:tc>
        <w:tc>
          <w:tcPr>
            <w:tcW w:w="3088" w:type="pct"/>
            <w:shd w:val="clear" w:color="auto" w:fill="auto"/>
            <w:vAlign w:val="center"/>
          </w:tcPr>
          <w:p w14:paraId="60D7239D">
            <w:pPr>
              <w:pStyle w:val="18"/>
              <w:rPr>
                <w:lang w:val="en-US"/>
              </w:rPr>
            </w:pPr>
            <w:r>
              <w:rPr>
                <w:rFonts w:hint="eastAsia"/>
                <w:lang w:val="en-US"/>
              </w:rPr>
              <w:t>《供水排水管道工程施工及验收规范》</w:t>
            </w:r>
          </w:p>
        </w:tc>
        <w:tc>
          <w:tcPr>
            <w:tcW w:w="1395" w:type="pct"/>
            <w:shd w:val="clear" w:color="auto" w:fill="auto"/>
            <w:vAlign w:val="center"/>
          </w:tcPr>
          <w:p w14:paraId="75C139E5">
            <w:pPr>
              <w:pStyle w:val="18"/>
            </w:pPr>
            <w:r>
              <w:rPr>
                <w:rFonts w:hint="eastAsia"/>
              </w:rPr>
              <w:t>GB50268-20</w:t>
            </w:r>
            <w:r>
              <w:rPr>
                <w:rFonts w:hint="eastAsia"/>
                <w:lang w:val="en-US"/>
              </w:rPr>
              <w:t>0</w:t>
            </w:r>
            <w:r>
              <w:rPr>
                <w:rFonts w:hint="eastAsia"/>
              </w:rPr>
              <w:t>8</w:t>
            </w:r>
          </w:p>
        </w:tc>
      </w:tr>
      <w:tr w14:paraId="2AE7E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36C4DBE8">
            <w:pPr>
              <w:pStyle w:val="18"/>
              <w:rPr>
                <w:lang w:val="en-US"/>
              </w:rPr>
            </w:pPr>
            <w:r>
              <w:rPr>
                <w:rFonts w:hint="eastAsia"/>
                <w:lang w:val="en-US"/>
              </w:rPr>
              <w:t>6</w:t>
            </w:r>
          </w:p>
        </w:tc>
        <w:tc>
          <w:tcPr>
            <w:tcW w:w="3088" w:type="pct"/>
            <w:shd w:val="clear" w:color="auto" w:fill="auto"/>
            <w:vAlign w:val="center"/>
          </w:tcPr>
          <w:p w14:paraId="1627D4A6">
            <w:pPr>
              <w:pStyle w:val="18"/>
              <w:rPr>
                <w:lang w:val="en-US"/>
              </w:rPr>
            </w:pPr>
            <w:r>
              <w:rPr>
                <w:rFonts w:hint="eastAsia"/>
                <w:lang w:val="en-US"/>
              </w:rPr>
              <w:t>《砌体工程施工质量验收规范》</w:t>
            </w:r>
          </w:p>
        </w:tc>
        <w:tc>
          <w:tcPr>
            <w:tcW w:w="1395" w:type="pct"/>
            <w:shd w:val="clear" w:color="auto" w:fill="auto"/>
            <w:vAlign w:val="center"/>
          </w:tcPr>
          <w:p w14:paraId="417014F7">
            <w:pPr>
              <w:pStyle w:val="18"/>
              <w:rPr>
                <w:lang w:val="en-US"/>
              </w:rPr>
            </w:pPr>
            <w:r>
              <w:rPr>
                <w:rFonts w:hint="eastAsia"/>
              </w:rPr>
              <w:t>GB502</w:t>
            </w:r>
            <w:r>
              <w:rPr>
                <w:rFonts w:hint="eastAsia"/>
                <w:lang w:val="en-US"/>
              </w:rPr>
              <w:t>03</w:t>
            </w:r>
            <w:r>
              <w:rPr>
                <w:rFonts w:hint="eastAsia"/>
              </w:rPr>
              <w:t>-20</w:t>
            </w:r>
            <w:r>
              <w:rPr>
                <w:rFonts w:hint="eastAsia"/>
                <w:lang w:val="en-US"/>
              </w:rPr>
              <w:t>16</w:t>
            </w:r>
          </w:p>
        </w:tc>
      </w:tr>
      <w:tr w14:paraId="1FD27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3ECCA910">
            <w:pPr>
              <w:pStyle w:val="18"/>
              <w:rPr>
                <w:lang w:val="en-US"/>
              </w:rPr>
            </w:pPr>
            <w:r>
              <w:rPr>
                <w:rFonts w:hint="eastAsia"/>
                <w:lang w:val="en-US"/>
              </w:rPr>
              <w:t>7</w:t>
            </w:r>
          </w:p>
        </w:tc>
        <w:tc>
          <w:tcPr>
            <w:tcW w:w="3088" w:type="pct"/>
            <w:shd w:val="clear" w:color="auto" w:fill="auto"/>
            <w:vAlign w:val="center"/>
          </w:tcPr>
          <w:p w14:paraId="0ABE46EC">
            <w:pPr>
              <w:pStyle w:val="18"/>
              <w:rPr>
                <w:lang w:val="en-US"/>
              </w:rPr>
            </w:pPr>
            <w:r>
              <w:rPr>
                <w:rFonts w:hint="eastAsia"/>
                <w:lang w:val="en-US"/>
              </w:rPr>
              <w:t>《现场设备、工业管道焊接工程施工规范》</w:t>
            </w:r>
          </w:p>
        </w:tc>
        <w:tc>
          <w:tcPr>
            <w:tcW w:w="1395" w:type="pct"/>
            <w:shd w:val="clear" w:color="auto" w:fill="auto"/>
            <w:vAlign w:val="center"/>
          </w:tcPr>
          <w:p w14:paraId="20B1902E">
            <w:pPr>
              <w:pStyle w:val="18"/>
            </w:pPr>
            <w:r>
              <w:rPr>
                <w:rFonts w:hint="eastAsia"/>
                <w:lang w:val="en-US"/>
              </w:rPr>
              <w:t>GB50236--2011</w:t>
            </w:r>
          </w:p>
        </w:tc>
      </w:tr>
      <w:tr w14:paraId="13063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6686280A">
            <w:pPr>
              <w:pStyle w:val="18"/>
              <w:rPr>
                <w:lang w:val="en-US"/>
              </w:rPr>
            </w:pPr>
            <w:r>
              <w:rPr>
                <w:rFonts w:hint="eastAsia"/>
                <w:lang w:val="en-US"/>
              </w:rPr>
              <w:t>8</w:t>
            </w:r>
          </w:p>
        </w:tc>
        <w:tc>
          <w:tcPr>
            <w:tcW w:w="3088" w:type="pct"/>
            <w:shd w:val="clear" w:color="auto" w:fill="auto"/>
            <w:vAlign w:val="center"/>
          </w:tcPr>
          <w:p w14:paraId="44719DB4">
            <w:pPr>
              <w:pStyle w:val="18"/>
              <w:rPr>
                <w:lang w:val="en-US"/>
              </w:rPr>
            </w:pPr>
            <w:r>
              <w:rPr>
                <w:rFonts w:hint="eastAsia"/>
                <w:lang w:val="en-US"/>
              </w:rPr>
              <w:t>《现场设备、工业管道焊接工程施工及验收规范》</w:t>
            </w:r>
          </w:p>
        </w:tc>
        <w:tc>
          <w:tcPr>
            <w:tcW w:w="1395" w:type="pct"/>
            <w:shd w:val="clear" w:color="auto" w:fill="auto"/>
            <w:vAlign w:val="center"/>
          </w:tcPr>
          <w:p w14:paraId="4F6ECBE4">
            <w:pPr>
              <w:pStyle w:val="18"/>
            </w:pPr>
            <w:r>
              <w:rPr>
                <w:rFonts w:hint="eastAsia"/>
                <w:lang w:val="en-US"/>
              </w:rPr>
              <w:t>GB50683-2011</w:t>
            </w:r>
          </w:p>
        </w:tc>
      </w:tr>
      <w:tr w14:paraId="43E96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4AC7BFBD">
            <w:pPr>
              <w:pStyle w:val="18"/>
              <w:rPr>
                <w:lang w:val="en-US"/>
              </w:rPr>
            </w:pPr>
            <w:r>
              <w:rPr>
                <w:rFonts w:hint="eastAsia"/>
                <w:lang w:val="en-US"/>
              </w:rPr>
              <w:t>9</w:t>
            </w:r>
          </w:p>
        </w:tc>
        <w:tc>
          <w:tcPr>
            <w:tcW w:w="3088" w:type="pct"/>
            <w:shd w:val="clear" w:color="auto" w:fill="auto"/>
            <w:vAlign w:val="center"/>
          </w:tcPr>
          <w:p w14:paraId="454AE981">
            <w:pPr>
              <w:pStyle w:val="18"/>
              <w:rPr>
                <w:lang w:val="en-US"/>
              </w:rPr>
            </w:pPr>
            <w:r>
              <w:rPr>
                <w:rFonts w:hint="eastAsia"/>
                <w:lang w:val="en-US"/>
              </w:rPr>
              <w:t>《涂覆涂料前钢材表面处理,表面清洁度的目视评定》</w:t>
            </w:r>
          </w:p>
        </w:tc>
        <w:tc>
          <w:tcPr>
            <w:tcW w:w="1395" w:type="pct"/>
            <w:shd w:val="clear" w:color="auto" w:fill="auto"/>
            <w:vAlign w:val="center"/>
          </w:tcPr>
          <w:p w14:paraId="4737B2B6">
            <w:pPr>
              <w:pStyle w:val="18"/>
            </w:pPr>
            <w:r>
              <w:rPr>
                <w:rFonts w:hint="eastAsia"/>
                <w:lang w:val="en-US"/>
              </w:rPr>
              <w:t>GB/T8923</w:t>
            </w:r>
          </w:p>
        </w:tc>
      </w:tr>
      <w:tr w14:paraId="5A042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72393F6A">
            <w:pPr>
              <w:pStyle w:val="18"/>
              <w:rPr>
                <w:lang w:val="en-US"/>
              </w:rPr>
            </w:pPr>
            <w:r>
              <w:rPr>
                <w:rFonts w:hint="eastAsia"/>
                <w:lang w:val="en-US"/>
              </w:rPr>
              <w:t>10</w:t>
            </w:r>
          </w:p>
        </w:tc>
        <w:tc>
          <w:tcPr>
            <w:tcW w:w="3088" w:type="pct"/>
            <w:shd w:val="clear" w:color="auto" w:fill="auto"/>
            <w:vAlign w:val="center"/>
          </w:tcPr>
          <w:p w14:paraId="3506862F">
            <w:pPr>
              <w:pStyle w:val="18"/>
              <w:rPr>
                <w:lang w:val="en-US"/>
              </w:rPr>
            </w:pPr>
            <w:r>
              <w:rPr>
                <w:rFonts w:hint="eastAsia"/>
                <w:lang w:val="en-US"/>
              </w:rPr>
              <w:t>《熔融结合环氧粉末涂料的防腐蚀涂装》</w:t>
            </w:r>
          </w:p>
        </w:tc>
        <w:tc>
          <w:tcPr>
            <w:tcW w:w="1395" w:type="pct"/>
            <w:shd w:val="clear" w:color="auto" w:fill="auto"/>
            <w:vAlign w:val="center"/>
          </w:tcPr>
          <w:p w14:paraId="241DDB38">
            <w:pPr>
              <w:pStyle w:val="18"/>
            </w:pPr>
            <w:r>
              <w:rPr>
                <w:rFonts w:hint="eastAsia"/>
                <w:lang w:val="en-US"/>
              </w:rPr>
              <w:t>GB/T18593-2010</w:t>
            </w:r>
          </w:p>
        </w:tc>
      </w:tr>
      <w:tr w14:paraId="53A37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5DABEF11">
            <w:pPr>
              <w:pStyle w:val="18"/>
              <w:rPr>
                <w:lang w:val="en-US"/>
              </w:rPr>
            </w:pPr>
            <w:r>
              <w:rPr>
                <w:rFonts w:hint="eastAsia"/>
                <w:lang w:val="en-US"/>
              </w:rPr>
              <w:t>11</w:t>
            </w:r>
          </w:p>
        </w:tc>
        <w:tc>
          <w:tcPr>
            <w:tcW w:w="3088" w:type="pct"/>
            <w:shd w:val="clear" w:color="auto" w:fill="auto"/>
            <w:vAlign w:val="center"/>
          </w:tcPr>
          <w:p w14:paraId="3AC45B62">
            <w:pPr>
              <w:pStyle w:val="18"/>
              <w:rPr>
                <w:lang w:val="en-US"/>
              </w:rPr>
            </w:pPr>
            <w:r>
              <w:rPr>
                <w:rFonts w:hint="eastAsia"/>
                <w:lang w:val="en-US"/>
              </w:rPr>
              <w:t>《低压流体输送用焊接钢管》</w:t>
            </w:r>
          </w:p>
        </w:tc>
        <w:tc>
          <w:tcPr>
            <w:tcW w:w="1395" w:type="pct"/>
            <w:shd w:val="clear" w:color="auto" w:fill="auto"/>
            <w:vAlign w:val="center"/>
          </w:tcPr>
          <w:p w14:paraId="25500740">
            <w:pPr>
              <w:pStyle w:val="18"/>
            </w:pPr>
            <w:r>
              <w:rPr>
                <w:rFonts w:hint="eastAsia"/>
                <w:lang w:val="en-US"/>
              </w:rPr>
              <w:t>GB/T3091-2015</w:t>
            </w:r>
          </w:p>
        </w:tc>
      </w:tr>
      <w:tr w14:paraId="02654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218EFA4F">
            <w:pPr>
              <w:pStyle w:val="18"/>
              <w:rPr>
                <w:lang w:val="en-US"/>
              </w:rPr>
            </w:pPr>
            <w:r>
              <w:rPr>
                <w:rFonts w:hint="eastAsia"/>
                <w:lang w:val="en-US"/>
              </w:rPr>
              <w:t>12</w:t>
            </w:r>
          </w:p>
        </w:tc>
        <w:tc>
          <w:tcPr>
            <w:tcW w:w="3088" w:type="pct"/>
            <w:shd w:val="clear" w:color="auto" w:fill="auto"/>
            <w:vAlign w:val="center"/>
          </w:tcPr>
          <w:p w14:paraId="5C56E306">
            <w:pPr>
              <w:widowControl/>
              <w:ind w:firstLine="0" w:firstLineChars="0"/>
              <w:jc w:val="center"/>
            </w:pPr>
            <w:r>
              <w:rPr>
                <w:rFonts w:ascii="新宋体" w:hAnsi="新宋体" w:eastAsia="新宋体" w:cs="新宋体"/>
                <w:kern w:val="0"/>
                <w:lang w:bidi="ar"/>
              </w:rPr>
              <w:t>《水及燃气用球墨铸铁管、管件和附件》</w:t>
            </w:r>
          </w:p>
        </w:tc>
        <w:tc>
          <w:tcPr>
            <w:tcW w:w="1395" w:type="pct"/>
            <w:shd w:val="clear" w:color="auto" w:fill="auto"/>
            <w:vAlign w:val="center"/>
          </w:tcPr>
          <w:p w14:paraId="0825F866">
            <w:pPr>
              <w:pStyle w:val="18"/>
            </w:pPr>
            <w:r>
              <w:rPr>
                <w:rFonts w:ascii="新宋体" w:hAnsi="新宋体" w:eastAsia="新宋体" w:cs="新宋体"/>
                <w:kern w:val="0"/>
                <w:szCs w:val="28"/>
                <w:lang w:val="en-US" w:bidi="ar"/>
              </w:rPr>
              <w:t>GBT13295-2013</w:t>
            </w:r>
          </w:p>
        </w:tc>
      </w:tr>
      <w:tr w14:paraId="4463F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7DA8CFFB">
            <w:pPr>
              <w:pStyle w:val="18"/>
              <w:rPr>
                <w:lang w:val="en-US"/>
              </w:rPr>
            </w:pPr>
            <w:r>
              <w:rPr>
                <w:rFonts w:hint="eastAsia"/>
                <w:lang w:val="en-US"/>
              </w:rPr>
              <w:t>13</w:t>
            </w:r>
          </w:p>
        </w:tc>
        <w:tc>
          <w:tcPr>
            <w:tcW w:w="3088" w:type="pct"/>
            <w:shd w:val="clear" w:color="auto" w:fill="auto"/>
            <w:vAlign w:val="center"/>
          </w:tcPr>
          <w:p w14:paraId="1C811B20">
            <w:pPr>
              <w:pStyle w:val="18"/>
              <w:rPr>
                <w:lang w:val="en-US"/>
              </w:rPr>
            </w:pPr>
            <w:r>
              <w:rPr>
                <w:rFonts w:ascii="新宋体" w:hAnsi="新宋体" w:eastAsia="新宋体" w:cs="新宋体"/>
                <w:kern w:val="0"/>
                <w:szCs w:val="28"/>
                <w:lang w:val="en-US" w:bidi="ar"/>
              </w:rPr>
              <w:t>《</w:t>
            </w:r>
            <w:r>
              <w:rPr>
                <w:rFonts w:hint="eastAsia" w:ascii="新宋体" w:hAnsi="新宋体" w:eastAsia="新宋体" w:cs="新宋体"/>
                <w:kern w:val="0"/>
                <w:szCs w:val="28"/>
                <w:lang w:val="en-US" w:bidi="ar"/>
              </w:rPr>
              <w:t>沥青路面施工及验收规范</w:t>
            </w:r>
            <w:r>
              <w:rPr>
                <w:rFonts w:ascii="新宋体" w:hAnsi="新宋体" w:eastAsia="新宋体" w:cs="新宋体"/>
                <w:kern w:val="0"/>
                <w:szCs w:val="28"/>
                <w:lang w:val="en-US" w:bidi="ar"/>
              </w:rPr>
              <w:t>》</w:t>
            </w:r>
          </w:p>
        </w:tc>
        <w:tc>
          <w:tcPr>
            <w:tcW w:w="1395" w:type="pct"/>
            <w:shd w:val="clear" w:color="auto" w:fill="auto"/>
            <w:vAlign w:val="center"/>
          </w:tcPr>
          <w:p w14:paraId="2708CF9B">
            <w:pPr>
              <w:pStyle w:val="18"/>
              <w:rPr>
                <w:lang w:val="en-US"/>
              </w:rPr>
            </w:pPr>
            <w:r>
              <w:rPr>
                <w:rFonts w:ascii="新宋体" w:hAnsi="新宋体" w:eastAsia="新宋体" w:cs="新宋体"/>
                <w:kern w:val="0"/>
                <w:szCs w:val="28"/>
                <w:lang w:val="en-US" w:bidi="ar"/>
              </w:rPr>
              <w:t>GB</w:t>
            </w:r>
            <w:r>
              <w:rPr>
                <w:rFonts w:hint="eastAsia" w:ascii="新宋体" w:hAnsi="新宋体" w:eastAsia="新宋体" w:cs="新宋体"/>
                <w:kern w:val="0"/>
                <w:szCs w:val="28"/>
                <w:lang w:val="en-US" w:bidi="ar"/>
              </w:rPr>
              <w:t>50092-2018</w:t>
            </w:r>
          </w:p>
        </w:tc>
      </w:tr>
      <w:tr w14:paraId="0568E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6C0C12BF">
            <w:pPr>
              <w:pStyle w:val="18"/>
              <w:rPr>
                <w:lang w:val="en-US"/>
              </w:rPr>
            </w:pPr>
            <w:r>
              <w:rPr>
                <w:rFonts w:hint="eastAsia"/>
                <w:lang w:val="en-US"/>
              </w:rPr>
              <w:t>14</w:t>
            </w:r>
          </w:p>
        </w:tc>
        <w:tc>
          <w:tcPr>
            <w:tcW w:w="3088" w:type="pct"/>
            <w:shd w:val="clear" w:color="auto" w:fill="auto"/>
            <w:vAlign w:val="center"/>
          </w:tcPr>
          <w:p w14:paraId="4195495F">
            <w:pPr>
              <w:pStyle w:val="18"/>
              <w:rPr>
                <w:lang w:val="en-US"/>
              </w:rPr>
            </w:pPr>
            <w:r>
              <w:rPr>
                <w:rFonts w:ascii="新宋体" w:hAnsi="新宋体" w:eastAsia="新宋体" w:cs="新宋体"/>
                <w:kern w:val="0"/>
                <w:szCs w:val="28"/>
                <w:lang w:val="en-US" w:bidi="ar"/>
              </w:rPr>
              <w:t>《</w:t>
            </w:r>
            <w:r>
              <w:rPr>
                <w:rFonts w:hint="eastAsia" w:ascii="新宋体" w:hAnsi="新宋体" w:eastAsia="新宋体" w:cs="新宋体"/>
                <w:kern w:val="0"/>
                <w:szCs w:val="28"/>
                <w:lang w:val="en-US" w:bidi="ar"/>
              </w:rPr>
              <w:t>市政道路工程施工与质量验收规范</w:t>
            </w:r>
            <w:r>
              <w:rPr>
                <w:rFonts w:ascii="新宋体" w:hAnsi="新宋体" w:eastAsia="新宋体" w:cs="新宋体"/>
                <w:kern w:val="0"/>
                <w:szCs w:val="28"/>
                <w:lang w:val="en-US" w:bidi="ar"/>
              </w:rPr>
              <w:t>》</w:t>
            </w:r>
          </w:p>
        </w:tc>
        <w:tc>
          <w:tcPr>
            <w:tcW w:w="1395" w:type="pct"/>
            <w:shd w:val="clear" w:color="auto" w:fill="auto"/>
            <w:vAlign w:val="center"/>
          </w:tcPr>
          <w:p w14:paraId="455F87F1">
            <w:pPr>
              <w:pStyle w:val="18"/>
              <w:rPr>
                <w:lang w:val="en-US"/>
              </w:rPr>
            </w:pPr>
            <w:r>
              <w:rPr>
                <w:rFonts w:hint="eastAsia"/>
                <w:lang w:val="en-US"/>
              </w:rPr>
              <w:t>CJJ-2018</w:t>
            </w:r>
          </w:p>
        </w:tc>
      </w:tr>
      <w:tr w14:paraId="48422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6CD3F1EF">
            <w:pPr>
              <w:pStyle w:val="18"/>
              <w:rPr>
                <w:lang w:val="en-US"/>
              </w:rPr>
            </w:pPr>
            <w:r>
              <w:rPr>
                <w:rFonts w:hint="eastAsia"/>
                <w:lang w:val="en-US"/>
              </w:rPr>
              <w:t>15</w:t>
            </w:r>
          </w:p>
        </w:tc>
        <w:tc>
          <w:tcPr>
            <w:tcW w:w="3088" w:type="pct"/>
            <w:shd w:val="clear" w:color="auto" w:fill="auto"/>
            <w:vAlign w:val="center"/>
          </w:tcPr>
          <w:p w14:paraId="62764EBC">
            <w:pPr>
              <w:pStyle w:val="18"/>
              <w:rPr>
                <w:lang w:val="en-US"/>
              </w:rPr>
            </w:pPr>
            <w:r>
              <w:rPr>
                <w:rFonts w:ascii="新宋体" w:hAnsi="新宋体" w:eastAsia="新宋体" w:cs="新宋体"/>
                <w:kern w:val="0"/>
                <w:szCs w:val="28"/>
                <w:lang w:val="en-US" w:bidi="ar"/>
              </w:rPr>
              <w:t>《</w:t>
            </w:r>
            <w:r>
              <w:rPr>
                <w:rFonts w:hint="eastAsia" w:ascii="新宋体" w:hAnsi="新宋体" w:eastAsia="新宋体" w:cs="新宋体"/>
                <w:kern w:val="0"/>
                <w:szCs w:val="28"/>
                <w:lang w:val="en-US" w:bidi="ar"/>
              </w:rPr>
              <w:t>水泥混凝土路面施工规范</w:t>
            </w:r>
            <w:r>
              <w:rPr>
                <w:rFonts w:ascii="新宋体" w:hAnsi="新宋体" w:eastAsia="新宋体" w:cs="新宋体"/>
                <w:kern w:val="0"/>
                <w:szCs w:val="28"/>
                <w:lang w:val="en-US" w:bidi="ar"/>
              </w:rPr>
              <w:t>》</w:t>
            </w:r>
          </w:p>
        </w:tc>
        <w:tc>
          <w:tcPr>
            <w:tcW w:w="1395" w:type="pct"/>
            <w:shd w:val="clear" w:color="auto" w:fill="auto"/>
            <w:vAlign w:val="center"/>
          </w:tcPr>
          <w:p w14:paraId="6223072A">
            <w:pPr>
              <w:pStyle w:val="18"/>
              <w:rPr>
                <w:lang w:val="en-US"/>
              </w:rPr>
            </w:pPr>
            <w:r>
              <w:rPr>
                <w:rFonts w:hint="eastAsia"/>
                <w:lang w:val="en-US"/>
              </w:rPr>
              <w:t>JTGD40-2015</w:t>
            </w:r>
          </w:p>
        </w:tc>
      </w:tr>
      <w:tr w14:paraId="7CDC5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216E3235">
            <w:pPr>
              <w:pStyle w:val="18"/>
              <w:rPr>
                <w:lang w:val="en-US"/>
              </w:rPr>
            </w:pPr>
            <w:r>
              <w:rPr>
                <w:rFonts w:hint="eastAsia"/>
                <w:lang w:val="en-US"/>
              </w:rPr>
              <w:t>16</w:t>
            </w:r>
          </w:p>
        </w:tc>
        <w:tc>
          <w:tcPr>
            <w:tcW w:w="3088" w:type="pct"/>
            <w:shd w:val="clear" w:color="auto" w:fill="auto"/>
            <w:vAlign w:val="center"/>
          </w:tcPr>
          <w:p w14:paraId="5EF15E42">
            <w:pPr>
              <w:pStyle w:val="18"/>
              <w:rPr>
                <w:lang w:val="en-US"/>
              </w:rPr>
            </w:pPr>
            <w:r>
              <w:rPr>
                <w:rFonts w:ascii="新宋体" w:hAnsi="新宋体" w:eastAsia="新宋体" w:cs="新宋体"/>
                <w:kern w:val="0"/>
                <w:szCs w:val="28"/>
                <w:lang w:val="en-US" w:bidi="ar"/>
              </w:rPr>
              <w:t>《</w:t>
            </w:r>
            <w:r>
              <w:rPr>
                <w:rFonts w:hint="eastAsia" w:ascii="新宋体" w:hAnsi="新宋体" w:eastAsia="新宋体" w:cs="新宋体"/>
                <w:kern w:val="0"/>
                <w:szCs w:val="28"/>
                <w:lang w:val="en-US" w:bidi="ar"/>
              </w:rPr>
              <w:t>城市道路交通标志和标线设置规范</w:t>
            </w:r>
            <w:r>
              <w:rPr>
                <w:rFonts w:ascii="新宋体" w:hAnsi="新宋体" w:eastAsia="新宋体" w:cs="新宋体"/>
                <w:kern w:val="0"/>
                <w:szCs w:val="28"/>
                <w:lang w:val="en-US" w:bidi="ar"/>
              </w:rPr>
              <w:t>》</w:t>
            </w:r>
          </w:p>
        </w:tc>
        <w:tc>
          <w:tcPr>
            <w:tcW w:w="1395" w:type="pct"/>
            <w:shd w:val="clear" w:color="auto" w:fill="auto"/>
            <w:vAlign w:val="center"/>
          </w:tcPr>
          <w:p w14:paraId="1DA13BC4">
            <w:pPr>
              <w:pStyle w:val="18"/>
              <w:rPr>
                <w:lang w:val="en-US"/>
              </w:rPr>
            </w:pPr>
            <w:r>
              <w:rPr>
                <w:rFonts w:hint="eastAsia"/>
                <w:lang w:val="en-US"/>
              </w:rPr>
              <w:t>GB51038-2015</w:t>
            </w:r>
          </w:p>
        </w:tc>
      </w:tr>
      <w:tr w14:paraId="195D2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0C92C3FE">
            <w:pPr>
              <w:pStyle w:val="18"/>
              <w:rPr>
                <w:lang w:val="en-US"/>
              </w:rPr>
            </w:pPr>
            <w:r>
              <w:rPr>
                <w:rFonts w:hint="eastAsia"/>
                <w:lang w:val="en-US"/>
              </w:rPr>
              <w:t>17</w:t>
            </w:r>
          </w:p>
        </w:tc>
        <w:tc>
          <w:tcPr>
            <w:tcW w:w="3088" w:type="pct"/>
            <w:shd w:val="clear" w:color="auto" w:fill="auto"/>
            <w:vAlign w:val="center"/>
          </w:tcPr>
          <w:p w14:paraId="47C77997">
            <w:pPr>
              <w:pStyle w:val="18"/>
              <w:rPr>
                <w:lang w:val="en-US"/>
              </w:rPr>
            </w:pPr>
            <w:r>
              <w:rPr>
                <w:rFonts w:hint="eastAsia"/>
                <w:lang w:val="en-US"/>
              </w:rPr>
              <w:t>《</w:t>
            </w:r>
            <w:r>
              <w:t>建筑工程施工质量验收统一标准</w:t>
            </w:r>
            <w:r>
              <w:rPr>
                <w:rFonts w:hint="eastAsia"/>
                <w:lang w:val="en-US"/>
              </w:rPr>
              <w:t>》</w:t>
            </w:r>
          </w:p>
        </w:tc>
        <w:tc>
          <w:tcPr>
            <w:tcW w:w="1395" w:type="pct"/>
            <w:shd w:val="clear" w:color="auto" w:fill="auto"/>
            <w:vAlign w:val="center"/>
          </w:tcPr>
          <w:p w14:paraId="10481D23">
            <w:pPr>
              <w:pStyle w:val="18"/>
            </w:pPr>
            <w:r>
              <w:t>GB50300-20</w:t>
            </w:r>
            <w:r>
              <w:rPr>
                <w:rFonts w:hint="eastAsia"/>
                <w:lang w:val="en-US"/>
              </w:rPr>
              <w:t>15</w:t>
            </w:r>
          </w:p>
        </w:tc>
      </w:tr>
      <w:tr w14:paraId="32B30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4237E436">
            <w:pPr>
              <w:pStyle w:val="18"/>
              <w:rPr>
                <w:lang w:val="en-US"/>
              </w:rPr>
            </w:pPr>
            <w:r>
              <w:rPr>
                <w:rFonts w:hint="eastAsia"/>
                <w:lang w:val="en-US"/>
              </w:rPr>
              <w:t>18</w:t>
            </w:r>
          </w:p>
        </w:tc>
        <w:tc>
          <w:tcPr>
            <w:tcW w:w="3088" w:type="pct"/>
            <w:shd w:val="clear" w:color="auto" w:fill="auto"/>
            <w:vAlign w:val="center"/>
          </w:tcPr>
          <w:p w14:paraId="1EF0CEC9">
            <w:pPr>
              <w:pStyle w:val="18"/>
              <w:rPr>
                <w:lang w:val="en-US"/>
              </w:rPr>
            </w:pPr>
            <w:r>
              <w:rPr>
                <w:rFonts w:hint="eastAsia"/>
                <w:lang w:val="en-US"/>
              </w:rPr>
              <w:t>《施工企业安全生产管理规范》</w:t>
            </w:r>
          </w:p>
        </w:tc>
        <w:tc>
          <w:tcPr>
            <w:tcW w:w="1395" w:type="pct"/>
            <w:shd w:val="clear" w:color="auto" w:fill="auto"/>
            <w:vAlign w:val="center"/>
          </w:tcPr>
          <w:p w14:paraId="1F8A04E4">
            <w:pPr>
              <w:pStyle w:val="18"/>
              <w:rPr>
                <w:lang w:val="en-US"/>
              </w:rPr>
            </w:pPr>
            <w:r>
              <w:rPr>
                <w:rFonts w:hint="eastAsia"/>
                <w:lang w:val="en-US"/>
              </w:rPr>
              <w:t>GB5065-2011</w:t>
            </w:r>
          </w:p>
        </w:tc>
      </w:tr>
      <w:tr w14:paraId="566E6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3BC3525D">
            <w:pPr>
              <w:pStyle w:val="18"/>
              <w:rPr>
                <w:lang w:val="en-US"/>
              </w:rPr>
            </w:pPr>
            <w:r>
              <w:rPr>
                <w:rFonts w:hint="eastAsia"/>
                <w:lang w:val="en-US"/>
              </w:rPr>
              <w:t>19</w:t>
            </w:r>
          </w:p>
        </w:tc>
        <w:tc>
          <w:tcPr>
            <w:tcW w:w="3088" w:type="pct"/>
            <w:shd w:val="clear" w:color="auto" w:fill="auto"/>
            <w:vAlign w:val="center"/>
          </w:tcPr>
          <w:p w14:paraId="2F75147A">
            <w:pPr>
              <w:pStyle w:val="18"/>
              <w:rPr>
                <w:lang w:val="en-US"/>
              </w:rPr>
            </w:pPr>
            <w:r>
              <w:rPr>
                <w:rFonts w:hint="eastAsia"/>
                <w:lang w:val="en-US"/>
              </w:rPr>
              <w:t>《建设工程项目管理规范》</w:t>
            </w:r>
          </w:p>
        </w:tc>
        <w:tc>
          <w:tcPr>
            <w:tcW w:w="1395" w:type="pct"/>
            <w:shd w:val="clear" w:color="auto" w:fill="auto"/>
            <w:vAlign w:val="center"/>
          </w:tcPr>
          <w:p w14:paraId="2167E025">
            <w:pPr>
              <w:pStyle w:val="18"/>
              <w:rPr>
                <w:lang w:val="en-US"/>
              </w:rPr>
            </w:pPr>
            <w:r>
              <w:rPr>
                <w:rFonts w:hint="eastAsia"/>
                <w:lang w:val="en-US"/>
              </w:rPr>
              <w:t>GB/T50326-2006</w:t>
            </w:r>
          </w:p>
        </w:tc>
      </w:tr>
      <w:tr w14:paraId="73F29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0EBFDFF5">
            <w:pPr>
              <w:pStyle w:val="18"/>
              <w:rPr>
                <w:lang w:val="en-US"/>
              </w:rPr>
            </w:pPr>
            <w:r>
              <w:rPr>
                <w:rFonts w:hint="eastAsia"/>
                <w:lang w:val="en-US"/>
              </w:rPr>
              <w:t>20</w:t>
            </w:r>
          </w:p>
        </w:tc>
        <w:tc>
          <w:tcPr>
            <w:tcW w:w="3088" w:type="pct"/>
            <w:shd w:val="clear" w:color="auto" w:fill="auto"/>
            <w:vAlign w:val="center"/>
          </w:tcPr>
          <w:p w14:paraId="2B8AD109">
            <w:pPr>
              <w:pStyle w:val="18"/>
              <w:rPr>
                <w:lang w:val="en-US"/>
              </w:rPr>
            </w:pPr>
            <w:r>
              <w:rPr>
                <w:rFonts w:hint="eastAsia"/>
                <w:lang w:val="en-US"/>
              </w:rPr>
              <w:t>《建筑机械使用安全技术规程》</w:t>
            </w:r>
          </w:p>
        </w:tc>
        <w:tc>
          <w:tcPr>
            <w:tcW w:w="1395" w:type="pct"/>
            <w:shd w:val="clear" w:color="auto" w:fill="auto"/>
            <w:vAlign w:val="center"/>
          </w:tcPr>
          <w:p w14:paraId="684E3979">
            <w:pPr>
              <w:pStyle w:val="18"/>
              <w:rPr>
                <w:lang w:val="en-US"/>
              </w:rPr>
            </w:pPr>
            <w:r>
              <w:rPr>
                <w:rFonts w:hint="eastAsia"/>
                <w:lang w:val="en-US"/>
              </w:rPr>
              <w:t>JGJ33-2012</w:t>
            </w:r>
          </w:p>
        </w:tc>
      </w:tr>
      <w:tr w14:paraId="0D706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04DACDAE">
            <w:pPr>
              <w:pStyle w:val="18"/>
              <w:rPr>
                <w:lang w:val="en-US"/>
              </w:rPr>
            </w:pPr>
            <w:r>
              <w:rPr>
                <w:rFonts w:hint="eastAsia"/>
                <w:lang w:val="en-US"/>
              </w:rPr>
              <w:t>21</w:t>
            </w:r>
          </w:p>
        </w:tc>
        <w:tc>
          <w:tcPr>
            <w:tcW w:w="3088" w:type="pct"/>
            <w:shd w:val="clear" w:color="auto" w:fill="auto"/>
            <w:vAlign w:val="center"/>
          </w:tcPr>
          <w:p w14:paraId="29843064">
            <w:pPr>
              <w:pStyle w:val="18"/>
              <w:rPr>
                <w:lang w:val="en-US"/>
              </w:rPr>
            </w:pPr>
            <w:r>
              <w:rPr>
                <w:rFonts w:hint="eastAsia"/>
                <w:lang w:val="en-US"/>
              </w:rPr>
              <w:t>《安全防范工程技术规范》</w:t>
            </w:r>
          </w:p>
        </w:tc>
        <w:tc>
          <w:tcPr>
            <w:tcW w:w="1395" w:type="pct"/>
            <w:shd w:val="clear" w:color="auto" w:fill="auto"/>
            <w:vAlign w:val="center"/>
          </w:tcPr>
          <w:p w14:paraId="292A10B6">
            <w:pPr>
              <w:pStyle w:val="18"/>
              <w:rPr>
                <w:lang w:val="en-US"/>
              </w:rPr>
            </w:pPr>
            <w:r>
              <w:rPr>
                <w:rFonts w:hint="eastAsia"/>
                <w:lang w:val="en-US"/>
              </w:rPr>
              <w:t>GB50348-2004</w:t>
            </w:r>
          </w:p>
        </w:tc>
      </w:tr>
      <w:tr w14:paraId="0B8C3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4AD65DE2">
            <w:pPr>
              <w:pStyle w:val="18"/>
              <w:rPr>
                <w:lang w:val="en-US"/>
              </w:rPr>
            </w:pPr>
            <w:r>
              <w:rPr>
                <w:rFonts w:hint="eastAsia"/>
                <w:lang w:val="en-US"/>
              </w:rPr>
              <w:t>22</w:t>
            </w:r>
          </w:p>
        </w:tc>
        <w:tc>
          <w:tcPr>
            <w:tcW w:w="3088" w:type="pct"/>
            <w:shd w:val="clear" w:color="auto" w:fill="auto"/>
            <w:vAlign w:val="center"/>
          </w:tcPr>
          <w:p w14:paraId="3B8ABBA0">
            <w:pPr>
              <w:pStyle w:val="18"/>
              <w:rPr>
                <w:lang w:val="en-US"/>
              </w:rPr>
            </w:pPr>
            <w:r>
              <w:rPr>
                <w:rFonts w:hint="eastAsia"/>
                <w:lang w:val="en-US"/>
              </w:rPr>
              <w:t>《建筑工程施工现场用电规范》</w:t>
            </w:r>
          </w:p>
        </w:tc>
        <w:tc>
          <w:tcPr>
            <w:tcW w:w="1395" w:type="pct"/>
            <w:shd w:val="clear" w:color="auto" w:fill="auto"/>
            <w:vAlign w:val="center"/>
          </w:tcPr>
          <w:p w14:paraId="603686E0">
            <w:pPr>
              <w:pStyle w:val="18"/>
              <w:rPr>
                <w:lang w:val="en-US"/>
              </w:rPr>
            </w:pPr>
            <w:r>
              <w:rPr>
                <w:rFonts w:hint="eastAsia"/>
                <w:lang w:val="en-US"/>
              </w:rPr>
              <w:t>GB50194-2014</w:t>
            </w:r>
          </w:p>
        </w:tc>
      </w:tr>
      <w:tr w14:paraId="0063B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33DD7710">
            <w:pPr>
              <w:pStyle w:val="18"/>
              <w:rPr>
                <w:lang w:val="en-US"/>
              </w:rPr>
            </w:pPr>
            <w:r>
              <w:rPr>
                <w:rFonts w:hint="eastAsia"/>
                <w:lang w:val="en-US"/>
              </w:rPr>
              <w:t>23</w:t>
            </w:r>
          </w:p>
        </w:tc>
        <w:tc>
          <w:tcPr>
            <w:tcW w:w="3088" w:type="pct"/>
            <w:shd w:val="clear" w:color="auto" w:fill="auto"/>
            <w:vAlign w:val="center"/>
          </w:tcPr>
          <w:p w14:paraId="1D50F09D">
            <w:pPr>
              <w:pStyle w:val="18"/>
              <w:rPr>
                <w:lang w:val="en-US"/>
              </w:rPr>
            </w:pPr>
            <w:r>
              <w:rPr>
                <w:rFonts w:hint="eastAsia"/>
                <w:lang w:val="en-US"/>
              </w:rPr>
              <w:t>《建筑工程扬尘污染防治规范》</w:t>
            </w:r>
          </w:p>
        </w:tc>
        <w:tc>
          <w:tcPr>
            <w:tcW w:w="1395" w:type="pct"/>
            <w:shd w:val="clear" w:color="auto" w:fill="auto"/>
            <w:vAlign w:val="center"/>
          </w:tcPr>
          <w:p w14:paraId="446E2B6D">
            <w:pPr>
              <w:pStyle w:val="18"/>
              <w:rPr>
                <w:lang w:val="en-US"/>
              </w:rPr>
            </w:pPr>
            <w:r>
              <w:rPr>
                <w:rFonts w:hint="eastAsia"/>
                <w:lang w:val="en-US"/>
              </w:rPr>
              <w:t>DGJ08-121-2006</w:t>
            </w:r>
          </w:p>
        </w:tc>
      </w:tr>
      <w:tr w14:paraId="41295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5" w:type="pct"/>
            <w:shd w:val="clear" w:color="auto" w:fill="auto"/>
            <w:vAlign w:val="center"/>
          </w:tcPr>
          <w:p w14:paraId="1087D499">
            <w:pPr>
              <w:pStyle w:val="18"/>
              <w:rPr>
                <w:lang w:val="en-US"/>
              </w:rPr>
            </w:pPr>
            <w:r>
              <w:rPr>
                <w:rFonts w:hint="eastAsia"/>
                <w:lang w:val="en-US"/>
              </w:rPr>
              <w:t>24</w:t>
            </w:r>
          </w:p>
        </w:tc>
        <w:tc>
          <w:tcPr>
            <w:tcW w:w="3088" w:type="pct"/>
            <w:shd w:val="clear" w:color="auto" w:fill="auto"/>
            <w:vAlign w:val="center"/>
          </w:tcPr>
          <w:p w14:paraId="0576AF8D">
            <w:pPr>
              <w:pStyle w:val="18"/>
              <w:rPr>
                <w:lang w:val="en-US"/>
              </w:rPr>
            </w:pPr>
            <w:r>
              <w:rPr>
                <w:rFonts w:hint="eastAsia"/>
                <w:lang w:val="en-US"/>
              </w:rPr>
              <w:t>《建设工程施工现场环境与卫生标准》</w:t>
            </w:r>
          </w:p>
        </w:tc>
        <w:tc>
          <w:tcPr>
            <w:tcW w:w="1395" w:type="pct"/>
            <w:shd w:val="clear" w:color="auto" w:fill="auto"/>
            <w:vAlign w:val="center"/>
          </w:tcPr>
          <w:p w14:paraId="46DE18DB">
            <w:pPr>
              <w:pStyle w:val="18"/>
              <w:rPr>
                <w:lang w:val="en-US"/>
              </w:rPr>
            </w:pPr>
            <w:r>
              <w:rPr>
                <w:rFonts w:hint="eastAsia"/>
                <w:lang w:val="en-US"/>
              </w:rPr>
              <w:t>JGJ146-2013</w:t>
            </w:r>
          </w:p>
        </w:tc>
      </w:tr>
    </w:tbl>
    <w:p w14:paraId="244D879E">
      <w:pPr>
        <w:ind w:firstLine="560"/>
      </w:pPr>
      <w:r>
        <w:rPr>
          <w:rFonts w:hint="eastAsia"/>
        </w:rPr>
        <w:t>（三）企业“三合一”体系标准文件</w:t>
      </w:r>
    </w:p>
    <w:p w14:paraId="25D7755F">
      <w:pPr>
        <w:ind w:firstLine="560"/>
      </w:pPr>
      <w:r>
        <w:rPr>
          <w:rFonts w:hint="eastAsia"/>
        </w:rPr>
        <w:t>公司《项目管理手册》、公司《项目管理标准》及《项目管理核心流程汇编》、公司ISO质量文件。</w:t>
      </w:r>
    </w:p>
    <w:p w14:paraId="12BD15A8">
      <w:pPr>
        <w:pStyle w:val="4"/>
        <w:spacing w:before="93" w:after="31"/>
      </w:pPr>
      <w:bookmarkStart w:id="74" w:name="_Toc7328"/>
      <w:bookmarkStart w:id="75" w:name="_Toc21883"/>
      <w:bookmarkStart w:id="76" w:name="_Toc28986"/>
      <w:bookmarkStart w:id="77" w:name="_Toc28107"/>
      <w:bookmarkStart w:id="78" w:name="_Toc5565"/>
      <w:bookmarkStart w:id="79" w:name="_Toc30412"/>
      <w:bookmarkStart w:id="80" w:name="_Toc29771"/>
      <w:bookmarkStart w:id="81" w:name="_Toc11629"/>
      <w:bookmarkStart w:id="82" w:name="_Toc28156"/>
      <w:bookmarkStart w:id="83" w:name="_Toc30658"/>
      <w:bookmarkStart w:id="84" w:name="_Toc9029"/>
      <w:bookmarkStart w:id="85" w:name="_Toc14676"/>
      <w:bookmarkStart w:id="86" w:name="_Toc18559"/>
      <w:bookmarkStart w:id="87" w:name="_Toc19011"/>
      <w:bookmarkStart w:id="88" w:name="_Toc10678"/>
      <w:bookmarkStart w:id="89" w:name="_Toc17093"/>
      <w:r>
        <w:rPr>
          <w:rFonts w:hint="eastAsia"/>
        </w:rPr>
        <w:t>三、编制原则</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5FEBFF88">
      <w:pPr>
        <w:ind w:firstLine="560"/>
      </w:pPr>
      <w:r>
        <w:t>认真贯彻党和国家对基本建设的各项方针和政策；严格遵守国家和合同规定的工程竣工及交付使用期限；合理安排工程开展程序和施工顺序。</w:t>
      </w:r>
    </w:p>
    <w:p w14:paraId="6BA72A0D">
      <w:pPr>
        <w:ind w:firstLine="560"/>
      </w:pPr>
      <w:r>
        <w:t>建筑施工的特点之一是产品的固定性，因而使建筑施工在同一场地上同时或者先后交叉进行。没有前一阶段的工作，后一阶段的工作就不能进行,同时它们之间又是交错搭接地进行;顺序反映客观规律要求,交叉则反映争取时间的努力。</w:t>
      </w:r>
    </w:p>
    <w:p w14:paraId="17CEB09B">
      <w:pPr>
        <w:ind w:firstLine="560"/>
      </w:pPr>
      <w:r>
        <w:t>因此在编制过程中必须遵循以下原则：</w:t>
      </w:r>
    </w:p>
    <w:p w14:paraId="2F5CCDB5">
      <w:pPr>
        <w:ind w:firstLine="560"/>
      </w:pPr>
      <w:bookmarkStart w:id="90" w:name="_Toc17155"/>
      <w:bookmarkStart w:id="91" w:name="_Toc10866"/>
      <w:bookmarkStart w:id="92" w:name="_Toc31805"/>
      <w:bookmarkStart w:id="93" w:name="_Toc30428"/>
      <w:bookmarkStart w:id="94" w:name="_Toc29511"/>
      <w:bookmarkStart w:id="95" w:name="_Toc8520"/>
      <w:bookmarkStart w:id="96" w:name="_Toc4798"/>
      <w:r>
        <w:rPr>
          <w:rFonts w:hint="eastAsia"/>
        </w:rPr>
        <w:t>1.</w:t>
      </w:r>
      <w:r>
        <w:t>方案优化的原则</w:t>
      </w:r>
      <w:bookmarkEnd w:id="90"/>
      <w:bookmarkEnd w:id="91"/>
      <w:bookmarkEnd w:id="92"/>
      <w:bookmarkEnd w:id="93"/>
      <w:bookmarkEnd w:id="94"/>
      <w:bookmarkEnd w:id="95"/>
      <w:bookmarkEnd w:id="96"/>
    </w:p>
    <w:p w14:paraId="65664537">
      <w:pPr>
        <w:ind w:firstLine="560"/>
      </w:pPr>
      <w:r>
        <w:t>科学组织，合理安排,优化施工方案是工程施工管理的行动指南。在施工方案的编制中,对各分部分项施工方案综合比选，从而选定一种较好的施工方案。</w:t>
      </w:r>
    </w:p>
    <w:p w14:paraId="64295397">
      <w:pPr>
        <w:ind w:firstLine="560"/>
      </w:pPr>
      <w:bookmarkStart w:id="97" w:name="_Toc11149"/>
      <w:bookmarkStart w:id="98" w:name="_Toc1510"/>
      <w:bookmarkStart w:id="99" w:name="_Toc22123"/>
      <w:bookmarkStart w:id="100" w:name="_Toc21641"/>
      <w:bookmarkStart w:id="101" w:name="_Toc3757"/>
      <w:bookmarkStart w:id="102" w:name="_Toc4715"/>
      <w:bookmarkStart w:id="103" w:name="_Toc12492"/>
      <w:r>
        <w:rPr>
          <w:rFonts w:hint="eastAsia"/>
        </w:rPr>
        <w:t>2.</w:t>
      </w:r>
      <w:r>
        <w:t>安全第一的原则</w:t>
      </w:r>
      <w:bookmarkEnd w:id="97"/>
      <w:bookmarkEnd w:id="98"/>
      <w:bookmarkEnd w:id="99"/>
      <w:bookmarkEnd w:id="100"/>
      <w:bookmarkEnd w:id="101"/>
      <w:bookmarkEnd w:id="102"/>
      <w:bookmarkEnd w:id="103"/>
    </w:p>
    <w:p w14:paraId="4CBE8788">
      <w:pPr>
        <w:ind w:firstLine="560"/>
      </w:pPr>
      <w:r>
        <w:t>在编制中始终按照技术可靠、措施得力、确保安全的原则确定施工方案</w:t>
      </w:r>
      <w:r>
        <w:rPr>
          <w:rFonts w:hint="eastAsia"/>
        </w:rPr>
        <w:t>。加强对外用工的管理工作，确保工程安全生产和人身安全，杜绝工伤事故的发生。</w:t>
      </w:r>
      <w:r>
        <w:t>必须在安全措施落实到位、确保万无一失的前提下组织施工。</w:t>
      </w:r>
    </w:p>
    <w:p w14:paraId="7B5CEDEC">
      <w:pPr>
        <w:ind w:firstLine="560"/>
      </w:pPr>
      <w:bookmarkStart w:id="104" w:name="_Toc19306"/>
      <w:bookmarkStart w:id="105" w:name="_Toc8083"/>
      <w:bookmarkStart w:id="106" w:name="_Toc13101"/>
      <w:bookmarkStart w:id="107" w:name="_Toc22551"/>
      <w:bookmarkStart w:id="108" w:name="_Toc27258"/>
      <w:bookmarkStart w:id="109" w:name="_Toc11224"/>
      <w:bookmarkStart w:id="110" w:name="_Toc24075"/>
      <w:r>
        <w:rPr>
          <w:rFonts w:hint="eastAsia"/>
        </w:rPr>
        <w:t>3.</w:t>
      </w:r>
      <w:r>
        <w:t>优质高效的原则</w:t>
      </w:r>
      <w:bookmarkEnd w:id="104"/>
      <w:bookmarkEnd w:id="105"/>
      <w:bookmarkEnd w:id="106"/>
      <w:bookmarkEnd w:id="107"/>
      <w:bookmarkEnd w:id="108"/>
      <w:bookmarkEnd w:id="109"/>
      <w:bookmarkEnd w:id="110"/>
    </w:p>
    <w:p w14:paraId="7A368813">
      <w:pPr>
        <w:ind w:firstLine="560"/>
      </w:pPr>
      <w:r>
        <w:t>加强领导,强化管理，优质高效。根据我们在设计中明确承诺的质量目标，贯彻执行质量管理方针，积极推广和使用“四新”技术,确保创优规划和质量目标的实现。施工中强化标准管理，加强内部核算管理，降低工程成本,提高经济效益。</w:t>
      </w:r>
    </w:p>
    <w:p w14:paraId="1A8C9339">
      <w:pPr>
        <w:ind w:firstLine="560"/>
      </w:pPr>
      <w:bookmarkStart w:id="111" w:name="_Toc26362"/>
      <w:bookmarkStart w:id="112" w:name="_Toc31175"/>
      <w:bookmarkStart w:id="113" w:name="_Toc11926"/>
      <w:bookmarkStart w:id="114" w:name="_Toc16637"/>
      <w:bookmarkStart w:id="115" w:name="_Toc14195"/>
      <w:bookmarkStart w:id="116" w:name="_Toc23945"/>
      <w:bookmarkStart w:id="117" w:name="_Toc21659"/>
      <w:r>
        <w:rPr>
          <w:rFonts w:hint="eastAsia"/>
        </w:rPr>
        <w:t>4.</w:t>
      </w:r>
      <w:r>
        <w:t>确保工期的原则</w:t>
      </w:r>
      <w:bookmarkEnd w:id="111"/>
      <w:bookmarkEnd w:id="112"/>
      <w:bookmarkEnd w:id="113"/>
      <w:bookmarkEnd w:id="114"/>
      <w:bookmarkEnd w:id="115"/>
      <w:bookmarkEnd w:id="116"/>
      <w:bookmarkEnd w:id="117"/>
    </w:p>
    <w:p w14:paraId="172CC682">
      <w:pPr>
        <w:ind w:firstLine="560"/>
      </w:pPr>
      <w:r>
        <w:t>根据招标文件对本工程的工期要求，编制科学的、可行的、周密的施工方案,合理安排施工进度,实行网络控制，组织各工序之间的施工顺序，实施进度监控，特别要抓住重点控制工序和部位，确保实现工期目标，满足业主要求。</w:t>
      </w:r>
    </w:p>
    <w:p w14:paraId="23543E35">
      <w:pPr>
        <w:ind w:firstLine="560"/>
      </w:pPr>
      <w:bookmarkStart w:id="118" w:name="_Toc6421"/>
      <w:bookmarkStart w:id="119" w:name="_Toc16878"/>
      <w:bookmarkStart w:id="120" w:name="_Toc22314"/>
      <w:bookmarkStart w:id="121" w:name="_Toc27048"/>
      <w:bookmarkStart w:id="122" w:name="_Toc29564"/>
      <w:bookmarkStart w:id="123" w:name="_Toc18956"/>
      <w:bookmarkStart w:id="124" w:name="_Toc24525"/>
      <w:r>
        <w:rPr>
          <w:rFonts w:hint="eastAsia"/>
        </w:rPr>
        <w:t>5.</w:t>
      </w:r>
      <w:r>
        <w:t>科学配置的原则</w:t>
      </w:r>
      <w:bookmarkEnd w:id="118"/>
      <w:bookmarkEnd w:id="119"/>
      <w:bookmarkEnd w:id="120"/>
      <w:bookmarkEnd w:id="121"/>
      <w:bookmarkEnd w:id="122"/>
      <w:bookmarkEnd w:id="123"/>
      <w:bookmarkEnd w:id="124"/>
    </w:p>
    <w:p w14:paraId="16D10FF2">
      <w:pPr>
        <w:ind w:firstLine="560"/>
      </w:pPr>
      <w:r>
        <w:t>根据本工程的工程量大小及各项管理目标的要求,在施工组织上，科学配置施工要素,选派有施工经验的管理人员，组织专业化施工队伍，投入高效先进的施工设备，确保建设资金的周转使用，选用优质材料，确保人、财、物及设备的科学合理配置.</w:t>
      </w:r>
    </w:p>
    <w:p w14:paraId="2EAFE113">
      <w:pPr>
        <w:ind w:firstLine="560"/>
      </w:pPr>
      <w:bookmarkStart w:id="125" w:name="_Toc4564"/>
      <w:bookmarkStart w:id="126" w:name="_Toc8527"/>
      <w:bookmarkStart w:id="127" w:name="_Toc6300"/>
      <w:bookmarkStart w:id="128" w:name="_Toc19811"/>
      <w:bookmarkStart w:id="129" w:name="_Toc2942"/>
      <w:bookmarkStart w:id="130" w:name="_Toc12409"/>
      <w:bookmarkStart w:id="131" w:name="_Toc3741"/>
      <w:r>
        <w:rPr>
          <w:rFonts w:hint="eastAsia"/>
        </w:rPr>
        <w:t>6.</w:t>
      </w:r>
      <w:r>
        <w:t>合理布局的原则</w:t>
      </w:r>
      <w:bookmarkEnd w:id="125"/>
      <w:bookmarkEnd w:id="126"/>
      <w:bookmarkEnd w:id="127"/>
      <w:bookmarkEnd w:id="128"/>
      <w:bookmarkEnd w:id="129"/>
      <w:bookmarkEnd w:id="130"/>
      <w:bookmarkEnd w:id="131"/>
    </w:p>
    <w:p w14:paraId="1B2E7AE7">
      <w:pPr>
        <w:ind w:firstLine="560"/>
      </w:pPr>
      <w:r>
        <w:t>从合理利用临时占地、便于施工、搞好文明施工等多角度出发，合理调配工程材料进场的行进路线，合理规划办公场所、宿舍、材料堆置以及机械停置的空间布局。</w:t>
      </w:r>
    </w:p>
    <w:p w14:paraId="6CF5560C">
      <w:pPr>
        <w:ind w:firstLine="560"/>
      </w:pPr>
      <w:r>
        <w:br w:type="page"/>
      </w:r>
    </w:p>
    <w:p w14:paraId="242E9931">
      <w:pPr>
        <w:pStyle w:val="2"/>
        <w:bidi w:val="0"/>
        <w:rPr>
          <w:rFonts w:hint="eastAsia"/>
        </w:rPr>
      </w:pPr>
      <w:bookmarkStart w:id="132" w:name="_Toc4114"/>
      <w:bookmarkStart w:id="133" w:name="_Toc8360"/>
      <w:bookmarkStart w:id="134" w:name="_Toc9164"/>
      <w:bookmarkStart w:id="135" w:name="_Toc3800"/>
      <w:r>
        <w:rPr>
          <w:rFonts w:hint="eastAsia"/>
          <w:lang w:val="en-US" w:eastAsia="zh-CN"/>
        </w:rPr>
        <w:t>第二章、</w:t>
      </w:r>
      <w:r>
        <w:rPr>
          <w:rFonts w:hint="eastAsia"/>
        </w:rPr>
        <w:t>设计管理方案</w:t>
      </w:r>
      <w:bookmarkEnd w:id="132"/>
    </w:p>
    <w:p w14:paraId="0D73752B">
      <w:pPr>
        <w:rPr>
          <w:rFonts w:hint="eastAsia"/>
        </w:rPr>
      </w:pPr>
      <w:r>
        <w:rPr>
          <w:rFonts w:hint="eastAsia"/>
          <w:lang w:val="en-US" w:eastAsia="zh-CN"/>
        </w:rPr>
        <w:t>一</w:t>
      </w:r>
      <w:r>
        <w:rPr>
          <w:rFonts w:hint="eastAsia"/>
        </w:rPr>
        <w:t>、设计管理目标</w:t>
      </w:r>
    </w:p>
    <w:p w14:paraId="48AF12CC">
      <w:pPr>
        <w:rPr>
          <w:rFonts w:hint="eastAsia"/>
        </w:rPr>
      </w:pPr>
      <w:r>
        <w:rPr>
          <w:rFonts w:hint="eastAsia"/>
        </w:rPr>
        <w:t>质量目标：设计成果需符合国家及地方相关的法律法规、标准规范，满足项目可行性研究报告、初步设计批复等文件的要求，确保设计内容完整、准确、合理，无重大设计缺陷和安全隐患。</w:t>
      </w:r>
    </w:p>
    <w:p w14:paraId="23D1925C">
      <w:pPr>
        <w:rPr>
          <w:rFonts w:hint="eastAsia"/>
        </w:rPr>
      </w:pPr>
      <w:r>
        <w:rPr>
          <w:rFonts w:hint="eastAsia"/>
        </w:rPr>
        <w:t>进度目标：按照项目总体进度计划，合理安排设计各阶段的工作时间，确保按时完成方案设计、初步设计、施工图设计等各阶段的设计任务，并及时提交设计成果，为工程施工等后续工作顺利开展提供保障。</w:t>
      </w:r>
    </w:p>
    <w:p w14:paraId="30134478">
      <w:pPr>
        <w:rPr>
          <w:rFonts w:hint="eastAsia"/>
        </w:rPr>
      </w:pPr>
      <w:r>
        <w:rPr>
          <w:rFonts w:hint="eastAsia"/>
        </w:rPr>
        <w:t>成本目标：在保证设计质量和满足使用功能的前提下，通过优化设计方案，合理控制工程造价，提高项目的投资效益。设计过程中应充分考虑材料、设备的选型和采购成本，以及施工过程中的成本节约。</w:t>
      </w:r>
    </w:p>
    <w:p w14:paraId="634DBE50">
      <w:pPr>
        <w:rPr>
          <w:rFonts w:hint="eastAsia"/>
        </w:rPr>
      </w:pPr>
      <w:r>
        <w:rPr>
          <w:rFonts w:hint="eastAsia"/>
        </w:rPr>
        <w:t>安全目标：设计成果应充分考虑供水工程的安全运行要求，包括水源保护、水质安全、管网安全、泵站安全等方面，确保供水系统在运行过程中不会对人员、环境和社会造成安全危害。</w:t>
      </w:r>
    </w:p>
    <w:p w14:paraId="025898BD">
      <w:pPr>
        <w:rPr>
          <w:rFonts w:hint="eastAsia"/>
        </w:rPr>
      </w:pPr>
      <w:r>
        <w:rPr>
          <w:rFonts w:hint="eastAsia"/>
        </w:rPr>
        <w:t>环保目标：设计应符合环境保护的相关要求，尽量减少供水工程对周边生态环境的影响。在水源选择、水处理工艺、管网布置等方面，应优先采用环保、节能的技术和方案。</w:t>
      </w:r>
    </w:p>
    <w:p w14:paraId="19D88B07">
      <w:pPr>
        <w:rPr>
          <w:rFonts w:hint="eastAsia"/>
        </w:rPr>
      </w:pPr>
      <w:r>
        <w:rPr>
          <w:rFonts w:hint="eastAsia"/>
          <w:lang w:val="en-US" w:eastAsia="zh-CN"/>
        </w:rPr>
        <w:t>二</w:t>
      </w:r>
      <w:r>
        <w:rPr>
          <w:rFonts w:hint="eastAsia"/>
        </w:rPr>
        <w:t>、设计管理范围</w:t>
      </w:r>
    </w:p>
    <w:p w14:paraId="558D65A3">
      <w:pPr>
        <w:rPr>
          <w:rFonts w:hint="eastAsia"/>
        </w:rPr>
      </w:pPr>
      <w:r>
        <w:rPr>
          <w:rFonts w:hint="eastAsia"/>
        </w:rPr>
        <w:t>前期阶段：包括项目可行性研究报告的编制与评审、项目选址、水源勘察与评估、环境影响评价等工作的设计管理。</w:t>
      </w:r>
    </w:p>
    <w:p w14:paraId="43804EF9">
      <w:pPr>
        <w:rPr>
          <w:rFonts w:hint="eastAsia"/>
        </w:rPr>
      </w:pPr>
      <w:r>
        <w:rPr>
          <w:rFonts w:hint="eastAsia"/>
        </w:rPr>
        <w:t>方案设计阶段：对供水工程的总体布局、工艺流程、主要设备选型、管网布置等进行方案设计，并对不同方案进行技术经济比较和优化，确定最佳设计方案。</w:t>
      </w:r>
    </w:p>
    <w:p w14:paraId="5958360F">
      <w:pPr>
        <w:rPr>
          <w:rFonts w:hint="eastAsia"/>
        </w:rPr>
      </w:pPr>
      <w:r>
        <w:rPr>
          <w:rFonts w:hint="eastAsia"/>
        </w:rPr>
        <w:t>初步设计阶段：在方案设计的基础上，进一步深化设计内容，编制初步设计文件，包括设计说明书、图纸、主要设备材料表、工程概算等，并进行评审和报批。</w:t>
      </w:r>
    </w:p>
    <w:p w14:paraId="20088C09">
      <w:pPr>
        <w:rPr>
          <w:rFonts w:hint="eastAsia"/>
        </w:rPr>
      </w:pPr>
      <w:r>
        <w:rPr>
          <w:rFonts w:hint="eastAsia"/>
        </w:rPr>
        <w:t>施工图设计阶段：根据初步设计批复意见，进行详细的施工图设计，绘制施工所需的各类图纸，包括建筑、结构、给排水、电气、自控等专业图纸，并编制施工图预算。同时，应对施工图进行审核和优化，确保其满足施工要求。</w:t>
      </w:r>
    </w:p>
    <w:p w14:paraId="60EBA717">
      <w:pPr>
        <w:rPr>
          <w:rFonts w:hint="eastAsia"/>
        </w:rPr>
      </w:pPr>
      <w:r>
        <w:rPr>
          <w:rFonts w:hint="eastAsia"/>
        </w:rPr>
        <w:t>设计后续服务阶段：包括施工过程中的设计交底、图纸会审、设计变更管理、现场技术服务、参与工程验收等工作。</w:t>
      </w:r>
    </w:p>
    <w:p w14:paraId="29DD57B0">
      <w:pPr>
        <w:rPr>
          <w:rFonts w:hint="eastAsia"/>
        </w:rPr>
      </w:pPr>
      <w:r>
        <w:rPr>
          <w:rFonts w:hint="eastAsia"/>
        </w:rPr>
        <w:t>四、组织架构与职责分工</w:t>
      </w:r>
    </w:p>
    <w:p w14:paraId="0305E388">
      <w:pPr>
        <w:rPr>
          <w:rFonts w:hint="eastAsia"/>
        </w:rPr>
      </w:pPr>
      <w:r>
        <w:rPr>
          <w:rFonts w:hint="eastAsia"/>
        </w:rPr>
        <w:t>设计管理领导小组：由项目业主单位的负责人、技术负责人等组成，负责统筹协调设计管理工作，审批设计计划、设计方案和重大设计变更，解决设计管理过程中的重大问题。</w:t>
      </w:r>
    </w:p>
    <w:p w14:paraId="7B43107B">
      <w:pPr>
        <w:rPr>
          <w:rFonts w:hint="eastAsia"/>
        </w:rPr>
      </w:pPr>
      <w:r>
        <w:rPr>
          <w:rFonts w:hint="eastAsia"/>
        </w:rPr>
        <w:t>设计单位：按照合同约定和相关要求，完成各阶段的设计工作，提交合格的设计成果。负责设计交底、现场技术服务，及时处理施工过程中出现的设计问题，参与工程验收等。</w:t>
      </w:r>
    </w:p>
    <w:p w14:paraId="36AB0663">
      <w:pPr>
        <w:rPr>
          <w:rFonts w:hint="eastAsia"/>
        </w:rPr>
      </w:pPr>
      <w:r>
        <w:rPr>
          <w:rFonts w:hint="eastAsia"/>
        </w:rPr>
        <w:t>监理单位：协助业主单位对设计工作进行监督和管理，审查设计文件的完整性、准确性和合规性，参与设计方案的评审和设计变更的审核，监督设计单位履行合同义务。</w:t>
      </w:r>
    </w:p>
    <w:p w14:paraId="21AA7BA2">
      <w:pPr>
        <w:rPr>
          <w:rFonts w:hint="eastAsia"/>
        </w:rPr>
      </w:pPr>
      <w:r>
        <w:rPr>
          <w:rFonts w:hint="eastAsia"/>
        </w:rPr>
        <w:t>施工单位：参与图纸会审和设计交底，提出施工过程中对设计图纸的疑问和建议，严格按照设计图纸进行施工，及时反馈施工过程中发现的设计问题。</w:t>
      </w:r>
    </w:p>
    <w:p w14:paraId="64660CCC">
      <w:pPr>
        <w:rPr>
          <w:rFonts w:hint="eastAsia"/>
        </w:rPr>
      </w:pPr>
      <w:r>
        <w:rPr>
          <w:rFonts w:hint="eastAsia"/>
        </w:rPr>
        <w:t>业主单位设计管理部门：作为设计管理的具体执行部门，负责与设计单位、监理单位、施工单位等相关方的沟通协调，制定设计计划，跟踪设计进度，审查设计成果，管理设计变更，组织设计交底、图纸会审和设计评审等工作。</w:t>
      </w:r>
    </w:p>
    <w:p w14:paraId="61D4DFB2">
      <w:pPr>
        <w:rPr>
          <w:rFonts w:hint="eastAsia"/>
        </w:rPr>
      </w:pPr>
      <w:r>
        <w:rPr>
          <w:rFonts w:hint="eastAsia"/>
        </w:rPr>
        <w:t>五、设计阶段管理流程</w:t>
      </w:r>
    </w:p>
    <w:p w14:paraId="1D1515D1">
      <w:pPr>
        <w:rPr>
          <w:rFonts w:hint="eastAsia"/>
        </w:rPr>
      </w:pPr>
      <w:r>
        <w:rPr>
          <w:rFonts w:hint="eastAsia"/>
        </w:rPr>
        <w:t>前期阶段管理流程</w:t>
      </w:r>
    </w:p>
    <w:p w14:paraId="49CFCE3E">
      <w:pPr>
        <w:rPr>
          <w:rFonts w:hint="eastAsia"/>
        </w:rPr>
      </w:pPr>
      <w:r>
        <w:rPr>
          <w:rFonts w:hint="eastAsia"/>
        </w:rPr>
        <w:t>项目业主单位组织开展项目可行性研究，委托具有相应资质的单位编制可行性研究报告。</w:t>
      </w:r>
    </w:p>
    <w:p w14:paraId="46F46738">
      <w:pPr>
        <w:rPr>
          <w:rFonts w:hint="eastAsia"/>
        </w:rPr>
      </w:pPr>
      <w:r>
        <w:rPr>
          <w:rFonts w:hint="eastAsia"/>
        </w:rPr>
        <w:t>组织专家对可行性研究报告进行评审，根据评审意见进行修改完善，报相关部门审批。</w:t>
      </w:r>
    </w:p>
    <w:p w14:paraId="08FAA7BD">
      <w:pPr>
        <w:rPr>
          <w:rFonts w:hint="eastAsia"/>
        </w:rPr>
      </w:pPr>
      <w:r>
        <w:rPr>
          <w:rFonts w:hint="eastAsia"/>
        </w:rPr>
        <w:t>开展项目选址、水源勘察与评估、环境影响评价等工作，委托专业机构进行相关勘察和评价，并获取相应的审批文件。</w:t>
      </w:r>
    </w:p>
    <w:p w14:paraId="13E6C5AF">
      <w:pPr>
        <w:rPr>
          <w:rFonts w:hint="eastAsia"/>
        </w:rPr>
      </w:pPr>
      <w:r>
        <w:rPr>
          <w:rFonts w:hint="eastAsia"/>
        </w:rPr>
        <w:t>业主单位设计管理部门对前期阶段的各项工作进行监督和管理，确保工作质量和进度。</w:t>
      </w:r>
    </w:p>
    <w:p w14:paraId="6A390003">
      <w:pPr>
        <w:rPr>
          <w:rFonts w:hint="eastAsia"/>
        </w:rPr>
      </w:pPr>
      <w:r>
        <w:rPr>
          <w:rFonts w:hint="eastAsia"/>
        </w:rPr>
        <w:t>方案设计阶段管理流程</w:t>
      </w:r>
    </w:p>
    <w:p w14:paraId="14398CEF">
      <w:pPr>
        <w:rPr>
          <w:rFonts w:hint="eastAsia"/>
        </w:rPr>
      </w:pPr>
      <w:r>
        <w:rPr>
          <w:rFonts w:hint="eastAsia"/>
        </w:rPr>
        <w:t>业主单位向设计单位下达方案设计任务书，明确设计要求、技术标准、时间节点等。</w:t>
      </w:r>
    </w:p>
    <w:p w14:paraId="21878E9E">
      <w:pPr>
        <w:rPr>
          <w:rFonts w:hint="eastAsia"/>
        </w:rPr>
      </w:pPr>
      <w:r>
        <w:rPr>
          <w:rFonts w:hint="eastAsia"/>
        </w:rPr>
        <w:t>设计单位根据任务书开展方案设计工作，形成多个设计方案，并进行技术经济比较和分析。</w:t>
      </w:r>
    </w:p>
    <w:p w14:paraId="0090D386">
      <w:pPr>
        <w:rPr>
          <w:rFonts w:hint="eastAsia"/>
        </w:rPr>
      </w:pPr>
      <w:r>
        <w:rPr>
          <w:rFonts w:hint="eastAsia"/>
        </w:rPr>
        <w:t>业主单位组织设计单位、监理单位、相关专家等对设计方案进行评审，提出评审意见。</w:t>
      </w:r>
    </w:p>
    <w:p w14:paraId="65333F0A">
      <w:pPr>
        <w:rPr>
          <w:rFonts w:hint="eastAsia"/>
        </w:rPr>
      </w:pPr>
      <w:r>
        <w:rPr>
          <w:rFonts w:hint="eastAsia"/>
        </w:rPr>
        <w:t>设计单位根据评审意见对方案进行修改完善，确定最终方案设计，并报业主单位审批。</w:t>
      </w:r>
    </w:p>
    <w:p w14:paraId="5314DD9C">
      <w:pPr>
        <w:rPr>
          <w:rFonts w:hint="eastAsia"/>
        </w:rPr>
      </w:pPr>
      <w:r>
        <w:rPr>
          <w:rFonts w:hint="eastAsia"/>
        </w:rPr>
        <w:t>初步设计阶段管理流程</w:t>
      </w:r>
    </w:p>
    <w:p w14:paraId="35B1A66B">
      <w:pPr>
        <w:rPr>
          <w:rFonts w:hint="eastAsia"/>
        </w:rPr>
      </w:pPr>
      <w:r>
        <w:rPr>
          <w:rFonts w:hint="eastAsia"/>
        </w:rPr>
        <w:t>设计单位根据审批通过的方案设计，开展初步设计工作，编制初步设计文件。</w:t>
      </w:r>
    </w:p>
    <w:p w14:paraId="1E859292">
      <w:pPr>
        <w:rPr>
          <w:rFonts w:hint="eastAsia"/>
        </w:rPr>
      </w:pPr>
      <w:r>
        <w:rPr>
          <w:rFonts w:hint="eastAsia"/>
        </w:rPr>
        <w:t>业主单位组织设计单位、监理单位、相关专家等对初步设计文件进行评审，重点审查设计的合理性、可行性、安全性和经济性。</w:t>
      </w:r>
    </w:p>
    <w:p w14:paraId="32A958F8">
      <w:pPr>
        <w:rPr>
          <w:rFonts w:hint="eastAsia"/>
        </w:rPr>
      </w:pPr>
      <w:r>
        <w:rPr>
          <w:rFonts w:hint="eastAsia"/>
        </w:rPr>
        <w:t>设计单位根据评审意见对初步设计文件进行修改完善，报相关部门审批。</w:t>
      </w:r>
    </w:p>
    <w:p w14:paraId="05FBA3AD">
      <w:pPr>
        <w:rPr>
          <w:rFonts w:hint="eastAsia"/>
        </w:rPr>
      </w:pPr>
      <w:r>
        <w:rPr>
          <w:rFonts w:hint="eastAsia"/>
        </w:rPr>
        <w:t>业主单位设计管理部门跟踪初步设计审批进度，及时协调解决审批过程中出现的问题。</w:t>
      </w:r>
    </w:p>
    <w:p w14:paraId="0E0286ED">
      <w:pPr>
        <w:rPr>
          <w:rFonts w:hint="eastAsia"/>
        </w:rPr>
      </w:pPr>
      <w:r>
        <w:rPr>
          <w:rFonts w:hint="eastAsia"/>
        </w:rPr>
        <w:t>施工图设计阶段管理流程</w:t>
      </w:r>
    </w:p>
    <w:p w14:paraId="0F9E48F8">
      <w:pPr>
        <w:rPr>
          <w:rFonts w:hint="eastAsia"/>
        </w:rPr>
      </w:pPr>
      <w:r>
        <w:rPr>
          <w:rFonts w:hint="eastAsia"/>
        </w:rPr>
        <w:t>设计单位根据初步设计批复意见，开展施工图设计工作，绘制详细的施工图纸，并编制施工图预算。</w:t>
      </w:r>
    </w:p>
    <w:p w14:paraId="0BC32234">
      <w:pPr>
        <w:rPr>
          <w:rFonts w:hint="eastAsia"/>
        </w:rPr>
      </w:pPr>
      <w:r>
        <w:rPr>
          <w:rFonts w:hint="eastAsia"/>
        </w:rPr>
        <w:t>业主单位组织监理单位对施工图进行审核，审核内容包括图纸的完整性、准确性、规范性，以及是否符合初步设计批复和相关标准规范要求。</w:t>
      </w:r>
    </w:p>
    <w:p w14:paraId="7FD63EDB">
      <w:pPr>
        <w:rPr>
          <w:rFonts w:hint="eastAsia"/>
        </w:rPr>
      </w:pPr>
      <w:r>
        <w:rPr>
          <w:rFonts w:hint="eastAsia"/>
        </w:rPr>
        <w:t>设计单位根据审核意见对施工图进行修改完善，形成最终的施工图设计文件。</w:t>
      </w:r>
    </w:p>
    <w:p w14:paraId="73982893">
      <w:pPr>
        <w:rPr>
          <w:rFonts w:hint="eastAsia"/>
        </w:rPr>
      </w:pPr>
      <w:r>
        <w:rPr>
          <w:rFonts w:hint="eastAsia"/>
        </w:rPr>
        <w:t>业主单位组织设计交底和图纸会审，设计单位向施工单位、监理单位等进行设计意图、技术要求、施工注意事项等方面的交底，解答各方提出的疑问。</w:t>
      </w:r>
    </w:p>
    <w:p w14:paraId="4C82DDCD">
      <w:pPr>
        <w:rPr>
          <w:rFonts w:hint="eastAsia"/>
        </w:rPr>
      </w:pPr>
      <w:r>
        <w:rPr>
          <w:rFonts w:hint="eastAsia"/>
        </w:rPr>
        <w:t>设计后续服务阶段管理流程</w:t>
      </w:r>
    </w:p>
    <w:p w14:paraId="12DBE052">
      <w:pPr>
        <w:rPr>
          <w:rFonts w:hint="eastAsia"/>
        </w:rPr>
      </w:pPr>
      <w:r>
        <w:rPr>
          <w:rFonts w:hint="eastAsia"/>
        </w:rPr>
        <w:t>施工过程中，设计单位应派技术人员到现场提供技术服务，及时解决施工中出现的设计问题。</w:t>
      </w:r>
    </w:p>
    <w:p w14:paraId="5D566D15">
      <w:pPr>
        <w:rPr>
          <w:rFonts w:hint="eastAsia"/>
        </w:rPr>
      </w:pPr>
      <w:r>
        <w:rPr>
          <w:rFonts w:hint="eastAsia"/>
        </w:rPr>
        <w:t>对于需要进行设计变更的情况，按照设计变更管理流程进行处理，确保变更的合理性和必要性。</w:t>
      </w:r>
    </w:p>
    <w:p w14:paraId="2CE775BD">
      <w:pPr>
        <w:rPr>
          <w:rFonts w:hint="eastAsia"/>
        </w:rPr>
      </w:pPr>
      <w:r>
        <w:rPr>
          <w:rFonts w:hint="eastAsia"/>
        </w:rPr>
        <w:t>参与工程的中间验收、竣工验收等工作，对工程是否符合设计要求进行评价，并提出相关意见和建议。</w:t>
      </w:r>
    </w:p>
    <w:p w14:paraId="2404A88D">
      <w:pPr>
        <w:rPr>
          <w:rFonts w:hint="eastAsia"/>
        </w:rPr>
      </w:pPr>
      <w:r>
        <w:rPr>
          <w:rFonts w:hint="eastAsia"/>
        </w:rPr>
        <w:t>六、设计质量控制</w:t>
      </w:r>
    </w:p>
    <w:p w14:paraId="72EEC599">
      <w:pPr>
        <w:rPr>
          <w:rFonts w:hint="eastAsia"/>
        </w:rPr>
      </w:pPr>
      <w:r>
        <w:rPr>
          <w:rFonts w:hint="eastAsia"/>
        </w:rPr>
        <w:t>设计输入控制：明确设计输入的内容和要求，包括项目需求、相关标准规范、法律法规、地质勘察资料、可行性研究报告等。设计单位应对设计输入进行评审，确保其充分、准确、适宜。</w:t>
      </w:r>
    </w:p>
    <w:p w14:paraId="13A97518">
      <w:pPr>
        <w:rPr>
          <w:rFonts w:hint="eastAsia"/>
        </w:rPr>
      </w:pPr>
      <w:r>
        <w:rPr>
          <w:rFonts w:hint="eastAsia"/>
        </w:rPr>
        <w:t>设计过程控制</w:t>
      </w:r>
    </w:p>
    <w:p w14:paraId="68B5AF43">
      <w:pPr>
        <w:rPr>
          <w:rFonts w:hint="eastAsia"/>
        </w:rPr>
      </w:pPr>
      <w:r>
        <w:rPr>
          <w:rFonts w:hint="eastAsia"/>
        </w:rPr>
        <w:t>设计单位应建立健全设计质量管理制度和质量管理体系，明确各岗位的质量职责，加强对设计过程的控制。</w:t>
      </w:r>
    </w:p>
    <w:p w14:paraId="0990AC94">
      <w:pPr>
        <w:rPr>
          <w:rFonts w:hint="eastAsia"/>
        </w:rPr>
      </w:pPr>
      <w:r>
        <w:rPr>
          <w:rFonts w:hint="eastAsia"/>
        </w:rPr>
        <w:t>设计过程中应严格遵守相关标准规范和设计文件要求，进行必要的计算、验算和验证，确保设计的准确性和可靠性。</w:t>
      </w:r>
    </w:p>
    <w:p w14:paraId="3FD6DE26">
      <w:pPr>
        <w:rPr>
          <w:rFonts w:hint="eastAsia"/>
        </w:rPr>
      </w:pPr>
      <w:r>
        <w:rPr>
          <w:rFonts w:hint="eastAsia"/>
        </w:rPr>
        <w:t>设计单位应加强内部审核，对各阶段的设计成果进行自查和互查，及时发现和纠正设计中的错误和问题。</w:t>
      </w:r>
    </w:p>
    <w:p w14:paraId="1FBFA946">
      <w:pPr>
        <w:rPr>
          <w:rFonts w:hint="eastAsia"/>
        </w:rPr>
      </w:pPr>
      <w:r>
        <w:rPr>
          <w:rFonts w:hint="eastAsia"/>
        </w:rPr>
        <w:t>设计输出控制：设计成果应符合相关标准规范和设计文件的要求，内容完整、准确、清晰。设计文件应包括设计说明书、图纸、计算书、设备材料表、工程概算或预算等。设计单位应在设计文件上加盖相应的资质印章和设计人员签字。</w:t>
      </w:r>
    </w:p>
    <w:p w14:paraId="3BC36233">
      <w:pPr>
        <w:rPr>
          <w:rFonts w:hint="eastAsia"/>
        </w:rPr>
      </w:pPr>
      <w:r>
        <w:rPr>
          <w:rFonts w:hint="eastAsia"/>
        </w:rPr>
        <w:t>设计评审控制：建立设计评审制度，对方案设计、初步设计、施工图设计等各阶段的设计成果进行评审。评审人员应包括业主单位、监理单位、相关专家等，评审意见应形成书面记录，设计单位应根据评审意见进行修改完善。</w:t>
      </w:r>
    </w:p>
    <w:p w14:paraId="1C88FA29">
      <w:pPr>
        <w:rPr>
          <w:rFonts w:hint="eastAsia"/>
        </w:rPr>
      </w:pPr>
      <w:r>
        <w:rPr>
          <w:rFonts w:hint="eastAsia"/>
        </w:rPr>
        <w:t>设计验证控制：通过现场勘察、试验、模拟等方式对设计成果进行验证，确保设计能够满足项目的预期要求。对于重要的设计内容和关键技术，应进行专项验证。</w:t>
      </w:r>
    </w:p>
    <w:p w14:paraId="728FF02F">
      <w:pPr>
        <w:rPr>
          <w:rFonts w:hint="eastAsia"/>
        </w:rPr>
      </w:pPr>
      <w:r>
        <w:rPr>
          <w:rFonts w:hint="eastAsia"/>
        </w:rPr>
        <w:t>设计变更控制</w:t>
      </w:r>
    </w:p>
    <w:p w14:paraId="2E44D3F5">
      <w:pPr>
        <w:rPr>
          <w:rFonts w:hint="eastAsia"/>
        </w:rPr>
      </w:pPr>
      <w:r>
        <w:rPr>
          <w:rFonts w:hint="eastAsia"/>
        </w:rPr>
        <w:t>建立严格的设计变更管理制度，明确设计变更的申请、审批、实施等流程。</w:t>
      </w:r>
    </w:p>
    <w:p w14:paraId="2E6CAD94">
      <w:pPr>
        <w:rPr>
          <w:rFonts w:hint="eastAsia"/>
        </w:rPr>
      </w:pPr>
      <w:r>
        <w:rPr>
          <w:rFonts w:hint="eastAsia"/>
        </w:rPr>
        <w:t>任何单位和个人提出设计变更申请时，应说明变更的原因、内容、范围和对工程质量、进度、成本等方面的影响。</w:t>
      </w:r>
    </w:p>
    <w:p w14:paraId="4EE4A6E8">
      <w:pPr>
        <w:rPr>
          <w:rFonts w:hint="eastAsia"/>
        </w:rPr>
      </w:pPr>
      <w:r>
        <w:rPr>
          <w:rFonts w:hint="eastAsia"/>
        </w:rPr>
        <w:t>业主单位组织设计单位、监理单位、施工单位等对设计变更申请进行评审，确定是否需要变更。对于重大设计变更，应报相关部门审批。</w:t>
      </w:r>
    </w:p>
    <w:p w14:paraId="39C60BE8">
      <w:pPr>
        <w:rPr>
          <w:rFonts w:hint="eastAsia"/>
        </w:rPr>
      </w:pPr>
      <w:r>
        <w:rPr>
          <w:rFonts w:hint="eastAsia"/>
        </w:rPr>
        <w:t>设计单位根据审批通过的设计变更申请，出具设计变更文件，并经业主单位和监理单位签字确认后，方可实施。</w:t>
      </w:r>
    </w:p>
    <w:p w14:paraId="156E1188">
      <w:pPr>
        <w:rPr>
          <w:rFonts w:hint="eastAsia"/>
        </w:rPr>
      </w:pPr>
      <w:r>
        <w:rPr>
          <w:rFonts w:hint="eastAsia"/>
        </w:rPr>
        <w:t>七、设计进度控制</w:t>
      </w:r>
    </w:p>
    <w:p w14:paraId="6C45B6B0">
      <w:pPr>
        <w:rPr>
          <w:rFonts w:hint="eastAsia"/>
        </w:rPr>
      </w:pPr>
      <w:r>
        <w:rPr>
          <w:rFonts w:hint="eastAsia"/>
        </w:rPr>
        <w:t>制定设计进度计划：根据项目总体进度计划，结合设计各阶段的工作内容和工作量，制定详细的设计进度计划，明确各阶段的开始时间、完成时间和关键节点。</w:t>
      </w:r>
    </w:p>
    <w:p w14:paraId="0A512843">
      <w:pPr>
        <w:rPr>
          <w:rFonts w:hint="eastAsia"/>
        </w:rPr>
      </w:pPr>
      <w:r>
        <w:rPr>
          <w:rFonts w:hint="eastAsia"/>
        </w:rPr>
        <w:t>进度计划交底：将设计进度计划向设计单位、业主单位设计管理部门等相关方进行交底，确保各方了解设计进度要求和各自的职责。</w:t>
      </w:r>
    </w:p>
    <w:p w14:paraId="586D5C15">
      <w:pPr>
        <w:rPr>
          <w:rFonts w:hint="eastAsia"/>
        </w:rPr>
      </w:pPr>
      <w:r>
        <w:rPr>
          <w:rFonts w:hint="eastAsia"/>
        </w:rPr>
        <w:t>进度跟踪与检查：业主单位设计管理部门定期对设计进度进行跟踪和检查，了解设计工作的进展情况，对比实际进度与计划进度的差异。可采用进度报表、现场检查、会议等方式进行跟踪。</w:t>
      </w:r>
    </w:p>
    <w:p w14:paraId="41B00878">
      <w:pPr>
        <w:rPr>
          <w:rFonts w:hint="eastAsia"/>
        </w:rPr>
      </w:pPr>
      <w:r>
        <w:rPr>
          <w:rFonts w:hint="eastAsia"/>
        </w:rPr>
        <w:t>进度调整与协调：当实际进度与计划进度出现偏差时，应及时分析原因，并采取相应的措施进行调整。如调整设计人员配置、优化工作流程、增加工作资源等。同时，加强与设计单位、监理单位、施工单位等相关方的沟通协调，确保各方配合，共同推进设计进度。</w:t>
      </w:r>
    </w:p>
    <w:p w14:paraId="64E4A6B2">
      <w:pPr>
        <w:rPr>
          <w:rFonts w:hint="eastAsia"/>
        </w:rPr>
      </w:pPr>
      <w:r>
        <w:rPr>
          <w:rFonts w:hint="eastAsia"/>
        </w:rPr>
        <w:t>进度报告：设计单位应定期向业主单位提交设计进度报告，报告内容包括设计工作的进展情况、已完成的工作量、存在的问题及解决措施、下一步工作计划等。业主单位设计管理部门根据进度报告及时掌握设计进度动态。</w:t>
      </w:r>
    </w:p>
    <w:p w14:paraId="4B0D9430">
      <w:pPr>
        <w:rPr>
          <w:rFonts w:hint="eastAsia"/>
        </w:rPr>
      </w:pPr>
      <w:r>
        <w:rPr>
          <w:rFonts w:hint="eastAsia"/>
        </w:rPr>
        <w:t>八、设计成本控制</w:t>
      </w:r>
    </w:p>
    <w:p w14:paraId="07C765A2">
      <w:pPr>
        <w:rPr>
          <w:rFonts w:hint="eastAsia"/>
        </w:rPr>
      </w:pPr>
      <w:r>
        <w:rPr>
          <w:rFonts w:hint="eastAsia"/>
        </w:rPr>
        <w:t>设计方案优化：在方案设计和初步设计阶段，通过对不同设计方案的技术经济比较，选择性价比最高的设计方案。优化设计方案应考虑材料、设备的选型，施工工艺的选择，以及运营成本的节约等因素。</w:t>
      </w:r>
    </w:p>
    <w:p w14:paraId="3D13F06F">
      <w:pPr>
        <w:rPr>
          <w:rFonts w:hint="eastAsia"/>
        </w:rPr>
      </w:pPr>
      <w:r>
        <w:rPr>
          <w:rFonts w:hint="eastAsia"/>
        </w:rPr>
        <w:t>限额设计：按照批准的工程概算进行限额设计，将工程造价控制在合理范围内。在初步设计阶段，应将概算分解到各专业和各单位工程，作为施工图设计的造价控制目标。施工图设计阶段，不得突破初步设计确定的造价限额。</w:t>
      </w:r>
    </w:p>
    <w:p w14:paraId="3D769CB3">
      <w:pPr>
        <w:rPr>
          <w:rFonts w:hint="eastAsia"/>
        </w:rPr>
      </w:pPr>
      <w:r>
        <w:rPr>
          <w:rFonts w:hint="eastAsia"/>
        </w:rPr>
        <w:t>材料设备选型控制：在设计过程中，应优先选用性价比高、符合国家产业政策和节能环保要求的材料和设备。避免选用价格过高、性能过剩或不符合项目实际需求的材料和设备。</w:t>
      </w:r>
    </w:p>
    <w:p w14:paraId="2D1454D6">
      <w:pPr>
        <w:rPr>
          <w:rFonts w:hint="eastAsia"/>
        </w:rPr>
      </w:pPr>
      <w:r>
        <w:rPr>
          <w:rFonts w:hint="eastAsia"/>
        </w:rPr>
        <w:t>设计变更成本控制：对于设计变更，应严格控制其对工程造价的影响。在进行设计变更前，应进行成本核算，分析变更对工程造价的增减情况。对于可能导致工程造价大幅增加的设计变更，应慎重考虑，并报业主单位审批。</w:t>
      </w:r>
    </w:p>
    <w:p w14:paraId="241DCC2E">
      <w:pPr>
        <w:rPr>
          <w:rFonts w:hint="eastAsia"/>
        </w:rPr>
      </w:pPr>
      <w:r>
        <w:rPr>
          <w:rFonts w:hint="eastAsia"/>
        </w:rPr>
        <w:t>成本核算与分析：设计单位在编制工程概算和预算时，应准确核算工程造价，并对成本构成进行分析。业主单位设计管理部门应对设计单位提交的概算和预算进行审核，确保其合理性和准确性。同时，定期对设计成本进行分析，总结经验教训，不断提高成本控制水平。</w:t>
      </w:r>
    </w:p>
    <w:p w14:paraId="077DBC17">
      <w:pPr>
        <w:rPr>
          <w:rFonts w:hint="eastAsia"/>
        </w:rPr>
      </w:pPr>
      <w:r>
        <w:rPr>
          <w:rFonts w:hint="eastAsia"/>
        </w:rPr>
        <w:t>九、设计安全管理</w:t>
      </w:r>
    </w:p>
    <w:p w14:paraId="3FFA9743">
      <w:pPr>
        <w:rPr>
          <w:rFonts w:hint="eastAsia"/>
        </w:rPr>
      </w:pPr>
      <w:r>
        <w:rPr>
          <w:rFonts w:hint="eastAsia"/>
        </w:rPr>
        <w:t>设计安全审查：在设计各阶段，应对设计成果进行安全审查，重点审查水源保护、水质安全、管网压力、泵站运行、电气安全等方面的内容。确保设计符合相关的安全标准和规范，不存在安全隐患。</w:t>
      </w:r>
    </w:p>
    <w:p w14:paraId="0C831353">
      <w:pPr>
        <w:rPr>
          <w:rFonts w:hint="eastAsia"/>
        </w:rPr>
      </w:pPr>
      <w:r>
        <w:rPr>
          <w:rFonts w:hint="eastAsia"/>
        </w:rPr>
        <w:t>安全设施设计：设计中应包含必要的安全设施，如消防设施、安全防护设施、监测预警设施等。安全设施的设计应与主体工程设计同时进行，做到同时设计、同时施工、同时投入使用。</w:t>
      </w:r>
    </w:p>
    <w:p w14:paraId="4E8546FC">
      <w:pPr>
        <w:rPr>
          <w:rFonts w:hint="eastAsia"/>
        </w:rPr>
      </w:pPr>
      <w:r>
        <w:rPr>
          <w:rFonts w:hint="eastAsia"/>
        </w:rPr>
        <w:t>应急设计：考虑到供水工程可能面临的突发事件，如水源污染、管网破裂、设备故障等，在设计中应制定相应的应急方案和设计措施。包括应急水源的选择、应急供水管道的布置、应急处理设备的配置等，以确保在突发事件发生时能够及时采取有效的应对措施，保障供水安全。</w:t>
      </w:r>
    </w:p>
    <w:p w14:paraId="32E83298">
      <w:pPr>
        <w:rPr>
          <w:rFonts w:hint="eastAsia"/>
        </w:rPr>
      </w:pPr>
      <w:r>
        <w:rPr>
          <w:rFonts w:hint="eastAsia"/>
        </w:rPr>
        <w:t>设计人员安全培训：设计单位应加强对设计人员的安全培训，提高设计人员的安全意识和安全设计水平。使设计人员熟悉相关的安全标准和规范，掌握安全设计的方法和技巧。</w:t>
      </w:r>
    </w:p>
    <w:p w14:paraId="51A6223F">
      <w:pPr>
        <w:rPr>
          <w:rFonts w:hint="eastAsia"/>
        </w:rPr>
      </w:pPr>
      <w:r>
        <w:rPr>
          <w:rFonts w:hint="eastAsia"/>
        </w:rPr>
        <w:t>十、设计环保管理</w:t>
      </w:r>
    </w:p>
    <w:p w14:paraId="14911308">
      <w:pPr>
        <w:rPr>
          <w:rFonts w:hint="eastAsia"/>
        </w:rPr>
      </w:pPr>
      <w:r>
        <w:rPr>
          <w:rFonts w:hint="eastAsia"/>
        </w:rPr>
        <w:t>环保设计审查：在设计过程中，应对设计成果进行环保审查，确保设计符合环境保护的相关要求。审查内容包括废水处理、废气排放、固体废弃物处理、噪声控制等方面的设计。</w:t>
      </w:r>
    </w:p>
    <w:p w14:paraId="545A38D2">
      <w:pPr>
        <w:rPr>
          <w:rFonts w:hint="eastAsia"/>
        </w:rPr>
      </w:pPr>
      <w:r>
        <w:rPr>
          <w:rFonts w:hint="eastAsia"/>
        </w:rPr>
        <w:t>节能设计：采用节能型的设备、材料和工艺，降低供水工程的能耗。如选用高效节能的水泵、电机，优化管网布置减少水头损失，采用节水型的用水器具等。</w:t>
      </w:r>
    </w:p>
    <w:p w14:paraId="7A4D5D2A">
      <w:pPr>
        <w:rPr>
          <w:rFonts w:hint="eastAsia"/>
        </w:rPr>
      </w:pPr>
      <w:r>
        <w:rPr>
          <w:rFonts w:hint="eastAsia"/>
        </w:rPr>
        <w:t>水资源保护设计：在设计中应采取有效的措施保护水资源，防止水源污染。如合理设置水源保护区，采取水源净化处理措施，加强对排水的处理和回用等。</w:t>
      </w:r>
    </w:p>
    <w:p w14:paraId="0858F78C">
      <w:pPr>
        <w:rPr>
          <w:rFonts w:hint="eastAsia"/>
        </w:rPr>
      </w:pPr>
      <w:r>
        <w:rPr>
          <w:rFonts w:hint="eastAsia"/>
        </w:rPr>
        <w:t>生态保护设计：在供水工程的选址、管网布置、施工方案等方面，应尽量减少对周边生态环境的破坏。保护周边的植被、土壤、水体等生态要素，避免引发水土流失、生态失衡等问题。</w:t>
      </w:r>
    </w:p>
    <w:p w14:paraId="1D859718">
      <w:pPr>
        <w:rPr>
          <w:rFonts w:hint="eastAsia"/>
        </w:rPr>
      </w:pPr>
      <w:r>
        <w:rPr>
          <w:rFonts w:hint="eastAsia"/>
        </w:rPr>
        <w:t>十一、沟通协调管理</w:t>
      </w:r>
    </w:p>
    <w:p w14:paraId="022DE734">
      <w:pPr>
        <w:rPr>
          <w:rFonts w:hint="eastAsia"/>
        </w:rPr>
      </w:pPr>
      <w:r>
        <w:rPr>
          <w:rFonts w:hint="eastAsia"/>
        </w:rPr>
        <w:t>内部沟通协调：业主单位设计管理部门应加强与本单位其他部门之间的沟通协调，及时传递设计信息，了解项目的需求和进展情况，协调解决设计管理过程中与其他部门相关的问题。</w:t>
      </w:r>
    </w:p>
    <w:p w14:paraId="2702C72C">
      <w:pPr>
        <w:rPr>
          <w:rFonts w:hint="eastAsia"/>
        </w:rPr>
      </w:pPr>
      <w:r>
        <w:rPr>
          <w:rFonts w:hint="eastAsia"/>
        </w:rPr>
        <w:t>与设计单位沟通协调：建立定期的沟通机制，如设计例会、专题会议等，及时了解设计工作的进展情况，反馈业主单位的意见和要求，协调解决设计中出现的问题。同时，对设计单位提交的设计成果及时进行审查和反馈。</w:t>
      </w:r>
    </w:p>
    <w:p w14:paraId="1B882DEA">
      <w:pPr>
        <w:rPr>
          <w:rFonts w:hint="eastAsia"/>
        </w:rPr>
      </w:pPr>
      <w:r>
        <w:rPr>
          <w:rFonts w:hint="eastAsia"/>
        </w:rPr>
        <w:t>与监理单位沟通协调：与监理单位保持密切沟通，及时了解监理单位对设计文件的审核意见和施工过程中发现的设计问题。协调设计单位和监理单位之间的工作，确保监理工作顺利开展。</w:t>
      </w:r>
    </w:p>
    <w:p w14:paraId="5FB1603C">
      <w:pPr>
        <w:rPr>
          <w:rFonts w:hint="eastAsia"/>
        </w:rPr>
      </w:pPr>
      <w:r>
        <w:rPr>
          <w:rFonts w:hint="eastAsia"/>
        </w:rPr>
        <w:t>与施工单位沟通协调：通过设计交底、图纸会审、现场技术服务等方式，与施工单位进行充分沟通，使施工单位了解设计意图和技术要求。及时解决施工单位提出的设计疑问和问题，协调处理施工过程中与设计相关的事宜。</w:t>
      </w:r>
    </w:p>
    <w:p w14:paraId="02B0A20A">
      <w:pPr>
        <w:rPr>
          <w:rFonts w:hint="eastAsia"/>
        </w:rPr>
      </w:pPr>
      <w:r>
        <w:rPr>
          <w:rFonts w:hint="eastAsia"/>
        </w:rPr>
        <w:t>与相关政府部门沟通协调：加强与规划、建设、环保、水利等相关政府部门的沟通协调，及时了解相关政策法规和审批要求，确保设计文件符合政府部门的规定，顺利通过审批。</w:t>
      </w:r>
    </w:p>
    <w:p w14:paraId="163A6FF4">
      <w:pPr>
        <w:rPr>
          <w:rFonts w:hint="eastAsia"/>
        </w:rPr>
      </w:pPr>
      <w:r>
        <w:rPr>
          <w:rFonts w:hint="eastAsia"/>
        </w:rPr>
        <w:t>十二、信息管理</w:t>
      </w:r>
    </w:p>
    <w:p w14:paraId="1246869C">
      <w:pPr>
        <w:rPr>
          <w:rFonts w:hint="eastAsia"/>
        </w:rPr>
      </w:pPr>
      <w:r>
        <w:rPr>
          <w:rFonts w:hint="eastAsia"/>
        </w:rPr>
        <w:t>设计文件管理：建立健全设计文件管理制度，对设计过程中形成的各类文件，如设计任务书、设计方案、初步设计文件、施工图设计文件、设计变更文件、评审意见等进行分类、编号、归档和保管。确保设计文件的完整性、准确性和可追溯性。</w:t>
      </w:r>
    </w:p>
    <w:p w14:paraId="4947AD4F">
      <w:pPr>
        <w:rPr>
          <w:rFonts w:hint="eastAsia"/>
        </w:rPr>
      </w:pPr>
      <w:r>
        <w:rPr>
          <w:rFonts w:hint="eastAsia"/>
        </w:rPr>
        <w:t>信息传递管理：规范设计信息的传递流程，明确信息传递的方式、内容和责任人。确保设计信息在业主单位、设计单位、监理单位、施工单位等相关方之间及时、准确、有效地传递。</w:t>
      </w:r>
    </w:p>
    <w:p w14:paraId="23DB7B44">
      <w:pPr>
        <w:rPr>
          <w:rFonts w:hint="eastAsia"/>
        </w:rPr>
      </w:pPr>
      <w:r>
        <w:rPr>
          <w:rFonts w:hint="eastAsia"/>
        </w:rPr>
        <w:t>技术资料管理：收集和整理与供水工程设计相关的技术资料，如标准规范、图集、科研成果、案例分析等，为设计工作提供技术支持。同时，对技术资料进行分类管理，方便查阅和使用。</w:t>
      </w:r>
    </w:p>
    <w:p w14:paraId="30D923EC">
      <w:pPr>
        <w:rPr>
          <w:rFonts w:hint="eastAsia"/>
        </w:rPr>
      </w:pPr>
      <w:r>
        <w:rPr>
          <w:rFonts w:hint="eastAsia"/>
        </w:rPr>
        <w:t>信息化管理：利用计算机技术和信息化平台，对设计管理工作进行信息化管理。如采用设计管理软件进行进度计划管理、设计文件审批、信息传递等，提高设计管理的效率和水平。</w:t>
      </w:r>
    </w:p>
    <w:p w14:paraId="50B5E43A">
      <w:pPr>
        <w:rPr>
          <w:rFonts w:hint="eastAsia"/>
        </w:rPr>
      </w:pPr>
      <w:r>
        <w:rPr>
          <w:rFonts w:hint="eastAsia"/>
        </w:rPr>
        <w:t>十三、风险管理</w:t>
      </w:r>
    </w:p>
    <w:p w14:paraId="4662D9D4">
      <w:pPr>
        <w:rPr>
          <w:rFonts w:hint="eastAsia"/>
        </w:rPr>
      </w:pPr>
      <w:r>
        <w:rPr>
          <w:rFonts w:hint="eastAsia"/>
        </w:rPr>
        <w:t>风险识别：在设计管理过程中，定期组织相关人员对可能存在的风险进行识别，包括设计质量风险、进度风险、成本风险、安全风险、环保风险、政策风险等。</w:t>
      </w:r>
    </w:p>
    <w:p w14:paraId="4A735B2A">
      <w:pPr>
        <w:rPr>
          <w:rFonts w:hint="eastAsia"/>
        </w:rPr>
      </w:pPr>
      <w:r>
        <w:rPr>
          <w:rFonts w:hint="eastAsia"/>
        </w:rPr>
        <w:t>风险评估：对识别出的风险进行评估，分析风险发生的可能性和影响程度，确定风险等级。对高风险的因素应重点关注和管理。</w:t>
      </w:r>
    </w:p>
    <w:p w14:paraId="42E6E72C">
      <w:pPr>
        <w:rPr>
          <w:rFonts w:hint="eastAsia"/>
        </w:rPr>
      </w:pPr>
      <w:r>
        <w:rPr>
          <w:rFonts w:hint="eastAsia"/>
        </w:rPr>
        <w:t>风险应对：根据风险评估结果，制定相应的风险应对措施。如对于设计质量风险，可加强设计过程控制和设计评审；对于进度风险，可制定应急预案，合理调整进度计划；对于成本风险，可加强限额设计和设计变更管理等。</w:t>
      </w:r>
    </w:p>
    <w:p w14:paraId="07D9DC75">
      <w:pPr>
        <w:rPr>
          <w:rFonts w:hint="eastAsia"/>
        </w:rPr>
      </w:pPr>
      <w:r>
        <w:rPr>
          <w:rFonts w:hint="eastAsia"/>
        </w:rPr>
        <w:t>风险监控：对风险应对措施的实施情况进行监控，及时跟踪风险的变化情况。当风险发生或风险等级发生变化时，应及时调整风险应对措施，确保风险得到有效控制。</w:t>
      </w:r>
    </w:p>
    <w:p w14:paraId="41A15C72">
      <w:pPr>
        <w:rPr>
          <w:rFonts w:hint="eastAsia"/>
        </w:rPr>
      </w:pPr>
      <w:r>
        <w:rPr>
          <w:rFonts w:hint="eastAsia"/>
        </w:rPr>
        <w:t>十四、验收与总结</w:t>
      </w:r>
    </w:p>
    <w:p w14:paraId="73AEC0E3">
      <w:pPr>
        <w:rPr>
          <w:rFonts w:hint="eastAsia"/>
        </w:rPr>
      </w:pPr>
      <w:r>
        <w:rPr>
          <w:rFonts w:hint="eastAsia"/>
        </w:rPr>
        <w:t>设计成果验收：在各设计阶段完成后，业主单位组织相关方对设计成果进行验收。验收合格后方可进入下一阶段的工作。验收内容包括设计文件的完整性、准确性、合规性，以及是否满足项目需求等。</w:t>
      </w:r>
    </w:p>
    <w:p w14:paraId="63BC209F">
      <w:pPr>
        <w:rPr>
          <w:rFonts w:hint="eastAsia"/>
        </w:rPr>
      </w:pPr>
      <w:r>
        <w:rPr>
          <w:rFonts w:hint="eastAsia"/>
        </w:rPr>
        <w:t>项目竣工验收：工程竣工后，设计单位应参与项目竣工验收，对工程是否符合设计要求进行评价。同时，对设计工作进行总结，分析设计过程中存在的问题和经验教训。</w:t>
      </w:r>
    </w:p>
    <w:p w14:paraId="48CA7DFB">
      <w:pPr>
        <w:rPr>
          <w:rFonts w:hint="eastAsia"/>
        </w:rPr>
      </w:pPr>
      <w:r>
        <w:rPr>
          <w:rFonts w:hint="eastAsia"/>
        </w:rPr>
        <w:t>设计后评价：在工程投入运行一段时间后，组织对设计工作进行后评价。评价内容包括设计的适用性、可靠性、经济性、安全性、环保性等方面，总结设计管理的经验教训，为今后的供水工程设计管理提供参考。</w:t>
      </w:r>
    </w:p>
    <w:p w14:paraId="59E8E1FE">
      <w:pPr>
        <w:rPr>
          <w:rFonts w:hint="eastAsia"/>
        </w:rPr>
      </w:pPr>
      <w:r>
        <w:rPr>
          <w:rFonts w:hint="eastAsia"/>
        </w:rPr>
        <w:t>资料归档：项目完成后，将设计过程中形成的各类文件、资料进行整理、归档，按照相关规定进行保存，以备查阅和参考。</w:t>
      </w:r>
    </w:p>
    <w:p w14:paraId="4950B25D">
      <w:pPr>
        <w:rPr>
          <w:rFonts w:hint="eastAsia"/>
        </w:rPr>
      </w:pPr>
      <w:r>
        <w:rPr>
          <w:rFonts w:hint="eastAsia"/>
        </w:rPr>
        <w:t>十五、附则</w:t>
      </w:r>
    </w:p>
    <w:p w14:paraId="22BFF451">
      <w:pPr>
        <w:rPr>
          <w:rFonts w:hint="eastAsia"/>
        </w:rPr>
      </w:pPr>
      <w:r>
        <w:rPr>
          <w:rFonts w:hint="eastAsia"/>
        </w:rPr>
        <w:t>本方案未尽事宜，应按照国家及地方相关的法律法规、标准规范和项目合同的要求执行。</w:t>
      </w:r>
    </w:p>
    <w:p w14:paraId="35C818D6">
      <w:pPr>
        <w:rPr>
          <w:rFonts w:hint="eastAsia"/>
        </w:rPr>
      </w:pPr>
      <w:r>
        <w:rPr>
          <w:rFonts w:hint="eastAsia"/>
        </w:rPr>
        <w:t>本方案由业主单位设计管理部门负责解释和修订。</w:t>
      </w:r>
    </w:p>
    <w:p w14:paraId="76EB99EA">
      <w:pPr>
        <w:rPr>
          <w:rFonts w:hint="eastAsia"/>
        </w:rPr>
      </w:pPr>
      <w:r>
        <w:rPr>
          <w:rFonts w:hint="eastAsia"/>
        </w:rPr>
        <w:t>本方案自发布之日起施行。</w:t>
      </w:r>
    </w:p>
    <w:p w14:paraId="419BF10D">
      <w:pPr>
        <w:rPr>
          <w:rFonts w:hint="eastAsia"/>
        </w:rPr>
      </w:pPr>
    </w:p>
    <w:p w14:paraId="08A20104">
      <w:pPr>
        <w:rPr>
          <w:rFonts w:hint="eastAsia"/>
        </w:rPr>
      </w:pPr>
      <w:r>
        <w:rPr>
          <w:rFonts w:hint="eastAsia"/>
        </w:rPr>
        <w:br w:type="page"/>
      </w:r>
    </w:p>
    <w:bookmarkEnd w:id="133"/>
    <w:bookmarkEnd w:id="134"/>
    <w:bookmarkEnd w:id="135"/>
    <w:p w14:paraId="53D44F74">
      <w:pPr>
        <w:pStyle w:val="2"/>
        <w:bidi w:val="0"/>
        <w:rPr>
          <w:rFonts w:hint="eastAsia"/>
        </w:rPr>
      </w:pPr>
      <w:bookmarkStart w:id="136" w:name="_Toc883"/>
      <w:bookmarkStart w:id="137" w:name="_Toc109"/>
      <w:bookmarkStart w:id="138" w:name="_Toc22011"/>
      <w:bookmarkStart w:id="139" w:name="_Toc3126"/>
      <w:r>
        <w:rPr>
          <w:rFonts w:hint="eastAsia"/>
          <w:lang w:val="en-US" w:eastAsia="zh-CN"/>
        </w:rPr>
        <w:t>第三章、</w:t>
      </w:r>
      <w:r>
        <w:rPr>
          <w:rFonts w:hint="eastAsia"/>
        </w:rPr>
        <w:t>物资采购管理方案</w:t>
      </w:r>
      <w:bookmarkEnd w:id="136"/>
    </w:p>
    <w:p w14:paraId="0CD492B6">
      <w:pPr>
        <w:pStyle w:val="3"/>
        <w:bidi w:val="0"/>
        <w:rPr>
          <w:rFonts w:hint="eastAsia"/>
        </w:rPr>
      </w:pPr>
      <w:bookmarkStart w:id="140" w:name="_Toc22575"/>
      <w:r>
        <w:rPr>
          <w:rFonts w:hint="eastAsia"/>
          <w:lang w:val="en-US" w:eastAsia="zh-CN"/>
        </w:rPr>
        <w:t>第一节</w:t>
      </w:r>
      <w:r>
        <w:rPr>
          <w:rFonts w:hint="eastAsia"/>
        </w:rPr>
        <w:t>、方案概述</w:t>
      </w:r>
      <w:bookmarkEnd w:id="140"/>
    </w:p>
    <w:p w14:paraId="42A15789">
      <w:pPr>
        <w:bidi w:val="0"/>
        <w:rPr>
          <w:rFonts w:hint="eastAsia"/>
        </w:rPr>
      </w:pPr>
      <w:r>
        <w:rPr>
          <w:rFonts w:hint="eastAsia"/>
        </w:rPr>
        <w:t>本通用物资采购方案旨在为各类项目或组织的物资采购工作提供系统、规范的管理指导，确保所采购物资的质量符合要求、价格合理、供应及时，降低采购成本，提高采购效率，保障项目或组织的正常运营和发展。本方案适用于企业、事业单位、工程项目等各类主体的物资采购活动。</w:t>
      </w:r>
    </w:p>
    <w:p w14:paraId="06443979">
      <w:pPr>
        <w:pStyle w:val="3"/>
        <w:bidi w:val="0"/>
        <w:rPr>
          <w:rFonts w:hint="eastAsia"/>
        </w:rPr>
      </w:pPr>
      <w:bookmarkStart w:id="141" w:name="_Toc21024"/>
      <w:r>
        <w:rPr>
          <w:rFonts w:hint="eastAsia"/>
          <w:lang w:val="en-US" w:eastAsia="zh-CN"/>
        </w:rPr>
        <w:t>第二节</w:t>
      </w:r>
      <w:r>
        <w:rPr>
          <w:rFonts w:hint="eastAsia"/>
        </w:rPr>
        <w:t>、采购目标</w:t>
      </w:r>
      <w:bookmarkEnd w:id="141"/>
    </w:p>
    <w:p w14:paraId="243AED31">
      <w:pPr>
        <w:bidi w:val="0"/>
        <w:rPr>
          <w:rFonts w:hint="eastAsia"/>
        </w:rPr>
      </w:pPr>
      <w:r>
        <w:rPr>
          <w:rFonts w:hint="eastAsia"/>
        </w:rPr>
        <w:t>质量目标：采购的物资必须符合国家、行业相关标准以及项目或组织的具体质量要求，具备相应的质量证明文件，如产品合格证、检验报告等，确保物资在使用过程中安全可靠。</w:t>
      </w:r>
    </w:p>
    <w:p w14:paraId="144F2B71">
      <w:pPr>
        <w:bidi w:val="0"/>
        <w:rPr>
          <w:rFonts w:hint="eastAsia"/>
        </w:rPr>
      </w:pPr>
      <w:r>
        <w:rPr>
          <w:rFonts w:hint="eastAsia"/>
        </w:rPr>
        <w:t>价格目标：在保证物资质量的前提下，通过市场调研、比价、谈判等方式，争取最优惠的采购价格，降低采购成本，提高资金使用效益。</w:t>
      </w:r>
    </w:p>
    <w:p w14:paraId="300EF964">
      <w:pPr>
        <w:bidi w:val="0"/>
        <w:rPr>
          <w:rFonts w:hint="eastAsia"/>
        </w:rPr>
      </w:pPr>
      <w:r>
        <w:rPr>
          <w:rFonts w:hint="eastAsia"/>
        </w:rPr>
        <w:t>进度目标：根据物资需求计划，合理安排采购时间，确保物资按时到货，满足项目施工、生产运营等环节的进度要求，避免因物资短缺导致工作延误。</w:t>
      </w:r>
    </w:p>
    <w:p w14:paraId="067C9B04">
      <w:pPr>
        <w:bidi w:val="0"/>
        <w:rPr>
          <w:rFonts w:hint="eastAsia"/>
        </w:rPr>
      </w:pPr>
      <w:r>
        <w:rPr>
          <w:rFonts w:hint="eastAsia"/>
        </w:rPr>
        <w:t>服务目标：选择具有良好售后服务能力的供应商，确保在物资使用过程中出现问题时，供应商能够及时提供维修、更换等服务，保障物资的正常使用。</w:t>
      </w:r>
    </w:p>
    <w:p w14:paraId="54C46A1A">
      <w:pPr>
        <w:pStyle w:val="3"/>
        <w:bidi w:val="0"/>
        <w:rPr>
          <w:rFonts w:hint="eastAsia"/>
        </w:rPr>
      </w:pPr>
      <w:bookmarkStart w:id="142" w:name="_Toc14350"/>
      <w:r>
        <w:rPr>
          <w:rFonts w:hint="eastAsia"/>
          <w:lang w:val="en-US" w:eastAsia="zh-CN"/>
        </w:rPr>
        <w:t>第三节</w:t>
      </w:r>
      <w:r>
        <w:rPr>
          <w:rFonts w:hint="eastAsia"/>
        </w:rPr>
        <w:t>、采购原则</w:t>
      </w:r>
      <w:bookmarkEnd w:id="142"/>
    </w:p>
    <w:p w14:paraId="692E38E9">
      <w:pPr>
        <w:bidi w:val="0"/>
        <w:rPr>
          <w:rFonts w:hint="eastAsia"/>
        </w:rPr>
      </w:pPr>
      <w:r>
        <w:rPr>
          <w:rFonts w:hint="eastAsia"/>
        </w:rPr>
        <w:t>公开透明原则：采购过程应公开、透明，避免暗箱操作。采购信息、采购流程、中标结果等应及时向相关方公开，接受监督。</w:t>
      </w:r>
    </w:p>
    <w:p w14:paraId="5308B9E1">
      <w:pPr>
        <w:bidi w:val="0"/>
        <w:rPr>
          <w:rFonts w:hint="eastAsia"/>
        </w:rPr>
      </w:pPr>
      <w:r>
        <w:rPr>
          <w:rFonts w:hint="eastAsia"/>
        </w:rPr>
        <w:t>公平竞争原则：为所有符合条件的供应商提供平等的竞争机会，不得设置不合理的门槛或歧视性条款，确保采购活动的公平性。</w:t>
      </w:r>
    </w:p>
    <w:p w14:paraId="5E3D8EBF">
      <w:pPr>
        <w:bidi w:val="0"/>
        <w:rPr>
          <w:rFonts w:hint="eastAsia"/>
        </w:rPr>
      </w:pPr>
      <w:r>
        <w:rPr>
          <w:rFonts w:hint="eastAsia"/>
        </w:rPr>
        <w:t>公正诚信原则：采购人员应遵守职业道德，秉持公正的态度开展采购工作，与供应商保持诚信合作，不弄虚作假、徇私舞弊。</w:t>
      </w:r>
    </w:p>
    <w:p w14:paraId="1B0B3638">
      <w:pPr>
        <w:bidi w:val="0"/>
        <w:rPr>
          <w:rFonts w:hint="eastAsia"/>
        </w:rPr>
      </w:pPr>
      <w:r>
        <w:rPr>
          <w:rFonts w:hint="eastAsia"/>
        </w:rPr>
        <w:t>性价比最优原则：在采购过程中，综合考虑物资的质量、价格、售后服务等因素，选择性价比最高的物资，而不仅仅追求最低价格。</w:t>
      </w:r>
    </w:p>
    <w:p w14:paraId="2D5CE5EC">
      <w:pPr>
        <w:bidi w:val="0"/>
        <w:rPr>
          <w:rFonts w:hint="eastAsia"/>
        </w:rPr>
      </w:pPr>
      <w:r>
        <w:rPr>
          <w:rFonts w:hint="eastAsia"/>
        </w:rPr>
        <w:t>合规合法原则：采购活动必须遵守国家法律法规、政策规定以及项目或组织的内部规章制度，确保采购行为的合法性和合规性。</w:t>
      </w:r>
    </w:p>
    <w:p w14:paraId="090E211E">
      <w:pPr>
        <w:pStyle w:val="3"/>
        <w:bidi w:val="0"/>
        <w:rPr>
          <w:rFonts w:hint="eastAsia"/>
        </w:rPr>
      </w:pPr>
      <w:bookmarkStart w:id="143" w:name="_Toc1625"/>
      <w:r>
        <w:rPr>
          <w:rFonts w:hint="eastAsia"/>
          <w:lang w:val="en-US" w:eastAsia="zh-CN"/>
        </w:rPr>
        <w:t>第四节</w:t>
      </w:r>
      <w:r>
        <w:rPr>
          <w:rFonts w:hint="eastAsia"/>
        </w:rPr>
        <w:t>、采购范围</w:t>
      </w:r>
      <w:bookmarkEnd w:id="143"/>
    </w:p>
    <w:p w14:paraId="4686944A">
      <w:pPr>
        <w:bidi w:val="0"/>
        <w:rPr>
          <w:rFonts w:hint="eastAsia"/>
        </w:rPr>
      </w:pPr>
      <w:r>
        <w:rPr>
          <w:rFonts w:hint="eastAsia"/>
        </w:rPr>
        <w:t>原材料：包括生产产品所需的各类原材料，如金属材料、化工原料、建筑材料等。</w:t>
      </w:r>
    </w:p>
    <w:p w14:paraId="3152FE3F">
      <w:pPr>
        <w:bidi w:val="0"/>
        <w:rPr>
          <w:rFonts w:hint="eastAsia"/>
        </w:rPr>
      </w:pPr>
      <w:r>
        <w:rPr>
          <w:rFonts w:hint="eastAsia"/>
        </w:rPr>
        <w:t>设备器材：涵盖生产设备、办公设备、施工设备、仪器仪表等各类设备及相关器材。</w:t>
      </w:r>
    </w:p>
    <w:p w14:paraId="22993900">
      <w:pPr>
        <w:bidi w:val="0"/>
        <w:rPr>
          <w:rFonts w:hint="eastAsia"/>
        </w:rPr>
      </w:pPr>
      <w:r>
        <w:rPr>
          <w:rFonts w:hint="eastAsia"/>
        </w:rPr>
        <w:t>办公用品：如纸张、笔墨、文件夹、打印机耗材等日常办公所需的物资。</w:t>
      </w:r>
    </w:p>
    <w:p w14:paraId="6C92B69B">
      <w:pPr>
        <w:bidi w:val="0"/>
        <w:rPr>
          <w:rFonts w:hint="eastAsia"/>
        </w:rPr>
      </w:pPr>
      <w:r>
        <w:rPr>
          <w:rFonts w:hint="eastAsia"/>
        </w:rPr>
        <w:t>劳保用品：用于保障员工劳动安全的各类用品，如安全帽、工作服、防护手套、安全鞋等。</w:t>
      </w:r>
    </w:p>
    <w:p w14:paraId="6FCB9019">
      <w:pPr>
        <w:bidi w:val="0"/>
        <w:rPr>
          <w:rFonts w:hint="eastAsia"/>
        </w:rPr>
      </w:pPr>
      <w:r>
        <w:rPr>
          <w:rFonts w:hint="eastAsia"/>
        </w:rPr>
        <w:t>其他物资：根据项目或组织的具体需求，还可能包括燃料、配件、工具等其他各类物资。</w:t>
      </w:r>
    </w:p>
    <w:p w14:paraId="13D02090">
      <w:pPr>
        <w:pStyle w:val="3"/>
        <w:bidi w:val="0"/>
        <w:rPr>
          <w:rFonts w:hint="eastAsia"/>
        </w:rPr>
      </w:pPr>
      <w:bookmarkStart w:id="144" w:name="_Toc9195"/>
      <w:r>
        <w:rPr>
          <w:rFonts w:hint="eastAsia"/>
          <w:lang w:val="en-US" w:eastAsia="zh-CN"/>
        </w:rPr>
        <w:t>第五节</w:t>
      </w:r>
      <w:r>
        <w:rPr>
          <w:rFonts w:hint="eastAsia"/>
        </w:rPr>
        <w:t>、采购组织与职责</w:t>
      </w:r>
      <w:bookmarkEnd w:id="144"/>
    </w:p>
    <w:p w14:paraId="2E91C6CB">
      <w:pPr>
        <w:bidi w:val="0"/>
        <w:rPr>
          <w:rFonts w:hint="eastAsia"/>
        </w:rPr>
      </w:pPr>
      <w:r>
        <w:rPr>
          <w:rFonts w:hint="eastAsia"/>
        </w:rPr>
        <w:t>采购决策机构：由项目或组织的管理层组成，负责审批采购计划、重大采购项目的采购方式、供应商的选择等重要事项，对采购工作进行总体决策和监督。</w:t>
      </w:r>
    </w:p>
    <w:p w14:paraId="186C391B">
      <w:pPr>
        <w:bidi w:val="0"/>
        <w:rPr>
          <w:rFonts w:hint="eastAsia"/>
        </w:rPr>
      </w:pPr>
      <w:r>
        <w:rPr>
          <w:rFonts w:hint="eastAsia"/>
        </w:rPr>
        <w:t>采购部门：作为物资采购的具体执行部门，负责编制采购计划、开展市场调研、选择供应商、组织采购招标或谈判、签订采购合同、跟踪物资到货情况、处理采购过程中的问题等工作。</w:t>
      </w:r>
    </w:p>
    <w:p w14:paraId="597B8D83">
      <w:pPr>
        <w:bidi w:val="0"/>
        <w:rPr>
          <w:rFonts w:hint="eastAsia"/>
        </w:rPr>
      </w:pPr>
      <w:r>
        <w:rPr>
          <w:rFonts w:hint="eastAsia"/>
        </w:rPr>
        <w:t>需求部门：根据自身的工作需求，提出物资采购申请，明确所需物资的规格、型号、数量、质量要求、到货时间等信息，并参与物资的验收工作。</w:t>
      </w:r>
    </w:p>
    <w:p w14:paraId="7412B39F">
      <w:pPr>
        <w:bidi w:val="0"/>
        <w:rPr>
          <w:rFonts w:hint="eastAsia"/>
        </w:rPr>
      </w:pPr>
      <w:r>
        <w:rPr>
          <w:rFonts w:hint="eastAsia"/>
        </w:rPr>
        <w:t>财务部门：负责采购资金的预算管理、资金支付、审核采购合同中的财务条款等工作，确保采购资金的合理使用和安全。</w:t>
      </w:r>
    </w:p>
    <w:p w14:paraId="7CDBB2F4">
      <w:pPr>
        <w:bidi w:val="0"/>
        <w:rPr>
          <w:rFonts w:hint="eastAsia"/>
        </w:rPr>
      </w:pPr>
      <w:r>
        <w:rPr>
          <w:rFonts w:hint="eastAsia"/>
        </w:rPr>
        <w:t>质量检验部门：负责对采购物资的质量进行检验和验收，出具检验报告，对不合格物资提出处理意见。</w:t>
      </w:r>
    </w:p>
    <w:p w14:paraId="012ABA9B">
      <w:pPr>
        <w:bidi w:val="0"/>
        <w:rPr>
          <w:rFonts w:hint="eastAsia"/>
        </w:rPr>
      </w:pPr>
      <w:r>
        <w:rPr>
          <w:rFonts w:hint="eastAsia"/>
        </w:rPr>
        <w:t>监督部门：对采购全过程进行监督，检查采购活动是否符合相关规定和原则，查处采购过程中的违规违纪行为。</w:t>
      </w:r>
    </w:p>
    <w:p w14:paraId="03BE6F96">
      <w:pPr>
        <w:pStyle w:val="3"/>
        <w:bidi w:val="0"/>
        <w:rPr>
          <w:rFonts w:hint="eastAsia"/>
        </w:rPr>
      </w:pPr>
      <w:bookmarkStart w:id="145" w:name="_Toc12051"/>
      <w:r>
        <w:rPr>
          <w:rFonts w:hint="eastAsia"/>
          <w:lang w:val="en-US" w:eastAsia="zh-CN"/>
        </w:rPr>
        <w:t>第六节</w:t>
      </w:r>
      <w:r>
        <w:rPr>
          <w:rFonts w:hint="eastAsia"/>
        </w:rPr>
        <w:t>、采购流程</w:t>
      </w:r>
      <w:bookmarkEnd w:id="145"/>
    </w:p>
    <w:p w14:paraId="587925B7">
      <w:pPr>
        <w:bidi w:val="0"/>
        <w:rPr>
          <w:rFonts w:hint="eastAsia"/>
        </w:rPr>
      </w:pPr>
      <w:r>
        <w:rPr>
          <w:rFonts w:hint="eastAsia"/>
        </w:rPr>
        <w:t>需求提出与审核</w:t>
      </w:r>
    </w:p>
    <w:p w14:paraId="2F84E253">
      <w:pPr>
        <w:bidi w:val="0"/>
        <w:rPr>
          <w:rFonts w:hint="eastAsia"/>
        </w:rPr>
      </w:pPr>
      <w:r>
        <w:rPr>
          <w:rFonts w:hint="eastAsia"/>
        </w:rPr>
        <w:t>需求部门根据实际工作需要，填写《物资采购申请表》，详细注明物资的名称、规格、型号、数量、质量要求、预计使用时间、建议供应商等信息，并经部门负责人签字确认后提交给采购部门。</w:t>
      </w:r>
    </w:p>
    <w:p w14:paraId="60A81352">
      <w:pPr>
        <w:bidi w:val="0"/>
        <w:rPr>
          <w:rFonts w:hint="eastAsia"/>
        </w:rPr>
      </w:pPr>
      <w:r>
        <w:rPr>
          <w:rFonts w:hint="eastAsia"/>
        </w:rPr>
        <w:t>采购部门收到《物资采购申请表》后，对需求的合理性、必要性进行审核。审核内容包括物资是否为必需采购、规格型号是否明确、数量是否合理等。审核通过后，进入下一步工作；审核不通过的，退回需求部门并说明原因。</w:t>
      </w:r>
    </w:p>
    <w:p w14:paraId="381CCD14">
      <w:pPr>
        <w:bidi w:val="0"/>
        <w:rPr>
          <w:rFonts w:hint="eastAsia"/>
        </w:rPr>
      </w:pPr>
      <w:r>
        <w:rPr>
          <w:rFonts w:hint="eastAsia"/>
        </w:rPr>
        <w:t>编制采购计划</w:t>
      </w:r>
    </w:p>
    <w:p w14:paraId="7F7B4856">
      <w:pPr>
        <w:bidi w:val="0"/>
        <w:rPr>
          <w:rFonts w:hint="eastAsia"/>
        </w:rPr>
      </w:pPr>
      <w:r>
        <w:rPr>
          <w:rFonts w:hint="eastAsia"/>
        </w:rPr>
        <w:t>采购部门根据审核通过的《物资采购申请表》，结合项目或组织的总体计划和资金状况，编制《物资采购计划》。</w:t>
      </w:r>
    </w:p>
    <w:p w14:paraId="506F5BA8">
      <w:pPr>
        <w:bidi w:val="0"/>
        <w:rPr>
          <w:rFonts w:hint="eastAsia"/>
        </w:rPr>
      </w:pPr>
      <w:r>
        <w:rPr>
          <w:rFonts w:hint="eastAsia"/>
        </w:rPr>
        <w:t>《物资采购计划》应明确采购物资的名称、规格、型号、数量、质量标准、预计采购时间、采购方式、预算金额等内容，并报采购决策机构审批。</w:t>
      </w:r>
    </w:p>
    <w:p w14:paraId="23E6EB79">
      <w:pPr>
        <w:bidi w:val="0"/>
        <w:rPr>
          <w:rFonts w:hint="eastAsia"/>
        </w:rPr>
      </w:pPr>
      <w:r>
        <w:rPr>
          <w:rFonts w:hint="eastAsia"/>
        </w:rPr>
        <w:t>市场调研与供应商选择</w:t>
      </w:r>
    </w:p>
    <w:p w14:paraId="4964FD63">
      <w:pPr>
        <w:bidi w:val="0"/>
        <w:rPr>
          <w:rFonts w:hint="eastAsia"/>
        </w:rPr>
      </w:pPr>
      <w:r>
        <w:rPr>
          <w:rFonts w:hint="eastAsia"/>
        </w:rPr>
        <w:t>采购部门根据采购计划，开展市场调研，了解所需物资的市场供求情况、价格水平、供应商资质和信誉等信息。</w:t>
      </w:r>
    </w:p>
    <w:p w14:paraId="6B3D8546">
      <w:pPr>
        <w:bidi w:val="0"/>
        <w:rPr>
          <w:rFonts w:hint="eastAsia"/>
        </w:rPr>
      </w:pPr>
      <w:r>
        <w:rPr>
          <w:rFonts w:hint="eastAsia"/>
        </w:rPr>
        <w:t>收集供应商的相关资料，包括营业执照、生产许可证、产品质量认证、业绩证明等，对供应商进行初步筛选，建立合格供应商备选库。</w:t>
      </w:r>
    </w:p>
    <w:p w14:paraId="367EC813">
      <w:pPr>
        <w:bidi w:val="0"/>
        <w:rPr>
          <w:rFonts w:hint="eastAsia"/>
        </w:rPr>
      </w:pPr>
      <w:r>
        <w:rPr>
          <w:rFonts w:hint="eastAsia"/>
        </w:rPr>
        <w:t>根据采购物资的特点和金额大小，选择合适的供应商选择方式，如公开招标、邀请招标、竞争性谈判、询价采购等。</w:t>
      </w:r>
    </w:p>
    <w:p w14:paraId="0A7102C9">
      <w:pPr>
        <w:bidi w:val="0"/>
        <w:rPr>
          <w:rFonts w:hint="eastAsia"/>
        </w:rPr>
      </w:pPr>
      <w:r>
        <w:rPr>
          <w:rFonts w:hint="eastAsia"/>
        </w:rPr>
        <w:t>采购实施</w:t>
      </w:r>
    </w:p>
    <w:p w14:paraId="43E274CF">
      <w:pPr>
        <w:bidi w:val="0"/>
        <w:rPr>
          <w:rFonts w:hint="eastAsia"/>
        </w:rPr>
      </w:pPr>
      <w:r>
        <w:rPr>
          <w:rFonts w:hint="eastAsia"/>
        </w:rPr>
        <w:t>公开招标：对于采购金额较大、符合公开招标条件的物资，采用公开招标方式。发布招标公告，邀请符合条件的供应商投标，组织开标、评标、定标等工作，确定中标供应商。</w:t>
      </w:r>
    </w:p>
    <w:p w14:paraId="0FBE0670">
      <w:pPr>
        <w:bidi w:val="0"/>
        <w:rPr>
          <w:rFonts w:hint="eastAsia"/>
        </w:rPr>
      </w:pPr>
      <w:r>
        <w:rPr>
          <w:rFonts w:hint="eastAsia"/>
        </w:rPr>
        <w:t>邀请招标：对于具有特殊性、只能从有限范围供应商处采购的物资，采用邀请招标方式。向 3 家以上符合条件的供应商发出投标邀请书，组织投标、评标、定标等工作。</w:t>
      </w:r>
    </w:p>
    <w:p w14:paraId="19BB7A75">
      <w:pPr>
        <w:bidi w:val="0"/>
        <w:rPr>
          <w:rFonts w:hint="eastAsia"/>
        </w:rPr>
      </w:pPr>
      <w:r>
        <w:rPr>
          <w:rFonts w:hint="eastAsia"/>
        </w:rPr>
        <w:t>竞争性谈判：当招标后没有供应商投标或者没有合格标的，以及技术复杂、性质特殊难以确定详细规格等情况下，采用竞争性谈判方式。邀请 3 家以上供应商进行谈判，确定成交供应商。</w:t>
      </w:r>
    </w:p>
    <w:p w14:paraId="1D9A048B">
      <w:pPr>
        <w:bidi w:val="0"/>
        <w:rPr>
          <w:rFonts w:hint="eastAsia"/>
        </w:rPr>
      </w:pPr>
      <w:r>
        <w:rPr>
          <w:rFonts w:hint="eastAsia"/>
        </w:rPr>
        <w:t>询价采购：对于采购的物资规格、标准统一、现货货源充足且价格变化幅度小的，采用询价采购方式。向 3 家以上供应商发出询价通知书，比较报价后确定成交供应商。</w:t>
      </w:r>
    </w:p>
    <w:p w14:paraId="32B10346">
      <w:pPr>
        <w:bidi w:val="0"/>
        <w:rPr>
          <w:rFonts w:hint="eastAsia"/>
        </w:rPr>
      </w:pPr>
      <w:r>
        <w:rPr>
          <w:rFonts w:hint="eastAsia"/>
        </w:rPr>
        <w:t>合同签订</w:t>
      </w:r>
    </w:p>
    <w:p w14:paraId="046A329F">
      <w:pPr>
        <w:bidi w:val="0"/>
        <w:rPr>
          <w:rFonts w:hint="eastAsia"/>
        </w:rPr>
      </w:pPr>
      <w:r>
        <w:rPr>
          <w:rFonts w:hint="eastAsia"/>
        </w:rPr>
        <w:t>确定供应商后，采购部门与供应商签订采购合同。合同内容应包括物资的名称、规格、型号、数量、质量标准、价格、交货时间、交货地点、付款方式、违约责任、售后服务等条款。</w:t>
      </w:r>
    </w:p>
    <w:p w14:paraId="3A84AAE9">
      <w:pPr>
        <w:bidi w:val="0"/>
        <w:rPr>
          <w:rFonts w:hint="eastAsia"/>
        </w:rPr>
      </w:pPr>
      <w:r>
        <w:rPr>
          <w:rFonts w:hint="eastAsia"/>
        </w:rPr>
        <w:t>采购合同经采购部门负责人审核、财务部门复核、采购决策机构审批后，由双方法定代表人或授权代理人签字并加盖公章。</w:t>
      </w:r>
    </w:p>
    <w:p w14:paraId="74FD9096">
      <w:pPr>
        <w:bidi w:val="0"/>
        <w:rPr>
          <w:rFonts w:hint="eastAsia"/>
        </w:rPr>
      </w:pPr>
      <w:r>
        <w:rPr>
          <w:rFonts w:hint="eastAsia"/>
        </w:rPr>
        <w:t>物资验收</w:t>
      </w:r>
    </w:p>
    <w:p w14:paraId="766DF3A7">
      <w:pPr>
        <w:bidi w:val="0"/>
        <w:rPr>
          <w:rFonts w:hint="eastAsia"/>
        </w:rPr>
      </w:pPr>
      <w:r>
        <w:rPr>
          <w:rFonts w:hint="eastAsia"/>
        </w:rPr>
        <w:t>物资到货后，采购部门通知需求部门、质量检验部门共同对物资进行验收。</w:t>
      </w:r>
    </w:p>
    <w:p w14:paraId="440B5917">
      <w:pPr>
        <w:bidi w:val="0"/>
        <w:rPr>
          <w:rFonts w:hint="eastAsia"/>
        </w:rPr>
      </w:pPr>
      <w:r>
        <w:rPr>
          <w:rFonts w:hint="eastAsia"/>
        </w:rPr>
        <w:t>验收内容包括物资的数量、规格、型号是否与合同一致，外观是否完好，质量是否符合要求，相关质量证明文件是否齐全等。</w:t>
      </w:r>
    </w:p>
    <w:p w14:paraId="2BB8A1FA">
      <w:pPr>
        <w:bidi w:val="0"/>
        <w:rPr>
          <w:rFonts w:hint="eastAsia"/>
        </w:rPr>
      </w:pPr>
      <w:r>
        <w:rPr>
          <w:rFonts w:hint="eastAsia"/>
        </w:rPr>
        <w:t>验收合格的，由验收人员在《物资验收单》上签字确认；验收不合格的，应及时通知供应商，按照合同约定进行退货、更换或索赔。</w:t>
      </w:r>
    </w:p>
    <w:p w14:paraId="1394597D">
      <w:pPr>
        <w:bidi w:val="0"/>
        <w:rPr>
          <w:rFonts w:hint="eastAsia"/>
        </w:rPr>
      </w:pPr>
      <w:r>
        <w:rPr>
          <w:rFonts w:hint="eastAsia"/>
        </w:rPr>
        <w:t>付款结算</w:t>
      </w:r>
    </w:p>
    <w:p w14:paraId="36C8AC68">
      <w:pPr>
        <w:bidi w:val="0"/>
        <w:rPr>
          <w:rFonts w:hint="eastAsia"/>
        </w:rPr>
      </w:pPr>
      <w:r>
        <w:rPr>
          <w:rFonts w:hint="eastAsia"/>
        </w:rPr>
        <w:t>采购部门根据《物资验收单》、采购合同等文件，填写《付款申请单》，提交给财务部门。</w:t>
      </w:r>
    </w:p>
    <w:p w14:paraId="66C3023F">
      <w:pPr>
        <w:bidi w:val="0"/>
        <w:rPr>
          <w:rFonts w:hint="eastAsia"/>
        </w:rPr>
      </w:pPr>
      <w:r>
        <w:rPr>
          <w:rFonts w:hint="eastAsia"/>
        </w:rPr>
        <w:t>财务部门对《付款申请单》及相关文件进行审核，审核无误后，按照合同约定的付款方式和时间办理付款手续。</w:t>
      </w:r>
    </w:p>
    <w:p w14:paraId="595D7F31">
      <w:pPr>
        <w:pStyle w:val="3"/>
        <w:bidi w:val="0"/>
        <w:rPr>
          <w:rFonts w:hint="eastAsia"/>
        </w:rPr>
      </w:pPr>
      <w:bookmarkStart w:id="146" w:name="_Toc27733"/>
      <w:r>
        <w:rPr>
          <w:rFonts w:hint="eastAsia"/>
          <w:lang w:val="en-US" w:eastAsia="zh-CN"/>
        </w:rPr>
        <w:t>第七节</w:t>
      </w:r>
      <w:r>
        <w:rPr>
          <w:rFonts w:hint="eastAsia"/>
        </w:rPr>
        <w:t>、供应商管理</w:t>
      </w:r>
      <w:bookmarkEnd w:id="146"/>
    </w:p>
    <w:p w14:paraId="35D8D6F1">
      <w:pPr>
        <w:bidi w:val="0"/>
        <w:rPr>
          <w:rFonts w:hint="eastAsia"/>
        </w:rPr>
      </w:pPr>
      <w:r>
        <w:rPr>
          <w:rFonts w:hint="eastAsia"/>
        </w:rPr>
        <w:t>供应商准入</w:t>
      </w:r>
    </w:p>
    <w:p w14:paraId="18E13DE0">
      <w:pPr>
        <w:bidi w:val="0"/>
        <w:rPr>
          <w:rFonts w:hint="eastAsia"/>
        </w:rPr>
      </w:pPr>
      <w:r>
        <w:rPr>
          <w:rFonts w:hint="eastAsia"/>
        </w:rPr>
        <w:t>制定供应商准入标准，包括供应商的资质要求、生产能力、质量保证体系、财务状况、信誉度等。</w:t>
      </w:r>
    </w:p>
    <w:p w14:paraId="01C95548">
      <w:pPr>
        <w:bidi w:val="0"/>
        <w:rPr>
          <w:rFonts w:hint="eastAsia"/>
        </w:rPr>
      </w:pPr>
      <w:r>
        <w:rPr>
          <w:rFonts w:hint="eastAsia"/>
        </w:rPr>
        <w:t>供应商提交准入申请及相关资料后，采购部门会同质量检验部门、财务部门等进行审核和实地考察，符合标准的纳入合格供应商备选库。</w:t>
      </w:r>
    </w:p>
    <w:p w14:paraId="727C0E6A">
      <w:pPr>
        <w:bidi w:val="0"/>
        <w:rPr>
          <w:rFonts w:hint="eastAsia"/>
        </w:rPr>
      </w:pPr>
      <w:r>
        <w:rPr>
          <w:rFonts w:hint="eastAsia"/>
        </w:rPr>
        <w:t>供应商评估</w:t>
      </w:r>
    </w:p>
    <w:p w14:paraId="1565CFC1">
      <w:pPr>
        <w:bidi w:val="0"/>
        <w:rPr>
          <w:rFonts w:hint="eastAsia"/>
        </w:rPr>
      </w:pPr>
      <w:r>
        <w:rPr>
          <w:rFonts w:hint="eastAsia"/>
        </w:rPr>
        <w:t>建立供应商评估体系，定期对供应商的产品质量、价格、交货及时性、售后服务、合作态度等方面进行评估。</w:t>
      </w:r>
    </w:p>
    <w:p w14:paraId="348644DA">
      <w:pPr>
        <w:bidi w:val="0"/>
        <w:rPr>
          <w:rFonts w:hint="eastAsia"/>
        </w:rPr>
      </w:pPr>
      <w:r>
        <w:rPr>
          <w:rFonts w:hint="eastAsia"/>
        </w:rPr>
        <w:t>评估结果分为优秀、合格、不合格三个等级。对优秀供应商，在采购份额、付款条件等方面给予优先考虑；对合格供应商，继续保持合作并督促其改进；对不合格供应商，暂停或取消其合格供应商资格。</w:t>
      </w:r>
    </w:p>
    <w:p w14:paraId="50D2ADDB">
      <w:pPr>
        <w:bidi w:val="0"/>
        <w:rPr>
          <w:rFonts w:hint="eastAsia"/>
        </w:rPr>
      </w:pPr>
      <w:r>
        <w:rPr>
          <w:rFonts w:hint="eastAsia"/>
        </w:rPr>
        <w:t>供应商关系维护</w:t>
      </w:r>
    </w:p>
    <w:p w14:paraId="30411127">
      <w:pPr>
        <w:bidi w:val="0"/>
        <w:rPr>
          <w:rFonts w:hint="eastAsia"/>
        </w:rPr>
      </w:pPr>
      <w:r>
        <w:rPr>
          <w:rFonts w:hint="eastAsia"/>
        </w:rPr>
        <w:t>与供应商保持良好的沟通和合作关系，及时传递信息，解决合作过程中出现的问题。</w:t>
      </w:r>
    </w:p>
    <w:p w14:paraId="79772674">
      <w:pPr>
        <w:bidi w:val="0"/>
        <w:rPr>
          <w:rFonts w:hint="eastAsia"/>
        </w:rPr>
      </w:pPr>
      <w:r>
        <w:rPr>
          <w:rFonts w:hint="eastAsia"/>
        </w:rPr>
        <w:t>定期组织供应商会议，了解供应商的生产经营情况和市场动态，共同探讨合作机会和改进措施。</w:t>
      </w:r>
    </w:p>
    <w:p w14:paraId="388C4B3E">
      <w:pPr>
        <w:bidi w:val="0"/>
        <w:rPr>
          <w:rFonts w:hint="eastAsia"/>
        </w:rPr>
      </w:pPr>
      <w:r>
        <w:rPr>
          <w:rFonts w:hint="eastAsia"/>
        </w:rPr>
        <w:t>供应商档案管理</w:t>
      </w:r>
    </w:p>
    <w:p w14:paraId="608C4798">
      <w:pPr>
        <w:bidi w:val="0"/>
        <w:rPr>
          <w:rFonts w:hint="eastAsia"/>
        </w:rPr>
      </w:pPr>
      <w:r>
        <w:rPr>
          <w:rFonts w:hint="eastAsia"/>
        </w:rPr>
        <w:t>为每个合格供应商建立档案，包括供应商的基本信息、准入资料、评估记录、合作历史、合同履行情况等。</w:t>
      </w:r>
    </w:p>
    <w:p w14:paraId="043E07EE">
      <w:pPr>
        <w:bidi w:val="0"/>
        <w:rPr>
          <w:rFonts w:hint="eastAsia"/>
        </w:rPr>
      </w:pPr>
      <w:r>
        <w:rPr>
          <w:rFonts w:hint="eastAsia"/>
        </w:rPr>
        <w:t>定期对供应商档案进行更新和维护，确保档案信息的准确性和完整性。</w:t>
      </w:r>
    </w:p>
    <w:p w14:paraId="7FFDF438">
      <w:pPr>
        <w:pStyle w:val="3"/>
        <w:bidi w:val="0"/>
        <w:rPr>
          <w:rFonts w:hint="eastAsia"/>
        </w:rPr>
      </w:pPr>
      <w:bookmarkStart w:id="147" w:name="_Toc14148"/>
      <w:r>
        <w:rPr>
          <w:rFonts w:hint="eastAsia"/>
          <w:lang w:val="en-US" w:eastAsia="zh-CN"/>
        </w:rPr>
        <w:t>第八节</w:t>
      </w:r>
      <w:r>
        <w:rPr>
          <w:rFonts w:hint="eastAsia"/>
        </w:rPr>
        <w:t>、合同管理</w:t>
      </w:r>
      <w:bookmarkEnd w:id="147"/>
    </w:p>
    <w:p w14:paraId="102F48F5">
      <w:pPr>
        <w:bidi w:val="0"/>
        <w:rPr>
          <w:rFonts w:hint="eastAsia"/>
        </w:rPr>
      </w:pPr>
      <w:r>
        <w:rPr>
          <w:rFonts w:hint="eastAsia"/>
        </w:rPr>
        <w:t>合同起草与审核：采购合同由采购部门负责起草，起草过程中应严格遵守相关法律法规和项目或组织的规定。合同起草完成后，提交给财务部门、法律部门（如有）等进行审核，确保合同条款的合法性、完整性和严谨性。</w:t>
      </w:r>
    </w:p>
    <w:p w14:paraId="15048AD4">
      <w:pPr>
        <w:bidi w:val="0"/>
        <w:rPr>
          <w:rFonts w:hint="eastAsia"/>
        </w:rPr>
      </w:pPr>
      <w:r>
        <w:rPr>
          <w:rFonts w:hint="eastAsia"/>
        </w:rPr>
        <w:t>合同签订：经审核无误的合同，按照规定的审批程序报批后，由双方法定代表人或授权代理人签订。</w:t>
      </w:r>
    </w:p>
    <w:p w14:paraId="03EC1D19">
      <w:pPr>
        <w:bidi w:val="0"/>
        <w:rPr>
          <w:rFonts w:hint="eastAsia"/>
        </w:rPr>
      </w:pPr>
      <w:r>
        <w:rPr>
          <w:rFonts w:hint="eastAsia"/>
        </w:rPr>
        <w:t>合同履行跟踪：采购部门负责对合同的履行情况进行跟踪，及时了解供应商的生产进度、交货计划等，确保供应商按照合同约定履行义务。如发现供应商存在违约迹象，应及时采取措施，督促其纠正。</w:t>
      </w:r>
    </w:p>
    <w:p w14:paraId="18C9B01D">
      <w:pPr>
        <w:bidi w:val="0"/>
        <w:rPr>
          <w:rFonts w:hint="eastAsia"/>
        </w:rPr>
      </w:pPr>
      <w:r>
        <w:rPr>
          <w:rFonts w:hint="eastAsia"/>
        </w:rPr>
        <w:t>合同变更与解除：如因客观情况发生变化需要变更或解除合同，应按照规定的程序办理。变更或解除合同需经双方协商一致，并签订书面协议，报相关部门审批后生效。</w:t>
      </w:r>
    </w:p>
    <w:p w14:paraId="0F575F66">
      <w:pPr>
        <w:bidi w:val="0"/>
        <w:rPr>
          <w:rFonts w:hint="eastAsia"/>
        </w:rPr>
      </w:pPr>
      <w:r>
        <w:rPr>
          <w:rFonts w:hint="eastAsia"/>
        </w:rPr>
        <w:t>合同归档：合同签订后，采购部门应将合同原件及相关附件进行归档保存，以备查阅。</w:t>
      </w:r>
    </w:p>
    <w:p w14:paraId="09468B62">
      <w:pPr>
        <w:pStyle w:val="3"/>
        <w:bidi w:val="0"/>
        <w:rPr>
          <w:rFonts w:hint="eastAsia"/>
        </w:rPr>
      </w:pPr>
      <w:bookmarkStart w:id="148" w:name="_Toc5390"/>
      <w:r>
        <w:rPr>
          <w:rFonts w:hint="eastAsia"/>
          <w:lang w:val="en-US" w:eastAsia="zh-CN"/>
        </w:rPr>
        <w:t>第九节</w:t>
      </w:r>
      <w:r>
        <w:rPr>
          <w:rFonts w:hint="eastAsia"/>
        </w:rPr>
        <w:t>、采购成本控制</w:t>
      </w:r>
      <w:bookmarkEnd w:id="148"/>
    </w:p>
    <w:p w14:paraId="75629C85">
      <w:pPr>
        <w:bidi w:val="0"/>
        <w:rPr>
          <w:rFonts w:hint="eastAsia"/>
        </w:rPr>
      </w:pPr>
      <w:r>
        <w:rPr>
          <w:rFonts w:hint="eastAsia"/>
        </w:rPr>
        <w:t>优化采购计划：合理安排采购批量和采购时间，避免过量采购或紧急采购导致的成本增加。通过准确预测物资需求，实现集中采购，获取批量折扣。</w:t>
      </w:r>
    </w:p>
    <w:p w14:paraId="08337B69">
      <w:pPr>
        <w:bidi w:val="0"/>
        <w:rPr>
          <w:rFonts w:hint="eastAsia"/>
        </w:rPr>
      </w:pPr>
      <w:r>
        <w:rPr>
          <w:rFonts w:hint="eastAsia"/>
        </w:rPr>
        <w:t>比价采购：对同一物资，向多家供应商询价，进行价格比较，选择价格合理的供应商。在比价过程中，不仅要比较物资价格，还要考虑运输费用、售后服务等因素。</w:t>
      </w:r>
    </w:p>
    <w:p w14:paraId="0F7F15C9">
      <w:pPr>
        <w:bidi w:val="0"/>
        <w:rPr>
          <w:rFonts w:hint="eastAsia"/>
        </w:rPr>
      </w:pPr>
      <w:r>
        <w:rPr>
          <w:rFonts w:hint="eastAsia"/>
        </w:rPr>
        <w:t>谈判议价：在采购过程中，与供应商进行充分的谈判和议价，争取更优惠的价格和付款条件。谈判前应做好充分的准备，了解市场行情和供应商的成本构成。</w:t>
      </w:r>
    </w:p>
    <w:p w14:paraId="5DC303B2">
      <w:pPr>
        <w:bidi w:val="0"/>
        <w:rPr>
          <w:rFonts w:hint="eastAsia"/>
        </w:rPr>
      </w:pPr>
      <w:r>
        <w:rPr>
          <w:rFonts w:hint="eastAsia"/>
        </w:rPr>
        <w:t>控制采购费用：严格控制采购过程中的各项费用，如招标费、差旅费、运输费等。合理选择运输方式，降低运输成本；规范采购人员的差旅费用报销，避免不必要的开支。</w:t>
      </w:r>
    </w:p>
    <w:p w14:paraId="1F0D016A">
      <w:pPr>
        <w:bidi w:val="0"/>
        <w:rPr>
          <w:rFonts w:hint="eastAsia"/>
        </w:rPr>
      </w:pPr>
      <w:r>
        <w:rPr>
          <w:rFonts w:hint="eastAsia"/>
        </w:rPr>
        <w:t>库存管理：合理控制物资库存水平，避免库存积压导致的资金占用和仓储成本增加，同时也要防止库存不足影响正常工作。通过建立科学的库存管理系统，及时掌握库存动态，优化库存结构。</w:t>
      </w:r>
    </w:p>
    <w:p w14:paraId="647D4DCF">
      <w:pPr>
        <w:pStyle w:val="3"/>
        <w:bidi w:val="0"/>
        <w:rPr>
          <w:rFonts w:hint="eastAsia"/>
        </w:rPr>
      </w:pPr>
      <w:bookmarkStart w:id="149" w:name="_Toc3614"/>
      <w:r>
        <w:rPr>
          <w:rFonts w:hint="eastAsia"/>
          <w:lang w:val="en-US" w:eastAsia="zh-CN"/>
        </w:rPr>
        <w:t>第十节</w:t>
      </w:r>
      <w:r>
        <w:rPr>
          <w:rFonts w:hint="eastAsia"/>
        </w:rPr>
        <w:t>、采购风险控制</w:t>
      </w:r>
      <w:bookmarkEnd w:id="149"/>
    </w:p>
    <w:p w14:paraId="11FEA333">
      <w:pPr>
        <w:bidi w:val="0"/>
        <w:rPr>
          <w:rFonts w:hint="eastAsia"/>
        </w:rPr>
      </w:pPr>
      <w:r>
        <w:rPr>
          <w:rFonts w:hint="eastAsia"/>
        </w:rPr>
        <w:t>市场风险控制：密切关注市场供求变化、价格波动等情况，及时调整采购策略。对于价格波动较大的物资，可以采取长期合同、套期保值等方式锁定价格，降低市场风险。</w:t>
      </w:r>
    </w:p>
    <w:p w14:paraId="5543D5E1">
      <w:pPr>
        <w:bidi w:val="0"/>
        <w:rPr>
          <w:rFonts w:hint="eastAsia"/>
        </w:rPr>
      </w:pPr>
      <w:r>
        <w:rPr>
          <w:rFonts w:hint="eastAsia"/>
        </w:rPr>
        <w:t>质量风险控制：加强对供应商的质量审核和管理，严格执行物资验收制度。对重要物资，可在采购前进行样品检验，确保物资质量符合要求。同时，与供应商签订质量保证协议，明确质量责任。</w:t>
      </w:r>
    </w:p>
    <w:p w14:paraId="1B1C4566">
      <w:pPr>
        <w:bidi w:val="0"/>
        <w:rPr>
          <w:rFonts w:hint="eastAsia"/>
        </w:rPr>
      </w:pPr>
      <w:r>
        <w:rPr>
          <w:rFonts w:hint="eastAsia"/>
        </w:rPr>
        <w:t>供应风险控制：选择多家供应商进行合作，避免过度依赖单一供应商。对供应商的生产能力、供货能力进行评估，建立供应商应急储备机制，以应对供应商因不可抗力等原因无法按时供货的情况。</w:t>
      </w:r>
    </w:p>
    <w:p w14:paraId="7FA56957">
      <w:pPr>
        <w:bidi w:val="0"/>
        <w:rPr>
          <w:rFonts w:hint="eastAsia"/>
        </w:rPr>
      </w:pPr>
      <w:r>
        <w:rPr>
          <w:rFonts w:hint="eastAsia"/>
        </w:rPr>
        <w:t>合同风险控制：加强合同审核和管理，确保合同条款严谨、明确，避免因合同漏洞导致的风险。在合同中明确双方的权利和义务、违约责任等内容，以便在发生纠纷时能够依法维护自身权益。</w:t>
      </w:r>
    </w:p>
    <w:p w14:paraId="0BB85A2D">
      <w:pPr>
        <w:bidi w:val="0"/>
        <w:rPr>
          <w:rFonts w:hint="eastAsia"/>
        </w:rPr>
      </w:pPr>
      <w:r>
        <w:rPr>
          <w:rFonts w:hint="eastAsia"/>
        </w:rPr>
        <w:t>廉洁风险控制：加强对采购人员的廉洁教育，建立健全廉洁采购制度，规范采购人员的行为。对采购过程进行监督检查，严厉查处采购中的腐败行为，防止利益输送。</w:t>
      </w:r>
    </w:p>
    <w:p w14:paraId="26C15F28">
      <w:pPr>
        <w:pStyle w:val="3"/>
        <w:bidi w:val="0"/>
        <w:rPr>
          <w:rFonts w:hint="eastAsia"/>
        </w:rPr>
      </w:pPr>
      <w:bookmarkStart w:id="150" w:name="_Toc2423"/>
      <w:r>
        <w:rPr>
          <w:rFonts w:hint="eastAsia"/>
          <w:lang w:val="en-US" w:eastAsia="zh-CN"/>
        </w:rPr>
        <w:t>第</w:t>
      </w:r>
      <w:r>
        <w:rPr>
          <w:rFonts w:hint="eastAsia"/>
        </w:rPr>
        <w:t>十一</w:t>
      </w:r>
      <w:r>
        <w:rPr>
          <w:rFonts w:hint="eastAsia"/>
          <w:lang w:val="en-US" w:eastAsia="zh-CN"/>
        </w:rPr>
        <w:t>节</w:t>
      </w:r>
      <w:r>
        <w:rPr>
          <w:rFonts w:hint="eastAsia"/>
        </w:rPr>
        <w:t>、信息管理</w:t>
      </w:r>
      <w:bookmarkEnd w:id="150"/>
    </w:p>
    <w:p w14:paraId="02A83CC8">
      <w:pPr>
        <w:bidi w:val="0"/>
        <w:rPr>
          <w:rFonts w:hint="eastAsia"/>
        </w:rPr>
      </w:pPr>
      <w:r>
        <w:rPr>
          <w:rFonts w:hint="eastAsia"/>
        </w:rPr>
        <w:t>采购信息收集与整理：及时收集采购相关的信息，包括市场价格信息、供应商信息、政策法规信息等，并进行分类整理和存储，为采购决策提供依据。</w:t>
      </w:r>
    </w:p>
    <w:p w14:paraId="36845EEF">
      <w:pPr>
        <w:bidi w:val="0"/>
        <w:rPr>
          <w:rFonts w:hint="eastAsia"/>
        </w:rPr>
      </w:pPr>
      <w:r>
        <w:rPr>
          <w:rFonts w:hint="eastAsia"/>
        </w:rPr>
        <w:t>采购文件管理：对采购过程中形成的各类文件，如采购计划、招标文件、投标文件、采购合同、验收单、付款凭证等进行妥善保管，建立健全文件档案管理制度，确保文件的完整性和可追溯性。</w:t>
      </w:r>
    </w:p>
    <w:p w14:paraId="3BDD6EAC">
      <w:pPr>
        <w:bidi w:val="0"/>
        <w:rPr>
          <w:rFonts w:hint="eastAsia"/>
        </w:rPr>
      </w:pPr>
      <w:r>
        <w:rPr>
          <w:rFonts w:hint="eastAsia"/>
        </w:rPr>
        <w:t>信息系统应用：利用采购管理信息系统，实现采购流程的电子化管理，提高采购工作的效率和信息化水平。通过信息系统，可以实现采购计划的编制与审批、供应商管理、合同管理、物资验收、付款结算等功能的集成化管理。</w:t>
      </w:r>
    </w:p>
    <w:p w14:paraId="4B075090">
      <w:pPr>
        <w:pStyle w:val="3"/>
        <w:bidi w:val="0"/>
        <w:rPr>
          <w:rFonts w:hint="eastAsia"/>
        </w:rPr>
      </w:pPr>
      <w:bookmarkStart w:id="151" w:name="_Toc11952"/>
      <w:r>
        <w:rPr>
          <w:rFonts w:hint="eastAsia"/>
          <w:lang w:val="en-US" w:eastAsia="zh-CN"/>
        </w:rPr>
        <w:t>第</w:t>
      </w:r>
      <w:r>
        <w:rPr>
          <w:rFonts w:hint="eastAsia"/>
        </w:rPr>
        <w:t>十二</w:t>
      </w:r>
      <w:r>
        <w:rPr>
          <w:rFonts w:hint="eastAsia"/>
          <w:lang w:val="en-US" w:eastAsia="zh-CN"/>
        </w:rPr>
        <w:t>节</w:t>
      </w:r>
      <w:r>
        <w:rPr>
          <w:rFonts w:hint="eastAsia"/>
        </w:rPr>
        <w:t>、监督与考核</w:t>
      </w:r>
      <w:bookmarkEnd w:id="151"/>
    </w:p>
    <w:p w14:paraId="7C7A26DC">
      <w:pPr>
        <w:bidi w:val="0"/>
        <w:rPr>
          <w:rFonts w:hint="eastAsia"/>
        </w:rPr>
      </w:pPr>
      <w:r>
        <w:rPr>
          <w:rFonts w:hint="eastAsia"/>
        </w:rPr>
        <w:t>监督机制：建立健全采购监督机制，由监督部门对采购全过程进行监督检查，包括采购计划的执行情况、采购方式的合规性、供应商的选择、合同的签订与履行、物资验收、付款结算等环节。监督部门可以通过定期检查、不定期抽查、专项审计等方式开展监督工作。</w:t>
      </w:r>
    </w:p>
    <w:p w14:paraId="6134585E">
      <w:pPr>
        <w:bidi w:val="0"/>
        <w:rPr>
          <w:rFonts w:hint="eastAsia"/>
        </w:rPr>
      </w:pPr>
      <w:r>
        <w:rPr>
          <w:rFonts w:hint="eastAsia"/>
        </w:rPr>
        <w:t>考核评价：建立采购工作考核评价体系，对采购部门和采购人员的工作绩效进行考核。考核指标包括采购计划完成率、物资质量合格率、采购成本降低率、采购周期、供应商满意度等。根据考核结果，对表现优秀的部门和人员进行表彰奖励，对存在问题的进行督促整改。</w:t>
      </w:r>
    </w:p>
    <w:p w14:paraId="7273BF56">
      <w:pPr>
        <w:bidi w:val="0"/>
        <w:rPr>
          <w:rFonts w:hint="eastAsia"/>
        </w:rPr>
      </w:pPr>
    </w:p>
    <w:p w14:paraId="75D48B0F">
      <w:pPr>
        <w:rPr>
          <w:rFonts w:hint="eastAsia"/>
        </w:rPr>
      </w:pPr>
      <w:r>
        <w:rPr>
          <w:rFonts w:hint="eastAsia"/>
        </w:rPr>
        <w:br w:type="page"/>
      </w:r>
    </w:p>
    <w:p w14:paraId="25CA7675">
      <w:pPr>
        <w:pStyle w:val="2"/>
        <w:bidi w:val="0"/>
        <w:rPr>
          <w:rFonts w:hint="eastAsia"/>
          <w:lang w:val="en-US" w:eastAsia="zh-CN"/>
        </w:rPr>
      </w:pPr>
      <w:bookmarkStart w:id="152" w:name="_Toc17766"/>
      <w:r>
        <w:rPr>
          <w:rFonts w:hint="eastAsia"/>
          <w:lang w:val="en-US" w:eastAsia="zh-CN"/>
        </w:rPr>
        <w:t>第四章、施工平面布置规划</w:t>
      </w:r>
      <w:bookmarkEnd w:id="152"/>
    </w:p>
    <w:p w14:paraId="2931A332">
      <w:pPr>
        <w:pStyle w:val="3"/>
        <w:bidi w:val="0"/>
        <w:rPr>
          <w:rFonts w:hint="eastAsia"/>
          <w:lang w:val="en-US" w:eastAsia="zh-CN"/>
        </w:rPr>
      </w:pPr>
      <w:bookmarkStart w:id="153" w:name="_Toc18834"/>
      <w:r>
        <w:rPr>
          <w:rFonts w:hint="eastAsia"/>
          <w:lang w:val="en-US" w:eastAsia="zh-CN"/>
        </w:rPr>
        <w:t>第一节、规划概述</w:t>
      </w:r>
      <w:bookmarkEnd w:id="153"/>
    </w:p>
    <w:p w14:paraId="076CC7D0">
      <w:pPr>
        <w:bidi w:val="0"/>
        <w:rPr>
          <w:rFonts w:hint="eastAsia"/>
          <w:lang w:val="en-US" w:eastAsia="zh-CN"/>
        </w:rPr>
      </w:pPr>
      <w:r>
        <w:rPr>
          <w:rFonts w:hint="eastAsia"/>
          <w:lang w:val="en-US" w:eastAsia="zh-CN"/>
        </w:rPr>
        <w:t>供水项目施工平面布置规划是为确保供水工程施工有序、高效、安全开展，根据供水项目的独特性，如包含取水、输水、水处理、配水等多个环节，结合现场地形、地质条件及施工需求，对施工场地内的各类设施进行科学合理布置的方案。本规划适用于城市供水、村镇供水等各类供水项目的施工阶段，旨在保障取水设施、水处理构筑物、输配水管网等关键工程的施工质量与进度。</w:t>
      </w:r>
    </w:p>
    <w:p w14:paraId="4C31B667">
      <w:pPr>
        <w:pStyle w:val="3"/>
        <w:bidi w:val="0"/>
        <w:rPr>
          <w:rFonts w:hint="eastAsia"/>
          <w:lang w:val="en-US" w:eastAsia="zh-CN"/>
        </w:rPr>
      </w:pPr>
      <w:bookmarkStart w:id="154" w:name="_Toc4560"/>
      <w:r>
        <w:rPr>
          <w:rFonts w:hint="eastAsia"/>
          <w:lang w:val="en-US" w:eastAsia="zh-CN"/>
        </w:rPr>
        <w:t>第二节、布置原则</w:t>
      </w:r>
      <w:bookmarkEnd w:id="154"/>
    </w:p>
    <w:p w14:paraId="133979E0">
      <w:pPr>
        <w:bidi w:val="0"/>
        <w:rPr>
          <w:rFonts w:hint="eastAsia"/>
          <w:lang w:val="en-US" w:eastAsia="zh-CN"/>
        </w:rPr>
      </w:pPr>
      <w:r>
        <w:rPr>
          <w:rFonts w:hint="eastAsia"/>
          <w:lang w:val="en-US" w:eastAsia="zh-CN"/>
        </w:rPr>
        <w:t>契合工程特点原则：充分考虑供水项目中取水头部、水泵站、沉淀池、滤池、清水池、输水管网等设施的施工特点，合理划分施工区域，确保各环节施工互不干扰。</w:t>
      </w:r>
    </w:p>
    <w:p w14:paraId="2862C0D3">
      <w:pPr>
        <w:bidi w:val="0"/>
        <w:rPr>
          <w:rFonts w:hint="eastAsia"/>
          <w:lang w:val="en-US" w:eastAsia="zh-CN"/>
        </w:rPr>
      </w:pPr>
      <w:r>
        <w:rPr>
          <w:rFonts w:hint="eastAsia"/>
          <w:lang w:val="en-US" w:eastAsia="zh-CN"/>
        </w:rPr>
        <w:t>流程顺畅原则：按照供水工艺的先后顺序布置施工区域，从取水工程到水处理工程再到输配水工程，形成连贯的施工流程，减少材料和设备的往返运输。</w:t>
      </w:r>
    </w:p>
    <w:p w14:paraId="6788B88C">
      <w:pPr>
        <w:bidi w:val="0"/>
        <w:rPr>
          <w:rFonts w:hint="eastAsia"/>
          <w:lang w:val="en-US" w:eastAsia="zh-CN"/>
        </w:rPr>
      </w:pPr>
      <w:r>
        <w:rPr>
          <w:rFonts w:hint="eastAsia"/>
          <w:lang w:val="en-US" w:eastAsia="zh-CN"/>
        </w:rPr>
        <w:t>安全优先原则：针对供水项目中涉及的深基坑（如取水构筑物、水池基础）、高空作业（如泵房上部结构）、临时用电用水密集等情况，严格划分安全作业区，设置明显警示标志，保障施工安全。</w:t>
      </w:r>
    </w:p>
    <w:p w14:paraId="38B46A35">
      <w:pPr>
        <w:bidi w:val="0"/>
        <w:rPr>
          <w:rFonts w:hint="eastAsia"/>
          <w:lang w:val="en-US" w:eastAsia="zh-CN"/>
        </w:rPr>
      </w:pPr>
      <w:r>
        <w:rPr>
          <w:rFonts w:hint="eastAsia"/>
          <w:lang w:val="en-US" w:eastAsia="zh-CN"/>
        </w:rPr>
        <w:t>节约用地与环保原则：在满足施工需求的前提下，紧凑布置临时设施，保护周边水源及生态环境，尤其注意避免施工对取水水源的污染，设置完善的污水处理和垃圾回收设施。</w:t>
      </w:r>
    </w:p>
    <w:p w14:paraId="6E17CBAF">
      <w:pPr>
        <w:bidi w:val="0"/>
        <w:rPr>
          <w:rFonts w:hint="eastAsia"/>
          <w:lang w:val="en-US" w:eastAsia="zh-CN"/>
        </w:rPr>
      </w:pPr>
      <w:r>
        <w:rPr>
          <w:rFonts w:hint="eastAsia"/>
          <w:lang w:val="en-US" w:eastAsia="zh-CN"/>
        </w:rPr>
        <w:t>动态调整原则：根据供水项目各施工阶段（如取水工程施工、水处理构筑物施工、管网铺设等）的不同需求，灵活调整平面布置，适应工程进度变化。</w:t>
      </w:r>
    </w:p>
    <w:p w14:paraId="63E956A9">
      <w:pPr>
        <w:bidi w:val="0"/>
        <w:rPr>
          <w:rFonts w:hint="eastAsia"/>
          <w:lang w:val="en-US" w:eastAsia="zh-CN"/>
        </w:rPr>
      </w:pPr>
      <w:r>
        <w:rPr>
          <w:rFonts w:hint="eastAsia"/>
          <w:lang w:val="en-US" w:eastAsia="zh-CN"/>
        </w:rPr>
        <w:t>合规性原则：符合国家及地方关于供水工程施工、土地使用、环境保护等方面的法律法规，确保布置方案合法合规。</w:t>
      </w:r>
    </w:p>
    <w:p w14:paraId="625F5A68">
      <w:pPr>
        <w:pStyle w:val="3"/>
        <w:bidi w:val="0"/>
        <w:rPr>
          <w:rFonts w:hint="eastAsia"/>
          <w:lang w:val="en-US" w:eastAsia="zh-CN"/>
        </w:rPr>
      </w:pPr>
      <w:bookmarkStart w:id="155" w:name="_Toc29125"/>
      <w:r>
        <w:rPr>
          <w:rFonts w:hint="eastAsia"/>
          <w:lang w:val="en-US" w:eastAsia="zh-CN"/>
        </w:rPr>
        <w:t>第三节、布置内容</w:t>
      </w:r>
      <w:bookmarkEnd w:id="155"/>
    </w:p>
    <w:p w14:paraId="62A362D5">
      <w:pPr>
        <w:bidi w:val="0"/>
        <w:rPr>
          <w:rFonts w:hint="eastAsia"/>
          <w:lang w:val="en-US" w:eastAsia="zh-CN"/>
        </w:rPr>
      </w:pPr>
      <w:r>
        <w:rPr>
          <w:rFonts w:hint="eastAsia"/>
          <w:lang w:val="en-US" w:eastAsia="zh-CN"/>
        </w:rPr>
        <w:t>施工区布置</w:t>
      </w:r>
    </w:p>
    <w:p w14:paraId="33A63E39">
      <w:pPr>
        <w:bidi w:val="0"/>
        <w:rPr>
          <w:rFonts w:hint="eastAsia"/>
          <w:lang w:val="en-US" w:eastAsia="zh-CN"/>
        </w:rPr>
      </w:pPr>
      <w:r>
        <w:rPr>
          <w:rFonts w:hint="eastAsia"/>
          <w:lang w:val="en-US" w:eastAsia="zh-CN"/>
        </w:rPr>
        <w:t>取水工程施工区：根据取水方式（如地表取水、地下取水）划定施工范围。地表取水需设置取水头部、引水管渠施工区，配备钻孔桩机、挖泥船等设备停放区；地下取水则划分管井或大口井施工区，靠近水源位置，保证施工用水及设备进出便利。</w:t>
      </w:r>
    </w:p>
    <w:p w14:paraId="083E9A9B">
      <w:pPr>
        <w:bidi w:val="0"/>
        <w:rPr>
          <w:rFonts w:hint="eastAsia"/>
          <w:lang w:val="en-US" w:eastAsia="zh-CN"/>
        </w:rPr>
      </w:pPr>
      <w:r>
        <w:rPr>
          <w:rFonts w:hint="eastAsia"/>
          <w:lang w:val="en-US" w:eastAsia="zh-CN"/>
        </w:rPr>
        <w:t>水处理构筑物施工区：集中布置沉淀池、滤池、清水池、加药间等水处理设施的施工区域。按照施工顺序和构筑物间距，合理规划作业面，设置模板堆放、钢筋加工场地，靠近材料堆场以减少运输距离。</w:t>
      </w:r>
    </w:p>
    <w:p w14:paraId="5958A21C">
      <w:pPr>
        <w:bidi w:val="0"/>
        <w:rPr>
          <w:rFonts w:hint="eastAsia"/>
          <w:lang w:val="en-US" w:eastAsia="zh-CN"/>
        </w:rPr>
      </w:pPr>
      <w:r>
        <w:rPr>
          <w:rFonts w:hint="eastAsia"/>
          <w:lang w:val="en-US" w:eastAsia="zh-CN"/>
        </w:rPr>
        <w:t>水泵站施工区：划分泵房基础、泵房主体结构及设备安装施工区，确保大型水泵、电机等设备的运输通道畅通，预留设备吊装作业空间，与配电设施施工区保持安全距离。</w:t>
      </w:r>
    </w:p>
    <w:p w14:paraId="76365F47">
      <w:pPr>
        <w:bidi w:val="0"/>
        <w:rPr>
          <w:rFonts w:hint="eastAsia"/>
          <w:lang w:val="en-US" w:eastAsia="zh-CN"/>
        </w:rPr>
      </w:pPr>
      <w:r>
        <w:rPr>
          <w:rFonts w:hint="eastAsia"/>
          <w:lang w:val="en-US" w:eastAsia="zh-CN"/>
        </w:rPr>
        <w:t>输配水管网施工区：根据管网走向划分分段施工区域，在道路两侧或绿化带内设置管材堆放点和热熔、焊接作业区，避免占用主要交通要道，同时预留管道试压及冲洗作业空间。</w:t>
      </w:r>
    </w:p>
    <w:p w14:paraId="3DAB5A58">
      <w:pPr>
        <w:bidi w:val="0"/>
        <w:rPr>
          <w:rFonts w:hint="eastAsia"/>
          <w:lang w:val="en-US" w:eastAsia="zh-CN"/>
        </w:rPr>
      </w:pPr>
      <w:r>
        <w:rPr>
          <w:rFonts w:hint="eastAsia"/>
          <w:lang w:val="en-US" w:eastAsia="zh-CN"/>
        </w:rPr>
        <w:t>材料堆场布置</w:t>
      </w:r>
    </w:p>
    <w:p w14:paraId="4F0DA0BF">
      <w:pPr>
        <w:bidi w:val="0"/>
        <w:rPr>
          <w:rFonts w:hint="eastAsia"/>
          <w:lang w:val="en-US" w:eastAsia="zh-CN"/>
        </w:rPr>
      </w:pPr>
      <w:r>
        <w:rPr>
          <w:rFonts w:hint="eastAsia"/>
          <w:lang w:val="en-US" w:eastAsia="zh-CN"/>
        </w:rPr>
        <w:t>管材堆场：分类堆放钢管、PE 管、球墨铸铁管等输配水管道，按照管径大小整齐排列，设置防雨防晒棚，远离火源和腐蚀性物质，堆场地面进行硬化并做好排水，防止管材锈蚀。</w:t>
      </w:r>
    </w:p>
    <w:p w14:paraId="021486FD">
      <w:pPr>
        <w:bidi w:val="0"/>
        <w:rPr>
          <w:rFonts w:hint="eastAsia"/>
          <w:lang w:val="en-US" w:eastAsia="zh-CN"/>
        </w:rPr>
      </w:pPr>
      <w:r>
        <w:rPr>
          <w:rFonts w:hint="eastAsia"/>
          <w:lang w:val="en-US" w:eastAsia="zh-CN"/>
        </w:rPr>
        <w:t>水处理材料堆场：絮凝剂、消毒剂等水处理药剂需设置专用封闭仓库，远离生活区和食品存放区，张贴危险品标识，配备通风及应急处理设备；砂石、水泥等用于构筑物浇筑的材料，堆场靠近水处理构筑物施工区，水泥仓库需防潮防雨。</w:t>
      </w:r>
    </w:p>
    <w:p w14:paraId="0E36C538">
      <w:pPr>
        <w:bidi w:val="0"/>
        <w:rPr>
          <w:rFonts w:hint="eastAsia"/>
          <w:lang w:val="en-US" w:eastAsia="zh-CN"/>
        </w:rPr>
      </w:pPr>
      <w:r>
        <w:rPr>
          <w:rFonts w:hint="eastAsia"/>
          <w:lang w:val="en-US" w:eastAsia="zh-CN"/>
        </w:rPr>
        <w:t>金属构件堆场：取水格栅、闸门、水泵配件等金属构件，设置在干燥通风的场地，进行防腐处理后分类存放，避免碰撞损坏。</w:t>
      </w:r>
    </w:p>
    <w:p w14:paraId="33E6C527">
      <w:pPr>
        <w:bidi w:val="0"/>
        <w:rPr>
          <w:rFonts w:hint="eastAsia"/>
          <w:lang w:val="en-US" w:eastAsia="zh-CN"/>
        </w:rPr>
      </w:pPr>
      <w:r>
        <w:rPr>
          <w:rFonts w:hint="eastAsia"/>
          <w:lang w:val="en-US" w:eastAsia="zh-CN"/>
        </w:rPr>
        <w:t>加工场地布置</w:t>
      </w:r>
    </w:p>
    <w:p w14:paraId="0D363D5F">
      <w:pPr>
        <w:bidi w:val="0"/>
        <w:rPr>
          <w:rFonts w:hint="eastAsia"/>
          <w:lang w:val="en-US" w:eastAsia="zh-CN"/>
        </w:rPr>
      </w:pPr>
      <w:r>
        <w:rPr>
          <w:rFonts w:hint="eastAsia"/>
          <w:lang w:val="en-US" w:eastAsia="zh-CN"/>
        </w:rPr>
        <w:t>管道加工区：设置管道切割、坡口加工、防腐处理的专用场地，配备砂轮机、焊机等设备，靠近管材堆场和管网施工区，加工后的管道做好标识分类堆放。</w:t>
      </w:r>
    </w:p>
    <w:p w14:paraId="706E5987">
      <w:pPr>
        <w:bidi w:val="0"/>
        <w:rPr>
          <w:rFonts w:hint="eastAsia"/>
          <w:lang w:val="en-US" w:eastAsia="zh-CN"/>
        </w:rPr>
      </w:pPr>
      <w:r>
        <w:rPr>
          <w:rFonts w:hint="eastAsia"/>
          <w:lang w:val="en-US" w:eastAsia="zh-CN"/>
        </w:rPr>
        <w:t>钢筋与模板加工区：针对水处理构筑物、泵房等钢筋混凝土结构施工，设置钢筋切断、弯曲、绑扎场地和模板裁剪、拼装区，靠近构筑物施工区，减少二次搬运。</w:t>
      </w:r>
    </w:p>
    <w:p w14:paraId="4A41D561">
      <w:pPr>
        <w:bidi w:val="0"/>
        <w:rPr>
          <w:rFonts w:hint="eastAsia"/>
          <w:lang w:val="en-US" w:eastAsia="zh-CN"/>
        </w:rPr>
      </w:pPr>
      <w:r>
        <w:rPr>
          <w:rFonts w:hint="eastAsia"/>
          <w:lang w:val="en-US" w:eastAsia="zh-CN"/>
        </w:rPr>
        <w:t>预制构件加工区：若存在混凝土预制构件（如检查井盖板），划定预制场地，配备混凝土搅拌机、振动台等设备，与其他加工区保持一定距离，避免相互干扰。</w:t>
      </w:r>
    </w:p>
    <w:p w14:paraId="18239E96">
      <w:pPr>
        <w:bidi w:val="0"/>
        <w:rPr>
          <w:rFonts w:hint="eastAsia"/>
          <w:lang w:val="en-US" w:eastAsia="zh-CN"/>
        </w:rPr>
      </w:pPr>
      <w:r>
        <w:rPr>
          <w:rFonts w:hint="eastAsia"/>
          <w:lang w:val="en-US" w:eastAsia="zh-CN"/>
        </w:rPr>
        <w:t>临时建筑物布置</w:t>
      </w:r>
    </w:p>
    <w:p w14:paraId="7DEE1A64">
      <w:pPr>
        <w:bidi w:val="0"/>
        <w:rPr>
          <w:rFonts w:hint="eastAsia"/>
          <w:lang w:val="en-US" w:eastAsia="zh-CN"/>
        </w:rPr>
      </w:pPr>
      <w:r>
        <w:rPr>
          <w:rFonts w:hint="eastAsia"/>
          <w:lang w:val="en-US" w:eastAsia="zh-CN"/>
        </w:rPr>
        <w:t>办公区：设置项目管理办公室、监理办公室、技术资料室等，靠近施工现场入口或主要管理区域，方便与各方沟通协调，资料室需妥善保管水处理工艺图纸、管道安装规范等技术文件。</w:t>
      </w:r>
    </w:p>
    <w:p w14:paraId="36EE5C23">
      <w:pPr>
        <w:bidi w:val="0"/>
        <w:rPr>
          <w:rFonts w:hint="eastAsia"/>
          <w:lang w:val="en-US" w:eastAsia="zh-CN"/>
        </w:rPr>
      </w:pPr>
      <w:r>
        <w:rPr>
          <w:rFonts w:hint="eastAsia"/>
          <w:lang w:val="en-US" w:eastAsia="zh-CN"/>
        </w:rPr>
        <w:t>生活区：宿舍、食堂、卫生间等生活设施远离施工区和材料堆场，尤其远离药剂仓库，保证生活环境整洁卫生，食堂符合食品卫生标准，从业人员持健康证上岗。</w:t>
      </w:r>
    </w:p>
    <w:p w14:paraId="794EFDAB">
      <w:pPr>
        <w:bidi w:val="0"/>
        <w:rPr>
          <w:rFonts w:hint="eastAsia"/>
          <w:lang w:val="en-US" w:eastAsia="zh-CN"/>
        </w:rPr>
      </w:pPr>
      <w:r>
        <w:rPr>
          <w:rFonts w:hint="eastAsia"/>
          <w:lang w:val="en-US" w:eastAsia="zh-CN"/>
        </w:rPr>
        <w:t>仓库：除药剂专用仓库外，设置设备仓库存放水泵、阀门、电气设备等，仓库需防潮、防尘、防盗；设置工具仓库存放施工机具，定期进行维护保养。</w:t>
      </w:r>
    </w:p>
    <w:p w14:paraId="48E438B6">
      <w:pPr>
        <w:bidi w:val="0"/>
        <w:rPr>
          <w:rFonts w:hint="eastAsia"/>
          <w:lang w:val="en-US" w:eastAsia="zh-CN"/>
        </w:rPr>
      </w:pPr>
      <w:r>
        <w:rPr>
          <w:rFonts w:hint="eastAsia"/>
          <w:lang w:val="en-US" w:eastAsia="zh-CN"/>
        </w:rPr>
        <w:t>机械设备布置</w:t>
      </w:r>
    </w:p>
    <w:p w14:paraId="162D782A">
      <w:pPr>
        <w:bidi w:val="0"/>
        <w:rPr>
          <w:rFonts w:hint="eastAsia"/>
          <w:lang w:val="en-US" w:eastAsia="zh-CN"/>
        </w:rPr>
      </w:pPr>
      <w:r>
        <w:rPr>
          <w:rFonts w:hint="eastAsia"/>
          <w:lang w:val="en-US" w:eastAsia="zh-CN"/>
        </w:rPr>
        <w:t>大型设备停放区：挖掘机、起重机、压路机等用于基坑开挖、设备吊装、场地平整的大型机械，停放在地基坚实、视野开阔的区域，靠近取水工程或大型构筑物施工区，方便随时调用。</w:t>
      </w:r>
    </w:p>
    <w:p w14:paraId="2B32FB6E">
      <w:pPr>
        <w:bidi w:val="0"/>
        <w:rPr>
          <w:rFonts w:hint="eastAsia"/>
          <w:lang w:val="en-US" w:eastAsia="zh-CN"/>
        </w:rPr>
      </w:pPr>
      <w:r>
        <w:rPr>
          <w:rFonts w:hint="eastAsia"/>
          <w:lang w:val="en-US" w:eastAsia="zh-CN"/>
        </w:rPr>
        <w:t>中小型设备作业区：电焊机、套丝机、打压泵等中小型设备，根据施工需求分散布置在各作业区附近，如管网施工区旁设置打压泵，便于管道试压作业。</w:t>
      </w:r>
    </w:p>
    <w:p w14:paraId="725A608B">
      <w:pPr>
        <w:bidi w:val="0"/>
        <w:rPr>
          <w:rFonts w:hint="eastAsia"/>
          <w:lang w:val="en-US" w:eastAsia="zh-CN"/>
        </w:rPr>
      </w:pPr>
      <w:r>
        <w:rPr>
          <w:rFonts w:hint="eastAsia"/>
          <w:lang w:val="en-US" w:eastAsia="zh-CN"/>
        </w:rPr>
        <w:t>混凝土搅拌设备：若现场搅拌混凝土，将搅拌站设置在水处理构筑物和泵房施工区之间，靠近砂石、水泥堆场，搅拌站周边设置沉淀池，处理冲洗废水。</w:t>
      </w:r>
    </w:p>
    <w:p w14:paraId="0EF94FF6">
      <w:pPr>
        <w:bidi w:val="0"/>
        <w:rPr>
          <w:rFonts w:hint="eastAsia"/>
          <w:lang w:val="en-US" w:eastAsia="zh-CN"/>
        </w:rPr>
      </w:pPr>
      <w:r>
        <w:rPr>
          <w:rFonts w:hint="eastAsia"/>
          <w:lang w:val="en-US" w:eastAsia="zh-CN"/>
        </w:rPr>
        <w:t>临时道路与水电布置</w:t>
      </w:r>
    </w:p>
    <w:p w14:paraId="6021D365">
      <w:pPr>
        <w:bidi w:val="0"/>
        <w:rPr>
          <w:rFonts w:hint="eastAsia"/>
          <w:lang w:val="en-US" w:eastAsia="zh-CN"/>
        </w:rPr>
      </w:pPr>
      <w:r>
        <w:rPr>
          <w:rFonts w:hint="eastAsia"/>
          <w:lang w:val="en-US" w:eastAsia="zh-CN"/>
        </w:rPr>
        <w:t>临时道路：主干道连接施工入口与各主要施工区（取水工程、水处理区、泵房区），宽度不小于 4m，满足大型设备和管材运输需求；支道通向各作业面，路面硬化处理，设置错车道和排水边沟。</w:t>
      </w:r>
    </w:p>
    <w:p w14:paraId="67FF479A">
      <w:pPr>
        <w:bidi w:val="0"/>
        <w:rPr>
          <w:rFonts w:hint="eastAsia"/>
          <w:lang w:val="en-US" w:eastAsia="zh-CN"/>
        </w:rPr>
      </w:pPr>
      <w:r>
        <w:rPr>
          <w:rFonts w:hint="eastAsia"/>
          <w:lang w:val="en-US" w:eastAsia="zh-CN"/>
        </w:rPr>
        <w:t>临时供水：从附近水源或临时水井接引供水管线，覆盖各施工区及生活区，在混凝土养护区、设备冲洗区设置专用水龙头，管道布置避免与施工道路和基坑冲突。</w:t>
      </w:r>
    </w:p>
    <w:p w14:paraId="4616D3C3">
      <w:pPr>
        <w:bidi w:val="0"/>
        <w:rPr>
          <w:rFonts w:hint="eastAsia"/>
          <w:lang w:val="en-US" w:eastAsia="zh-CN"/>
        </w:rPr>
      </w:pPr>
      <w:r>
        <w:rPr>
          <w:rFonts w:hint="eastAsia"/>
          <w:lang w:val="en-US" w:eastAsia="zh-CN"/>
        </w:rPr>
        <w:t>临时供电：根据施工用电负荷，设置总配电箱和分配电箱，采用架空或埋地方式敷设电缆，取水工程、泵房等用电密集区单独设置配电箱，配备应急发电机，防止突发停电影响关键工序施工。</w:t>
      </w:r>
    </w:p>
    <w:p w14:paraId="67E66C4B">
      <w:pPr>
        <w:bidi w:val="0"/>
        <w:rPr>
          <w:rFonts w:hint="eastAsia"/>
          <w:lang w:val="en-US" w:eastAsia="zh-CN"/>
        </w:rPr>
      </w:pPr>
      <w:r>
        <w:rPr>
          <w:rFonts w:hint="eastAsia"/>
          <w:lang w:val="en-US" w:eastAsia="zh-CN"/>
        </w:rPr>
        <w:t>消防与环保设施布置</w:t>
      </w:r>
    </w:p>
    <w:p w14:paraId="53D3A5E9">
      <w:pPr>
        <w:bidi w:val="0"/>
        <w:rPr>
          <w:rFonts w:hint="eastAsia"/>
          <w:lang w:val="en-US" w:eastAsia="zh-CN"/>
        </w:rPr>
      </w:pPr>
      <w:r>
        <w:rPr>
          <w:rFonts w:hint="eastAsia"/>
          <w:lang w:val="en-US" w:eastAsia="zh-CN"/>
        </w:rPr>
        <w:t>消防设施：在易燃材料堆场（如管材堆场、仓库）、加工区及生活区设置消防栓和灭火器，消防栓间距不大于 50m，保证消防水源充足，消防通道畅通无阻。</w:t>
      </w:r>
    </w:p>
    <w:p w14:paraId="26B0F00B">
      <w:pPr>
        <w:bidi w:val="0"/>
        <w:rPr>
          <w:rFonts w:hint="eastAsia"/>
          <w:lang w:val="en-US" w:eastAsia="zh-CN"/>
        </w:rPr>
      </w:pPr>
      <w:r>
        <w:rPr>
          <w:rFonts w:hint="eastAsia"/>
          <w:lang w:val="en-US" w:eastAsia="zh-CN"/>
        </w:rPr>
        <w:t>环保设施：施工废水（如基坑排水、混凝土养护水）经沉淀池处理后回用或排放；生活污水经化粪池处理；设置分类垃圾池，回收建筑垃圾和生活垃圾，定期清运；在施工场地周边设置围挡，减少扬尘和噪音污染，尤其在靠近居民区或水源保护区的区域，增加隔音措施。</w:t>
      </w:r>
    </w:p>
    <w:p w14:paraId="64C7E470">
      <w:pPr>
        <w:pStyle w:val="3"/>
        <w:bidi w:val="0"/>
        <w:rPr>
          <w:rFonts w:hint="eastAsia"/>
          <w:lang w:val="en-US" w:eastAsia="zh-CN"/>
        </w:rPr>
      </w:pPr>
      <w:bookmarkStart w:id="156" w:name="_Toc17166"/>
      <w:r>
        <w:rPr>
          <w:rFonts w:hint="eastAsia"/>
          <w:lang w:val="en-US" w:eastAsia="zh-CN"/>
        </w:rPr>
        <w:t>第四节、分区规划</w:t>
      </w:r>
      <w:bookmarkEnd w:id="156"/>
    </w:p>
    <w:p w14:paraId="044F0362">
      <w:pPr>
        <w:bidi w:val="0"/>
        <w:rPr>
          <w:rFonts w:hint="eastAsia"/>
          <w:lang w:val="en-US" w:eastAsia="zh-CN"/>
        </w:rPr>
      </w:pPr>
      <w:r>
        <w:rPr>
          <w:rFonts w:hint="eastAsia"/>
          <w:lang w:val="en-US" w:eastAsia="zh-CN"/>
        </w:rPr>
        <w:t>核心施工区</w:t>
      </w:r>
    </w:p>
    <w:p w14:paraId="6EBE1E5D">
      <w:pPr>
        <w:bidi w:val="0"/>
        <w:rPr>
          <w:rFonts w:hint="eastAsia"/>
          <w:lang w:val="en-US" w:eastAsia="zh-CN"/>
        </w:rPr>
      </w:pPr>
      <w:r>
        <w:rPr>
          <w:rFonts w:hint="eastAsia"/>
          <w:lang w:val="en-US" w:eastAsia="zh-CN"/>
        </w:rPr>
        <w:t>取水及输水头部区：包含取水头部施工平台、引水管沟开挖作业带，设置泥浆沉淀池处理钻孔或开挖产生的泥浆，防止污染水源，周边设置安全护栏和警示标志。</w:t>
      </w:r>
    </w:p>
    <w:p w14:paraId="37EE60D4">
      <w:pPr>
        <w:bidi w:val="0"/>
        <w:rPr>
          <w:rFonts w:hint="eastAsia"/>
          <w:lang w:val="en-US" w:eastAsia="zh-CN"/>
        </w:rPr>
      </w:pPr>
      <w:r>
        <w:rPr>
          <w:rFonts w:hint="eastAsia"/>
          <w:lang w:val="en-US" w:eastAsia="zh-CN"/>
        </w:rPr>
        <w:t>水处理厂区：划分沉淀池、滤池、清水池等构筑物的施工分区，各分区之间保留足够的作业通道和材料堆放空间，按照施工顺序（先地下后地上、先结构后设备）布置临时设施。</w:t>
      </w:r>
    </w:p>
    <w:p w14:paraId="5BC56B93">
      <w:pPr>
        <w:bidi w:val="0"/>
        <w:rPr>
          <w:rFonts w:hint="eastAsia"/>
          <w:lang w:val="en-US" w:eastAsia="zh-CN"/>
        </w:rPr>
      </w:pPr>
      <w:r>
        <w:rPr>
          <w:rFonts w:hint="eastAsia"/>
          <w:lang w:val="en-US" w:eastAsia="zh-CN"/>
        </w:rPr>
        <w:t>泵房区：分为泵房基础施工区、设备安装区和电气控制室施工区，保证设备运输通道与安装位置直接相连，预留设备调试空间。</w:t>
      </w:r>
    </w:p>
    <w:p w14:paraId="15718F22">
      <w:pPr>
        <w:bidi w:val="0"/>
        <w:rPr>
          <w:rFonts w:hint="eastAsia"/>
          <w:lang w:val="en-US" w:eastAsia="zh-CN"/>
        </w:rPr>
      </w:pPr>
      <w:r>
        <w:rPr>
          <w:rFonts w:hint="eastAsia"/>
          <w:lang w:val="en-US" w:eastAsia="zh-CN"/>
        </w:rPr>
        <w:t>辅助作业区</w:t>
      </w:r>
    </w:p>
    <w:p w14:paraId="6D604B27">
      <w:pPr>
        <w:bidi w:val="0"/>
        <w:rPr>
          <w:rFonts w:hint="eastAsia"/>
          <w:lang w:val="en-US" w:eastAsia="zh-CN"/>
        </w:rPr>
      </w:pPr>
      <w:r>
        <w:rPr>
          <w:rFonts w:hint="eastAsia"/>
          <w:lang w:val="en-US" w:eastAsia="zh-CN"/>
        </w:rPr>
        <w:t>材料存储与加工区：集中布置各类材料堆场和加工场地，形成材料供应中心，通过临时道路与各施工区连接，提高材料周转效率。</w:t>
      </w:r>
    </w:p>
    <w:p w14:paraId="2AD65C79">
      <w:pPr>
        <w:bidi w:val="0"/>
        <w:rPr>
          <w:rFonts w:hint="eastAsia"/>
          <w:lang w:val="en-US" w:eastAsia="zh-CN"/>
        </w:rPr>
      </w:pPr>
      <w:r>
        <w:rPr>
          <w:rFonts w:hint="eastAsia"/>
          <w:lang w:val="en-US" w:eastAsia="zh-CN"/>
        </w:rPr>
        <w:t>临时设施集中区：将办公区、生活区、仓库等临时建筑物集中布置在施工区边缘，与核心施工区保持适当距离，减少施工干扰，同时方便管理。</w:t>
      </w:r>
    </w:p>
    <w:p w14:paraId="63439676">
      <w:pPr>
        <w:bidi w:val="0"/>
        <w:rPr>
          <w:rFonts w:hint="eastAsia"/>
          <w:lang w:val="en-US" w:eastAsia="zh-CN"/>
        </w:rPr>
      </w:pPr>
      <w:r>
        <w:rPr>
          <w:rFonts w:hint="eastAsia"/>
          <w:lang w:val="en-US" w:eastAsia="zh-CN"/>
        </w:rPr>
        <w:t>管网施工临时区</w:t>
      </w:r>
    </w:p>
    <w:p w14:paraId="22AC957B">
      <w:pPr>
        <w:bidi w:val="0"/>
        <w:rPr>
          <w:rFonts w:hint="eastAsia"/>
          <w:lang w:val="en-US" w:eastAsia="zh-CN"/>
        </w:rPr>
      </w:pPr>
      <w:r>
        <w:rPr>
          <w:rFonts w:hint="eastAsia"/>
          <w:lang w:val="en-US" w:eastAsia="zh-CN"/>
        </w:rPr>
        <w:t>沿线路材堆放带：在输配水管网铺设路线旁，每隔一定距离设置临时管材堆放点，避免长距离搬运，堆放点不得占用消防通道和影响居民通行。</w:t>
      </w:r>
    </w:p>
    <w:p w14:paraId="51CE9A50">
      <w:pPr>
        <w:bidi w:val="0"/>
        <w:rPr>
          <w:rFonts w:hint="eastAsia"/>
          <w:lang w:val="en-US" w:eastAsia="zh-CN"/>
        </w:rPr>
      </w:pPr>
      <w:r>
        <w:rPr>
          <w:rFonts w:hint="eastAsia"/>
          <w:lang w:val="en-US" w:eastAsia="zh-CN"/>
        </w:rPr>
        <w:t>接口作业区：在管道连接位置划定作业区，设置警示围挡，配备必要的工具和安全防护设施，保证接口施工质量。</w:t>
      </w:r>
    </w:p>
    <w:p w14:paraId="0A95297D">
      <w:pPr>
        <w:pStyle w:val="3"/>
        <w:bidi w:val="0"/>
        <w:rPr>
          <w:rFonts w:hint="eastAsia"/>
          <w:lang w:val="en-US" w:eastAsia="zh-CN"/>
        </w:rPr>
      </w:pPr>
      <w:bookmarkStart w:id="157" w:name="_Toc27175"/>
      <w:r>
        <w:rPr>
          <w:rFonts w:hint="eastAsia"/>
          <w:lang w:val="en-US" w:eastAsia="zh-CN"/>
        </w:rPr>
        <w:t>第五节、布置步骤</w:t>
      </w:r>
      <w:bookmarkEnd w:id="157"/>
    </w:p>
    <w:p w14:paraId="24C8854B">
      <w:pPr>
        <w:bidi w:val="0"/>
        <w:rPr>
          <w:rFonts w:hint="eastAsia"/>
          <w:lang w:val="en-US" w:eastAsia="zh-CN"/>
        </w:rPr>
      </w:pPr>
      <w:r>
        <w:rPr>
          <w:rFonts w:hint="eastAsia"/>
          <w:lang w:val="en-US" w:eastAsia="zh-CN"/>
        </w:rPr>
        <w:t>资料收集与分析：收集供水项目施工图（包括取水、水处理、管网等）、地质勘察报告、场地地形图、周边水源分布、地下管线探测资料等，分析各构筑物的尺寸、施工顺序及设备需求。</w:t>
      </w:r>
    </w:p>
    <w:p w14:paraId="4A110E70">
      <w:pPr>
        <w:bidi w:val="0"/>
        <w:rPr>
          <w:rFonts w:hint="eastAsia"/>
          <w:lang w:val="en-US" w:eastAsia="zh-CN"/>
        </w:rPr>
      </w:pPr>
      <w:r>
        <w:rPr>
          <w:rFonts w:hint="eastAsia"/>
          <w:lang w:val="en-US" w:eastAsia="zh-CN"/>
        </w:rPr>
        <w:t>确定核心区域：优先划定取水工程、水处理构筑物、泵房等核心施工区的位置和范围，根据其平面尺寸和施工工艺要求，预留足够的作业空间。</w:t>
      </w:r>
    </w:p>
    <w:p w14:paraId="62673AD7">
      <w:pPr>
        <w:bidi w:val="0"/>
        <w:rPr>
          <w:rFonts w:hint="eastAsia"/>
          <w:lang w:val="en-US" w:eastAsia="zh-CN"/>
        </w:rPr>
      </w:pPr>
      <w:r>
        <w:rPr>
          <w:rFonts w:hint="eastAsia"/>
          <w:lang w:val="en-US" w:eastAsia="zh-CN"/>
        </w:rPr>
        <w:t>布置辅助设施：围绕核心施工区，布置材料堆场、加工场地、机械设备停放区等辅助设施，确保运输路线短捷，减少交叉作业。</w:t>
      </w:r>
    </w:p>
    <w:p w14:paraId="7F3040AC">
      <w:pPr>
        <w:bidi w:val="0"/>
        <w:rPr>
          <w:rFonts w:hint="eastAsia"/>
          <w:lang w:val="en-US" w:eastAsia="zh-CN"/>
        </w:rPr>
      </w:pPr>
      <w:r>
        <w:rPr>
          <w:rFonts w:hint="eastAsia"/>
          <w:lang w:val="en-US" w:eastAsia="zh-CN"/>
        </w:rPr>
        <w:t>规划临时建筑与管线：在施工区边缘布置办公、生活等临时建筑物，合理规划临时道路、供水、供电及消防管线，确保满足施工和安全需求。</w:t>
      </w:r>
    </w:p>
    <w:p w14:paraId="52BC9C62">
      <w:pPr>
        <w:bidi w:val="0"/>
        <w:rPr>
          <w:rFonts w:hint="eastAsia"/>
          <w:lang w:val="en-US" w:eastAsia="zh-CN"/>
        </w:rPr>
      </w:pPr>
      <w:r>
        <w:rPr>
          <w:rFonts w:hint="eastAsia"/>
          <w:lang w:val="en-US" w:eastAsia="zh-CN"/>
        </w:rPr>
        <w:t>绘制布置图与审批：绘制施工总平面布置图及分区详图，标明各区域尺寸、设施位置及管线走向，报项目管理部门和监理单位审批后实施。</w:t>
      </w:r>
    </w:p>
    <w:p w14:paraId="35191522">
      <w:pPr>
        <w:bidi w:val="0"/>
        <w:rPr>
          <w:rFonts w:hint="eastAsia"/>
          <w:lang w:val="en-US" w:eastAsia="zh-CN"/>
        </w:rPr>
      </w:pPr>
      <w:r>
        <w:rPr>
          <w:rFonts w:hint="eastAsia"/>
          <w:lang w:val="en-US" w:eastAsia="zh-CN"/>
        </w:rPr>
        <w:t>动态调整：在取水工程完成后，调整场地布置以适应水处理构筑物施工；管网铺设阶段，根据路段施工进度，灵活调整沿线临时堆放点和作业区。</w:t>
      </w:r>
    </w:p>
    <w:p w14:paraId="79E55575">
      <w:pPr>
        <w:pStyle w:val="3"/>
        <w:bidi w:val="0"/>
        <w:rPr>
          <w:rFonts w:hint="eastAsia"/>
          <w:lang w:val="en-US" w:eastAsia="zh-CN"/>
        </w:rPr>
      </w:pPr>
      <w:bookmarkStart w:id="158" w:name="_Toc926"/>
      <w:r>
        <w:rPr>
          <w:rFonts w:hint="eastAsia"/>
          <w:lang w:val="en-US" w:eastAsia="zh-CN"/>
        </w:rPr>
        <w:t>第六节、管理措施</w:t>
      </w:r>
      <w:bookmarkEnd w:id="158"/>
    </w:p>
    <w:p w14:paraId="57AC6201">
      <w:pPr>
        <w:bidi w:val="0"/>
        <w:rPr>
          <w:rFonts w:hint="eastAsia"/>
          <w:lang w:val="en-US" w:eastAsia="zh-CN"/>
        </w:rPr>
      </w:pPr>
      <w:r>
        <w:rPr>
          <w:rFonts w:hint="eastAsia"/>
          <w:lang w:val="en-US" w:eastAsia="zh-CN"/>
        </w:rPr>
        <w:t>分区管理责任：明确各施工区、材料区的管理责任人，负责区域内的场地整洁、材料堆放有序及安全防护设施完好，每日进行巡查记录。</w:t>
      </w:r>
    </w:p>
    <w:p w14:paraId="46365897">
      <w:pPr>
        <w:bidi w:val="0"/>
        <w:rPr>
          <w:rFonts w:hint="eastAsia"/>
          <w:lang w:val="en-US" w:eastAsia="zh-CN"/>
        </w:rPr>
      </w:pPr>
      <w:r>
        <w:rPr>
          <w:rFonts w:hint="eastAsia"/>
          <w:lang w:val="en-US" w:eastAsia="zh-CN"/>
        </w:rPr>
        <w:t>安全管控：对深基坑（如清水池基础）、高边坡（如取水岸边坡）等危险部位，设置专项防护设施和监测点；对水处理药剂的运输、储存和使用进行严格管控，制定应急预案。</w:t>
      </w:r>
    </w:p>
    <w:p w14:paraId="5EDAAFAF">
      <w:pPr>
        <w:bidi w:val="0"/>
        <w:rPr>
          <w:rFonts w:hint="eastAsia"/>
          <w:lang w:val="en-US" w:eastAsia="zh-CN"/>
        </w:rPr>
      </w:pPr>
      <w:r>
        <w:rPr>
          <w:rFonts w:hint="eastAsia"/>
          <w:lang w:val="en-US" w:eastAsia="zh-CN"/>
        </w:rPr>
        <w:t>环保监测：定期监测施工场地周边水质、空气质量及噪音水平，尤其关注对取水水源的影响，发现超标及时采取整改措施。</w:t>
      </w:r>
    </w:p>
    <w:p w14:paraId="25747F97">
      <w:pPr>
        <w:bidi w:val="0"/>
        <w:rPr>
          <w:rFonts w:hint="eastAsia"/>
          <w:lang w:val="en-US" w:eastAsia="zh-CN"/>
        </w:rPr>
      </w:pPr>
      <w:r>
        <w:rPr>
          <w:rFonts w:hint="eastAsia"/>
          <w:lang w:val="en-US" w:eastAsia="zh-CN"/>
        </w:rPr>
        <w:t>进度协同：根据施工进度计划，提前调整平面布置，如在水处理设备安装阶段，清理构筑物周边材料，腾出安装场地，确保各工序衔接顺畅。</w:t>
      </w:r>
    </w:p>
    <w:p w14:paraId="50BA1E8D">
      <w:pPr>
        <w:pStyle w:val="3"/>
        <w:bidi w:val="0"/>
        <w:rPr>
          <w:rFonts w:hint="eastAsia"/>
          <w:lang w:val="en-US" w:eastAsia="zh-CN"/>
        </w:rPr>
      </w:pPr>
      <w:bookmarkStart w:id="159" w:name="_Toc25937"/>
      <w:r>
        <w:rPr>
          <w:rFonts w:hint="eastAsia"/>
          <w:lang w:val="en-US" w:eastAsia="zh-CN"/>
        </w:rPr>
        <w:t>第七节、附图要求</w:t>
      </w:r>
      <w:bookmarkEnd w:id="159"/>
    </w:p>
    <w:p w14:paraId="743B48AA">
      <w:pPr>
        <w:bidi w:val="0"/>
        <w:rPr>
          <w:rFonts w:hint="eastAsia"/>
          <w:lang w:val="en-US" w:eastAsia="zh-CN"/>
        </w:rPr>
      </w:pPr>
      <w:r>
        <w:rPr>
          <w:rFonts w:hint="eastAsia"/>
          <w:lang w:val="en-US" w:eastAsia="zh-CN"/>
        </w:rPr>
        <w:t>施工总平面布置图：标明核心施工区、辅助作业区、临时建筑区的位置，以及临时道路、水电管线、消防设施的布置，突出取水点、水处理构筑物等关键位置。</w:t>
      </w:r>
    </w:p>
    <w:p w14:paraId="45AA9269">
      <w:pPr>
        <w:bidi w:val="0"/>
        <w:rPr>
          <w:rFonts w:hint="eastAsia"/>
          <w:lang w:val="en-US" w:eastAsia="zh-CN"/>
        </w:rPr>
      </w:pPr>
      <w:r>
        <w:rPr>
          <w:rFonts w:hint="eastAsia"/>
          <w:lang w:val="en-US" w:eastAsia="zh-CN"/>
        </w:rPr>
        <w:t>分区布置详图：包括取水工程施工区、水处理厂区、泵房区等分区的详细布置，标注各构筑物施工边界、材料堆放范围及设备停放位置。</w:t>
      </w:r>
    </w:p>
    <w:p w14:paraId="3A9D94D6">
      <w:pPr>
        <w:bidi w:val="0"/>
        <w:rPr>
          <w:rFonts w:hint="eastAsia"/>
          <w:lang w:val="en-US" w:eastAsia="zh-CN"/>
        </w:rPr>
      </w:pPr>
      <w:r>
        <w:rPr>
          <w:rFonts w:hint="eastAsia"/>
          <w:lang w:val="en-US" w:eastAsia="zh-CN"/>
        </w:rPr>
        <w:t>管网施工沿线布置图：标明输配水管网沿线的临时管材堆放点、作业区及警示设施位置，与周边建筑物和地下管线的距离。</w:t>
      </w:r>
    </w:p>
    <w:p w14:paraId="7E89227B">
      <w:pPr>
        <w:bidi w:val="0"/>
        <w:rPr>
          <w:rFonts w:hint="eastAsia"/>
          <w:lang w:val="en-US" w:eastAsia="zh-CN"/>
        </w:rPr>
      </w:pPr>
      <w:r>
        <w:rPr>
          <w:rFonts w:hint="eastAsia"/>
          <w:lang w:val="en-US" w:eastAsia="zh-CN"/>
        </w:rPr>
        <w:t>安全与环保设施布置图：单独绘制深基坑防护、药剂仓库安全设施、污水处理设施等的布置情况，确保符合安全环保要求。</w:t>
      </w:r>
    </w:p>
    <w:p w14:paraId="6A6B65E1">
      <w:pPr>
        <w:rPr>
          <w:rFonts w:hint="eastAsia"/>
        </w:rPr>
      </w:pPr>
      <w:r>
        <w:rPr>
          <w:rFonts w:hint="eastAsia"/>
        </w:rPr>
        <w:br w:type="page"/>
      </w:r>
    </w:p>
    <w:p w14:paraId="5EAFC867">
      <w:pPr>
        <w:pStyle w:val="2"/>
        <w:spacing w:before="156" w:after="156"/>
        <w:rPr>
          <w:rFonts w:hint="eastAsia" w:eastAsia="宋体"/>
          <w:lang w:val="en-US" w:eastAsia="zh-CN"/>
        </w:rPr>
      </w:pPr>
      <w:bookmarkStart w:id="160" w:name="_Toc9535"/>
      <w:r>
        <w:rPr>
          <w:rFonts w:hint="eastAsia"/>
        </w:rPr>
        <w:t>第</w:t>
      </w:r>
      <w:r>
        <w:rPr>
          <w:rFonts w:hint="eastAsia"/>
          <w:lang w:val="en-US" w:eastAsia="zh-CN"/>
        </w:rPr>
        <w:t>五</w:t>
      </w:r>
      <w:r>
        <w:rPr>
          <w:rFonts w:hint="eastAsia"/>
        </w:rPr>
        <w:t>章、</w:t>
      </w:r>
      <w:bookmarkEnd w:id="137"/>
      <w:bookmarkEnd w:id="138"/>
      <w:bookmarkEnd w:id="139"/>
      <w:r>
        <w:rPr>
          <w:rFonts w:hint="eastAsia"/>
        </w:rPr>
        <w:t>工程施工管理</w:t>
      </w:r>
      <w:r>
        <w:rPr>
          <w:rFonts w:hint="eastAsia"/>
          <w:lang w:val="en-US" w:eastAsia="zh-CN"/>
        </w:rPr>
        <w:t>方案</w:t>
      </w:r>
      <w:bookmarkEnd w:id="160"/>
    </w:p>
    <w:p w14:paraId="509084C4">
      <w:pPr>
        <w:pStyle w:val="3"/>
      </w:pPr>
      <w:bookmarkStart w:id="161" w:name="_Toc29481"/>
      <w:bookmarkStart w:id="162" w:name="_Toc12677"/>
      <w:bookmarkStart w:id="163" w:name="_Toc27390"/>
      <w:bookmarkStart w:id="164" w:name="_Toc20131"/>
      <w:r>
        <w:rPr>
          <w:rFonts w:hint="eastAsia"/>
        </w:rPr>
        <w:t>第一节、</w:t>
      </w:r>
      <w:r>
        <w:t>安全文明作业管理制度</w:t>
      </w:r>
      <w:bookmarkEnd w:id="161"/>
      <w:bookmarkEnd w:id="162"/>
      <w:bookmarkEnd w:id="163"/>
      <w:bookmarkEnd w:id="164"/>
    </w:p>
    <w:p w14:paraId="23F5736E">
      <w:pPr>
        <w:pStyle w:val="4"/>
        <w:spacing w:before="93" w:after="31"/>
      </w:pPr>
      <w:bookmarkStart w:id="165" w:name="_Toc1440"/>
      <w:bookmarkStart w:id="166" w:name="_Toc29926"/>
      <w:bookmarkStart w:id="167" w:name="_Toc15693"/>
      <w:bookmarkStart w:id="168" w:name="_Toc20008"/>
      <w:bookmarkStart w:id="169" w:name="_Toc4082"/>
      <w:bookmarkStart w:id="170" w:name="_Toc31220"/>
      <w:bookmarkStart w:id="171" w:name="_Toc10140"/>
      <w:bookmarkStart w:id="172" w:name="_Toc3768"/>
      <w:bookmarkStart w:id="173" w:name="_Toc9514"/>
      <w:bookmarkStart w:id="174" w:name="_Toc8649"/>
      <w:bookmarkStart w:id="175" w:name="_Toc17676"/>
      <w:bookmarkStart w:id="176" w:name="_Toc30051"/>
      <w:bookmarkStart w:id="177" w:name="_Toc9261"/>
      <w:bookmarkStart w:id="178" w:name="_Toc3786"/>
      <w:bookmarkStart w:id="179" w:name="_Toc12254"/>
      <w:bookmarkStart w:id="180" w:name="_Toc3356"/>
      <w:bookmarkStart w:id="181" w:name="_Toc11696"/>
      <w:bookmarkStart w:id="182" w:name="_Toc13039"/>
      <w:bookmarkStart w:id="183" w:name="_Toc20887"/>
      <w:bookmarkStart w:id="184" w:name="_Toc15963"/>
      <w:bookmarkStart w:id="185" w:name="_Toc26683"/>
      <w:bookmarkStart w:id="186" w:name="_Toc17043"/>
      <w:bookmarkStart w:id="187" w:name="_Toc24630"/>
      <w:bookmarkStart w:id="188" w:name="_Toc31996"/>
      <w:bookmarkStart w:id="189" w:name="_Toc828"/>
      <w:bookmarkStart w:id="190" w:name="_Toc13416"/>
      <w:bookmarkStart w:id="191" w:name="_Toc20497"/>
      <w:bookmarkStart w:id="192" w:name="_Toc21086"/>
      <w:bookmarkStart w:id="193" w:name="_Toc2410"/>
      <w:bookmarkStart w:id="194" w:name="_Toc29276"/>
      <w:bookmarkStart w:id="195" w:name="_Toc3448"/>
      <w:bookmarkStart w:id="196" w:name="_Toc20414"/>
      <w:bookmarkStart w:id="197" w:name="_Toc30485"/>
      <w:bookmarkStart w:id="198" w:name="_Toc15686"/>
      <w:bookmarkStart w:id="199" w:name="_Toc28328"/>
      <w:bookmarkStart w:id="200" w:name="_Toc21069"/>
      <w:bookmarkStart w:id="201" w:name="_Toc13413"/>
      <w:bookmarkStart w:id="202" w:name="_Toc27514"/>
      <w:bookmarkStart w:id="203" w:name="_Toc4495"/>
      <w:bookmarkStart w:id="204" w:name="_Toc13955"/>
      <w:bookmarkStart w:id="205" w:name="_Toc31688"/>
      <w:bookmarkStart w:id="206" w:name="_Toc3189"/>
      <w:bookmarkStart w:id="207" w:name="_Toc17611"/>
      <w:bookmarkStart w:id="208" w:name="_Toc26761"/>
      <w:bookmarkStart w:id="209" w:name="_Toc5074"/>
      <w:bookmarkStart w:id="210" w:name="_Toc23268"/>
      <w:bookmarkStart w:id="211" w:name="_Toc16190"/>
      <w:bookmarkStart w:id="212" w:name="_Toc10797"/>
      <w:bookmarkStart w:id="213" w:name="_Toc31319"/>
      <w:bookmarkStart w:id="214" w:name="_Toc5491"/>
      <w:bookmarkStart w:id="215" w:name="_Toc16640"/>
      <w:bookmarkStart w:id="216" w:name="_Toc13367"/>
      <w:bookmarkStart w:id="217" w:name="_Toc25972"/>
      <w:bookmarkStart w:id="218" w:name="_Toc15213"/>
      <w:bookmarkStart w:id="219" w:name="_Toc20841"/>
      <w:bookmarkStart w:id="220" w:name="_Toc2837"/>
      <w:bookmarkStart w:id="221" w:name="_Toc25506"/>
      <w:bookmarkStart w:id="222" w:name="_Toc15637"/>
      <w:bookmarkStart w:id="223" w:name="_Toc20546"/>
      <w:r>
        <w:rPr>
          <w:rFonts w:hint="eastAsia"/>
        </w:rPr>
        <w:t>一、安全目标管理措施</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14:paraId="7D83EF9B">
      <w:pPr>
        <w:pStyle w:val="5"/>
        <w:spacing w:before="31" w:after="31"/>
        <w:ind w:firstLine="562"/>
      </w:pPr>
      <w:bookmarkStart w:id="224" w:name="_Toc1129"/>
      <w:bookmarkStart w:id="225" w:name="_Toc16389"/>
      <w:bookmarkStart w:id="226" w:name="_Toc27617"/>
      <w:bookmarkStart w:id="227" w:name="_Toc2147"/>
      <w:bookmarkStart w:id="228" w:name="_Toc17393"/>
      <w:bookmarkStart w:id="229" w:name="_Toc30879"/>
      <w:bookmarkStart w:id="230" w:name="_Toc8259"/>
      <w:bookmarkStart w:id="231" w:name="_Toc16365"/>
      <w:bookmarkStart w:id="232" w:name="_Toc4090"/>
      <w:bookmarkStart w:id="233" w:name="_Toc2380"/>
      <w:bookmarkStart w:id="234" w:name="_Toc13224"/>
      <w:bookmarkStart w:id="235" w:name="_Toc26739"/>
      <w:bookmarkStart w:id="236" w:name="_Toc30898"/>
      <w:bookmarkStart w:id="237" w:name="_Toc26703"/>
      <w:bookmarkStart w:id="238" w:name="_Toc15373"/>
      <w:bookmarkStart w:id="239" w:name="_Toc15261"/>
      <w:bookmarkStart w:id="240" w:name="_Toc26026"/>
      <w:bookmarkStart w:id="241" w:name="_Toc25145"/>
      <w:bookmarkStart w:id="242" w:name="_Toc29872"/>
      <w:bookmarkStart w:id="243" w:name="_Toc621"/>
      <w:bookmarkStart w:id="244" w:name="_Toc26948"/>
      <w:bookmarkStart w:id="245" w:name="_Toc7150"/>
      <w:bookmarkStart w:id="246" w:name="_Toc31679"/>
      <w:bookmarkStart w:id="247" w:name="_Toc11350"/>
      <w:bookmarkStart w:id="248" w:name="_Toc4215"/>
      <w:bookmarkStart w:id="249" w:name="_Toc8676"/>
      <w:bookmarkStart w:id="250" w:name="_Toc24205"/>
      <w:bookmarkStart w:id="251" w:name="_Toc32131"/>
      <w:bookmarkStart w:id="252" w:name="_Toc8192"/>
      <w:bookmarkStart w:id="253" w:name="_Toc31794"/>
      <w:bookmarkStart w:id="254" w:name="_Toc13120"/>
      <w:bookmarkStart w:id="255" w:name="_Toc25241"/>
      <w:bookmarkStart w:id="256" w:name="_Toc25787"/>
      <w:bookmarkStart w:id="257" w:name="_Toc25346"/>
      <w:bookmarkStart w:id="258" w:name="_Toc22610"/>
      <w:bookmarkStart w:id="259" w:name="_Toc3092"/>
      <w:bookmarkStart w:id="260" w:name="_Toc21971"/>
      <w:bookmarkStart w:id="261" w:name="_Toc25023"/>
      <w:bookmarkStart w:id="262" w:name="_Toc24792"/>
      <w:bookmarkStart w:id="263" w:name="_Toc32463"/>
      <w:bookmarkStart w:id="264" w:name="_Toc11797"/>
      <w:bookmarkStart w:id="265" w:name="_Toc11188"/>
      <w:bookmarkStart w:id="266" w:name="_Toc2136"/>
      <w:bookmarkStart w:id="267" w:name="_Toc29802"/>
      <w:bookmarkStart w:id="268" w:name="_Toc24854"/>
      <w:bookmarkStart w:id="269" w:name="_Toc27668"/>
      <w:bookmarkStart w:id="270" w:name="_Toc21099"/>
      <w:bookmarkStart w:id="271" w:name="_Toc16458"/>
      <w:bookmarkStart w:id="272" w:name="_Toc19425"/>
      <w:bookmarkStart w:id="273" w:name="_Toc24597"/>
      <w:bookmarkStart w:id="274" w:name="_Toc31012"/>
      <w:bookmarkStart w:id="275" w:name="_Toc26994"/>
      <w:bookmarkStart w:id="276" w:name="_Toc674"/>
      <w:bookmarkStart w:id="277" w:name="_Toc24031"/>
      <w:bookmarkStart w:id="278" w:name="_Toc17254"/>
      <w:bookmarkStart w:id="279" w:name="_Toc24271"/>
      <w:bookmarkStart w:id="280" w:name="_Toc8180"/>
      <w:bookmarkStart w:id="281" w:name="_Toc802"/>
      <w:bookmarkStart w:id="282" w:name="_Toc11319"/>
      <w:bookmarkStart w:id="283" w:name="_Toc26217"/>
      <w:bookmarkStart w:id="284" w:name="_Toc23123"/>
      <w:r>
        <w:rPr>
          <w:rFonts w:hint="eastAsia"/>
        </w:rPr>
        <w:t>（一）安全目标</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p>
    <w:p w14:paraId="0F468223">
      <w:pPr>
        <w:pStyle w:val="18"/>
        <w:ind w:firstLine="560" w:firstLineChars="200"/>
        <w:jc w:val="both"/>
        <w:rPr>
          <w:color w:val="000000"/>
          <w:lang w:val="en-US"/>
        </w:rPr>
      </w:pPr>
      <w:bookmarkStart w:id="285" w:name="_Toc30468"/>
      <w:bookmarkStart w:id="286" w:name="_Toc22334"/>
      <w:bookmarkStart w:id="287" w:name="_Toc28221"/>
      <w:bookmarkStart w:id="288" w:name="_Toc19209"/>
      <w:bookmarkStart w:id="289" w:name="_Toc25365"/>
      <w:bookmarkStart w:id="290" w:name="_Toc30553"/>
      <w:bookmarkStart w:id="291" w:name="_Toc14863"/>
      <w:bookmarkStart w:id="292" w:name="_Toc29205"/>
      <w:bookmarkStart w:id="293" w:name="_Toc29038"/>
      <w:bookmarkStart w:id="294" w:name="_Toc424"/>
      <w:bookmarkStart w:id="295" w:name="_Toc22795"/>
      <w:bookmarkStart w:id="296" w:name="_Toc6279"/>
      <w:bookmarkStart w:id="297" w:name="_Toc5442"/>
      <w:bookmarkStart w:id="298" w:name="_Toc20857"/>
      <w:bookmarkStart w:id="299" w:name="_Toc10693"/>
      <w:bookmarkStart w:id="300" w:name="_Toc23888"/>
      <w:bookmarkStart w:id="301" w:name="_Toc27858"/>
      <w:bookmarkStart w:id="302" w:name="_Toc31383"/>
      <w:bookmarkStart w:id="303" w:name="_Toc31539"/>
      <w:bookmarkStart w:id="304" w:name="_Toc24840"/>
      <w:bookmarkStart w:id="305" w:name="_Toc2800"/>
      <w:bookmarkStart w:id="306" w:name="_Toc20286"/>
      <w:bookmarkStart w:id="307" w:name="_Toc11217"/>
      <w:bookmarkStart w:id="308" w:name="_Toc151"/>
      <w:bookmarkStart w:id="309" w:name="_Toc32276"/>
      <w:bookmarkStart w:id="310" w:name="_Toc11522"/>
      <w:bookmarkStart w:id="311" w:name="_Toc29422"/>
      <w:bookmarkStart w:id="312" w:name="_Toc30330"/>
      <w:bookmarkStart w:id="313" w:name="_Toc27112"/>
      <w:bookmarkStart w:id="314" w:name="_Toc4325"/>
      <w:bookmarkStart w:id="315" w:name="_Toc5140"/>
      <w:bookmarkStart w:id="316" w:name="_Toc2780"/>
      <w:bookmarkStart w:id="317" w:name="_Toc12890"/>
      <w:bookmarkStart w:id="318" w:name="_Toc714"/>
      <w:bookmarkStart w:id="319" w:name="_Toc10017"/>
      <w:bookmarkStart w:id="320" w:name="_Toc25054"/>
      <w:bookmarkStart w:id="321" w:name="_Toc12440"/>
      <w:bookmarkStart w:id="322" w:name="_Toc29078"/>
      <w:bookmarkStart w:id="323" w:name="_Toc15777"/>
      <w:bookmarkStart w:id="324" w:name="_Toc9030"/>
      <w:bookmarkStart w:id="325" w:name="_Toc3449"/>
      <w:bookmarkStart w:id="326" w:name="_Toc26212"/>
      <w:bookmarkStart w:id="327" w:name="_Toc27103"/>
      <w:bookmarkStart w:id="328" w:name="_Toc10040"/>
      <w:bookmarkStart w:id="329" w:name="_Toc29346"/>
      <w:bookmarkStart w:id="330" w:name="_Toc6134"/>
      <w:bookmarkStart w:id="331" w:name="_Toc21006"/>
      <w:bookmarkStart w:id="332" w:name="_Toc13898"/>
      <w:bookmarkStart w:id="333" w:name="_Toc21801"/>
      <w:bookmarkStart w:id="334" w:name="_Toc29709"/>
      <w:bookmarkStart w:id="335" w:name="_Toc11542"/>
      <w:bookmarkStart w:id="336" w:name="_Toc7564"/>
      <w:r>
        <w:rPr>
          <w:rFonts w:hint="eastAsia"/>
          <w:color w:val="000000"/>
          <w:lang w:val="en-US"/>
        </w:rPr>
        <w:t>（1）遵守政府有关主管部门、</w:t>
      </w:r>
      <w:r>
        <w:rPr>
          <w:rFonts w:hint="eastAsia"/>
          <w:color w:val="000000"/>
          <w:lang w:val="en-US" w:eastAsia="zh-CN"/>
        </w:rPr>
        <w:t>某</w:t>
      </w:r>
      <w:r>
        <w:rPr>
          <w:rFonts w:hint="eastAsia"/>
          <w:color w:val="000000"/>
          <w:lang w:val="en-US"/>
        </w:rPr>
        <w:t>供水集团、甲方对施工场地交通、施工噪音以及环境保护和安全文明生产等的管理规定，按要求投入使用、维修、维护安全文明施工设施，加强现场管理，并按规定办理有关手续，做到安全文明施工。</w:t>
      </w:r>
    </w:p>
    <w:p w14:paraId="615AF659">
      <w:pPr>
        <w:pStyle w:val="18"/>
        <w:ind w:firstLine="560" w:firstLineChars="200"/>
        <w:jc w:val="both"/>
        <w:rPr>
          <w:color w:val="000000"/>
          <w:lang w:val="en-US"/>
        </w:rPr>
      </w:pPr>
      <w:r>
        <w:rPr>
          <w:rFonts w:hint="eastAsia"/>
          <w:color w:val="000000"/>
          <w:lang w:val="en-US"/>
        </w:rPr>
        <w:t>（2）应遵守国家及各级政府部门的安全生产法律、法规和安全规范要求，应遵守招标人及招标人上级部门关于施工现场安全管理的有关规定，接受招标人及业主委托的监理单位的监督管理。执行招标人《质量安全奖惩管理办法》等相关管理制度、规范和要求及其它安全管理制度，与招标人签订年度《安全文明施工协议书》。</w:t>
      </w:r>
    </w:p>
    <w:p w14:paraId="45B0B8B9">
      <w:pPr>
        <w:ind w:firstLine="560"/>
      </w:pPr>
      <w:r>
        <w:rPr>
          <w:rFonts w:hint="eastAsia"/>
          <w:color w:val="000000"/>
        </w:rPr>
        <w:t>（3）在施工时必须确保安全文明施工，严格遵守国家及安徽省、</w:t>
      </w:r>
      <w:r>
        <w:rPr>
          <w:rFonts w:hint="eastAsia"/>
          <w:color w:val="000000"/>
          <w:lang w:eastAsia="zh-CN"/>
        </w:rPr>
        <w:t>某</w:t>
      </w:r>
      <w:r>
        <w:rPr>
          <w:rFonts w:hint="eastAsia"/>
          <w:color w:val="000000"/>
        </w:rPr>
        <w:t>市现行相关规定。必须严格执行国务院393号令《建设工程安全生产管理条例》。必须严格执行《</w:t>
      </w:r>
      <w:r>
        <w:rPr>
          <w:rFonts w:hint="eastAsia"/>
          <w:color w:val="000000"/>
          <w:lang w:eastAsia="zh-CN"/>
        </w:rPr>
        <w:t>某</w:t>
      </w:r>
      <w:r>
        <w:rPr>
          <w:rFonts w:hint="eastAsia"/>
          <w:color w:val="000000"/>
        </w:rPr>
        <w:t>市创建文明城市责任考评办法（试行）》、《</w:t>
      </w:r>
      <w:r>
        <w:rPr>
          <w:rFonts w:hint="eastAsia"/>
          <w:color w:val="000000"/>
          <w:lang w:eastAsia="zh-CN"/>
        </w:rPr>
        <w:t>某</w:t>
      </w:r>
      <w:r>
        <w:rPr>
          <w:rFonts w:hint="eastAsia"/>
          <w:color w:val="000000"/>
        </w:rPr>
        <w:t>市建设系统创文明城市工作实施细则》、《</w:t>
      </w:r>
      <w:r>
        <w:rPr>
          <w:rFonts w:hint="eastAsia"/>
          <w:color w:val="000000"/>
          <w:lang w:eastAsia="zh-CN"/>
        </w:rPr>
        <w:t>某</w:t>
      </w:r>
      <w:r>
        <w:rPr>
          <w:rFonts w:hint="eastAsia"/>
          <w:color w:val="000000"/>
        </w:rPr>
        <w:t>市建设工程扬尘污染防治暂行规定》和招标人针对本工程所作出的安全、文明措施，确保符合</w:t>
      </w:r>
      <w:r>
        <w:rPr>
          <w:rFonts w:hint="eastAsia"/>
          <w:color w:val="000000"/>
          <w:lang w:eastAsia="zh-CN"/>
        </w:rPr>
        <w:t>某</w:t>
      </w:r>
      <w:r>
        <w:rPr>
          <w:rFonts w:hint="eastAsia"/>
          <w:color w:val="000000"/>
        </w:rPr>
        <w:t>市创建文明卫生城市要求。施工围挡必须按照《</w:t>
      </w:r>
      <w:r>
        <w:rPr>
          <w:rFonts w:hint="eastAsia"/>
          <w:color w:val="000000"/>
          <w:lang w:eastAsia="zh-CN"/>
        </w:rPr>
        <w:t>某</w:t>
      </w:r>
      <w:r>
        <w:rPr>
          <w:rFonts w:hint="eastAsia"/>
          <w:color w:val="000000"/>
        </w:rPr>
        <w:t>市建筑施工安全质量标准化指南图册》中的现场围挡要求进行围挡。围挡材料必须使用新材料，高度不小于1.8米，做到封闭施工，并留有相应通道，长度以投标人的现场勘查为准。</w:t>
      </w:r>
    </w:p>
    <w:p w14:paraId="7876C440">
      <w:pPr>
        <w:pStyle w:val="5"/>
        <w:spacing w:before="31" w:after="31"/>
        <w:ind w:firstLine="562"/>
      </w:pPr>
      <w:bookmarkStart w:id="337" w:name="_Toc28561"/>
      <w:bookmarkStart w:id="338" w:name="_Toc13511"/>
      <w:bookmarkStart w:id="339" w:name="_Toc28656"/>
      <w:bookmarkStart w:id="340" w:name="_Toc4291"/>
      <w:bookmarkStart w:id="341" w:name="_Toc5544"/>
      <w:bookmarkStart w:id="342" w:name="_Toc2752"/>
      <w:bookmarkStart w:id="343" w:name="_Toc11664"/>
      <w:r>
        <w:rPr>
          <w:rFonts w:hint="eastAsia"/>
        </w:rPr>
        <w:t>（二）安全防护</w:t>
      </w:r>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14:paraId="65D3B8E7">
      <w:pPr>
        <w:ind w:firstLine="560"/>
      </w:pPr>
      <w:r>
        <w:rPr>
          <w:rFonts w:hint="eastAsia"/>
        </w:rPr>
        <w:t>⑴所有的施工人员进入现场时，必须进行安全教育，学习各种规章制度，树立安全生产的正确观念，提高人员的安全意识。</w:t>
      </w:r>
    </w:p>
    <w:p w14:paraId="605C2BFF">
      <w:pPr>
        <w:ind w:firstLine="560"/>
      </w:pPr>
      <w:r>
        <w:rPr>
          <w:rFonts w:hint="eastAsia"/>
        </w:rPr>
        <w:t>⑵现场设置专职安全员，负责安全生产措施、制度及施工设备各项安全检查的落实和执行情况，及时排除安全隐患，并由项目经理全面负责安全生产工作。</w:t>
      </w:r>
    </w:p>
    <w:p w14:paraId="395BAD1F">
      <w:pPr>
        <w:ind w:firstLine="560"/>
      </w:pPr>
      <w:r>
        <w:rPr>
          <w:rFonts w:hint="eastAsia"/>
        </w:rPr>
        <w:t>⑶施工过程中为保证安全生产，严格执行以下规定：</w:t>
      </w:r>
    </w:p>
    <w:p w14:paraId="0591950F">
      <w:pPr>
        <w:ind w:firstLine="560"/>
      </w:pPr>
      <w:r>
        <w:rPr>
          <w:rFonts w:hint="eastAsia"/>
        </w:rPr>
        <w:t>①公司制定的安全管理规章制度。</w:t>
      </w:r>
    </w:p>
    <w:p w14:paraId="1D169806">
      <w:pPr>
        <w:ind w:firstLine="560"/>
      </w:pPr>
      <w:r>
        <w:rPr>
          <w:rFonts w:hint="eastAsia"/>
        </w:rPr>
        <w:t>②建筑安装工人安全技术操作规程。</w:t>
      </w:r>
    </w:p>
    <w:p w14:paraId="51B91D1C">
      <w:pPr>
        <w:ind w:firstLine="560"/>
      </w:pPr>
      <w:r>
        <w:rPr>
          <w:rFonts w:hint="eastAsia"/>
        </w:rPr>
        <w:t>③施工现场用电线路及设备的安装、使用，应符合规范和安全操作规程的要求，并按施工总体平面布置图设置施工机具，架设线路，严禁任意拉线接电。</w:t>
      </w:r>
    </w:p>
    <w:p w14:paraId="59865488">
      <w:pPr>
        <w:ind w:firstLine="560"/>
      </w:pPr>
      <w:r>
        <w:rPr>
          <w:rFonts w:hint="eastAsia"/>
        </w:rPr>
        <w:t>④安全生产过程中预防：触电、机械伤害等。</w:t>
      </w:r>
    </w:p>
    <w:p w14:paraId="466094AF">
      <w:pPr>
        <w:ind w:firstLine="560"/>
      </w:pPr>
      <w:r>
        <w:rPr>
          <w:rFonts w:hint="eastAsia"/>
        </w:rPr>
        <w:t>⑤用于施工生产的各项机械设备必须按规定进行安装、调试和验收，设备的安全装置应保护完好，性能正常并定期检查。</w:t>
      </w:r>
    </w:p>
    <w:p w14:paraId="2CACC4D1">
      <w:pPr>
        <w:ind w:firstLine="560"/>
      </w:pPr>
      <w:r>
        <w:rPr>
          <w:rFonts w:hint="eastAsia"/>
        </w:rPr>
        <w:t>⑥用于施工的临时电源及线路的架设应符合施工用电安全要求，各种用电机械安装漏电保护器，必须有可靠的专用零线保护。</w:t>
      </w:r>
    </w:p>
    <w:p w14:paraId="535B2478">
      <w:pPr>
        <w:ind w:firstLine="560"/>
      </w:pPr>
      <w:r>
        <w:rPr>
          <w:rFonts w:hint="eastAsia"/>
        </w:rPr>
        <w:t>⑦施工用的机械，按施工平面布置图架设，经检验合格后方能使用。</w:t>
      </w:r>
    </w:p>
    <w:p w14:paraId="4DDCFD53">
      <w:pPr>
        <w:ind w:firstLine="560"/>
      </w:pPr>
      <w:r>
        <w:rPr>
          <w:rFonts w:hint="eastAsia"/>
        </w:rPr>
        <w:t>⑧施工现场要设置明显的安全标志牌，施工人员进入现场要戴安全帽。</w:t>
      </w:r>
    </w:p>
    <w:p w14:paraId="43077893">
      <w:pPr>
        <w:ind w:firstLine="560"/>
      </w:pPr>
      <w:r>
        <w:rPr>
          <w:rFonts w:hint="eastAsia"/>
        </w:rPr>
        <w:t>⑨特殊工种必须经安全培训，持证上岗。</w:t>
      </w:r>
    </w:p>
    <w:p w14:paraId="7713F041">
      <w:pPr>
        <w:pStyle w:val="5"/>
        <w:spacing w:before="31" w:after="31"/>
        <w:ind w:firstLine="562"/>
      </w:pPr>
      <w:bookmarkStart w:id="344" w:name="_Toc31449"/>
      <w:bookmarkStart w:id="345" w:name="_Toc6841"/>
      <w:bookmarkStart w:id="346" w:name="_Toc19756"/>
      <w:bookmarkStart w:id="347" w:name="_Toc7711"/>
      <w:bookmarkStart w:id="348" w:name="_Toc23365"/>
      <w:bookmarkStart w:id="349" w:name="_Toc11307"/>
      <w:bookmarkStart w:id="350" w:name="_Toc20364"/>
      <w:bookmarkStart w:id="351" w:name="_Toc2714"/>
      <w:bookmarkStart w:id="352" w:name="_Toc6786"/>
      <w:bookmarkStart w:id="353" w:name="_Toc20694"/>
      <w:bookmarkStart w:id="354" w:name="_Toc2006"/>
      <w:bookmarkStart w:id="355" w:name="_Toc23572"/>
      <w:bookmarkStart w:id="356" w:name="_Toc5341"/>
      <w:bookmarkStart w:id="357" w:name="_Toc30526"/>
      <w:bookmarkStart w:id="358" w:name="_Toc10928"/>
      <w:bookmarkStart w:id="359" w:name="_Toc3082"/>
      <w:bookmarkStart w:id="360" w:name="_Toc14786"/>
      <w:bookmarkStart w:id="361" w:name="_Toc28816"/>
      <w:bookmarkStart w:id="362" w:name="_Toc21930"/>
      <w:bookmarkStart w:id="363" w:name="_Toc24537"/>
      <w:bookmarkStart w:id="364" w:name="_Toc13654"/>
      <w:bookmarkStart w:id="365" w:name="_Toc23473"/>
      <w:bookmarkStart w:id="366" w:name="_Toc9587"/>
      <w:bookmarkStart w:id="367" w:name="_Toc26766"/>
      <w:bookmarkStart w:id="368" w:name="_Toc3143"/>
      <w:bookmarkStart w:id="369" w:name="_Toc26711"/>
      <w:bookmarkStart w:id="370" w:name="_Toc6974"/>
      <w:bookmarkStart w:id="371" w:name="_Toc15071"/>
      <w:bookmarkStart w:id="372" w:name="_Toc11024"/>
      <w:bookmarkStart w:id="373" w:name="_Toc22122"/>
      <w:bookmarkStart w:id="374" w:name="_Toc12654"/>
      <w:bookmarkStart w:id="375" w:name="_Toc11714"/>
      <w:bookmarkStart w:id="376" w:name="_Toc27314"/>
      <w:bookmarkStart w:id="377" w:name="_Toc30139"/>
      <w:bookmarkStart w:id="378" w:name="_Toc31766"/>
      <w:bookmarkStart w:id="379" w:name="_Toc19496"/>
      <w:bookmarkStart w:id="380" w:name="_Toc3329"/>
      <w:bookmarkStart w:id="381" w:name="_Toc9205"/>
      <w:bookmarkStart w:id="382" w:name="_Toc4885"/>
      <w:bookmarkStart w:id="383" w:name="_Toc8176"/>
      <w:bookmarkStart w:id="384" w:name="_Toc8525"/>
      <w:bookmarkStart w:id="385" w:name="_Toc30511"/>
      <w:bookmarkStart w:id="386" w:name="_Toc8868"/>
      <w:bookmarkStart w:id="387" w:name="_Toc16022"/>
      <w:bookmarkStart w:id="388" w:name="_Toc5070"/>
      <w:bookmarkStart w:id="389" w:name="_Toc7424"/>
      <w:bookmarkStart w:id="390" w:name="_Toc10127"/>
      <w:bookmarkStart w:id="391" w:name="_Toc32083"/>
      <w:bookmarkStart w:id="392" w:name="_Toc31418"/>
      <w:bookmarkStart w:id="393" w:name="_Toc3815"/>
      <w:bookmarkStart w:id="394" w:name="_Toc1782"/>
      <w:bookmarkStart w:id="395" w:name="_Toc1986"/>
      <w:bookmarkStart w:id="396" w:name="_Toc3695"/>
      <w:bookmarkStart w:id="397" w:name="_Toc15629"/>
      <w:bookmarkStart w:id="398" w:name="_Toc10487"/>
      <w:bookmarkStart w:id="399" w:name="_Toc15276"/>
      <w:r>
        <w:rPr>
          <w:rFonts w:hint="eastAsia"/>
        </w:rPr>
        <w:t>（三）施工用电安全措施</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p>
    <w:p w14:paraId="62A55F31">
      <w:pPr>
        <w:pStyle w:val="18"/>
      </w:pPr>
      <w:r>
        <w:rPr>
          <w:rFonts w:hint="eastAsia"/>
          <w:lang w:val="en-US" w:bidi="ar-SA"/>
        </w:rPr>
        <w:drawing>
          <wp:inline distT="0" distB="0" distL="114300" distR="114300">
            <wp:extent cx="3189605" cy="2392680"/>
            <wp:effectExtent l="0" t="0" r="0" b="7620"/>
            <wp:docPr id="315" name="图片 18" descr="IMG_25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8" descr="IMG_256"/>
                    <pic:cNvPicPr>
                      <a:picLocks noChangeAspect="1"/>
                    </pic:cNvPicPr>
                  </pic:nvPicPr>
                  <pic:blipFill>
                    <a:blip r:embed="rId9">
                      <a:grayscl/>
                    </a:blip>
                    <a:stretch>
                      <a:fillRect/>
                    </a:stretch>
                  </pic:blipFill>
                  <pic:spPr>
                    <a:xfrm>
                      <a:off x="0" y="0"/>
                      <a:ext cx="3189605" cy="2392680"/>
                    </a:xfrm>
                    <a:prstGeom prst="rect">
                      <a:avLst/>
                    </a:prstGeom>
                    <a:noFill/>
                    <a:ln w="9525">
                      <a:noFill/>
                    </a:ln>
                  </pic:spPr>
                </pic:pic>
              </a:graphicData>
            </a:graphic>
          </wp:inline>
        </w:drawing>
      </w:r>
    </w:p>
    <w:p w14:paraId="25443DD9">
      <w:pPr>
        <w:ind w:firstLine="560"/>
        <w:jc w:val="center"/>
        <w:rPr>
          <w:u w:val="double"/>
        </w:rPr>
      </w:pPr>
      <w:r>
        <w:rPr>
          <w:rFonts w:hint="eastAsia"/>
          <w:u w:val="double"/>
        </w:rPr>
        <w:t>用电安全检查</w:t>
      </w:r>
    </w:p>
    <w:p w14:paraId="2FA7A430">
      <w:pPr>
        <w:ind w:firstLine="560"/>
      </w:pPr>
      <w:r>
        <w:rPr>
          <w:rFonts w:hint="eastAsia"/>
        </w:rPr>
        <w:t>⑴施工用电设计</w:t>
      </w:r>
    </w:p>
    <w:p w14:paraId="15A4E9A3">
      <w:pPr>
        <w:ind w:firstLine="560"/>
      </w:pPr>
      <w:r>
        <w:rPr>
          <w:rFonts w:hint="eastAsia"/>
        </w:rPr>
        <w:t>①选用TN-S系统（即三相五线制）时，从变电所到施工总配电箱之间必须单独敷设保护零线（PE线），所有带电设备的金属外壳必须与PE线连接牢固；PE线与工作零线严禁有任何电器连接，设备末端保护零线（PE线）进行重复接地。</w:t>
      </w:r>
    </w:p>
    <w:p w14:paraId="47583618">
      <w:pPr>
        <w:ind w:firstLine="560"/>
      </w:pPr>
      <w:r>
        <w:rPr>
          <w:rFonts w:hint="eastAsia"/>
        </w:rPr>
        <w:t>②施工电源布置完毕后，施工单位必须绘制出平面布置图，标明电缆走向及电源盘的位置，设专人实行分区管理责任制，特殊部位要在现场做出警示标志，预防设备损坏和触电事故的发生。</w:t>
      </w:r>
    </w:p>
    <w:p w14:paraId="410CFBAE">
      <w:pPr>
        <w:ind w:firstLine="560"/>
      </w:pPr>
      <w:r>
        <w:rPr>
          <w:rFonts w:hint="eastAsia"/>
        </w:rPr>
        <w:t>③从事电气安装、维修、拆除、运行值班人员必须具备下列条件：</w:t>
      </w:r>
    </w:p>
    <w:p w14:paraId="3DA3D8CE">
      <w:pPr>
        <w:ind w:firstLine="560"/>
      </w:pPr>
      <w:r>
        <w:rPr>
          <w:rFonts w:hint="eastAsia"/>
        </w:rPr>
        <w:t>a必须持有劳动部门颁发的电工操作证，无证人员严禁从事电工作业。</w:t>
      </w:r>
    </w:p>
    <w:p w14:paraId="0415A6FE">
      <w:pPr>
        <w:ind w:firstLine="560"/>
      </w:pPr>
      <w:r>
        <w:rPr>
          <w:rFonts w:hint="eastAsia"/>
        </w:rPr>
        <w:t>b经医生检查无心脏病、精神病、癫痫病、聋哑、色盲和其他不适于从事电气工作的病症。</w:t>
      </w:r>
    </w:p>
    <w:p w14:paraId="021C33FB">
      <w:pPr>
        <w:ind w:firstLine="560"/>
      </w:pPr>
      <w:r>
        <w:rPr>
          <w:rFonts w:hint="eastAsia"/>
        </w:rPr>
        <w:t>c具备必要的电气理论知识及操作技术，经考核合格。</w:t>
      </w:r>
    </w:p>
    <w:p w14:paraId="7C12F2D4">
      <w:pPr>
        <w:ind w:firstLine="560"/>
      </w:pPr>
      <w:r>
        <w:rPr>
          <w:rFonts w:hint="eastAsia"/>
        </w:rPr>
        <w:t>d熟练掌握触电急救法和人工呼吸法。</w:t>
      </w:r>
    </w:p>
    <w:p w14:paraId="3FBA1F09">
      <w:pPr>
        <w:ind w:firstLine="560"/>
      </w:pPr>
      <w:r>
        <w:rPr>
          <w:rFonts w:hint="eastAsia"/>
        </w:rPr>
        <w:t>e从事电工工作不满三年的学徒工、临时工、合同工不得独立工作。</w:t>
      </w:r>
    </w:p>
    <w:p w14:paraId="6C7BBC9F">
      <w:pPr>
        <w:ind w:firstLine="560"/>
      </w:pPr>
      <w:r>
        <w:rPr>
          <w:rFonts w:hint="eastAsia"/>
        </w:rPr>
        <w:t>f值班人员应具有一定的消防知识，会正确使用各类消防器材。严格执行三检制度（三制指停电检修工作制度、不停电工作及带电工作制度、倒闸操作安全制度）。</w:t>
      </w:r>
    </w:p>
    <w:p w14:paraId="1EA7CBDD">
      <w:pPr>
        <w:ind w:firstLine="560"/>
      </w:pPr>
      <w:r>
        <w:rPr>
          <w:rFonts w:hint="eastAsia"/>
        </w:rPr>
        <w:t>⑵配电室</w:t>
      </w:r>
    </w:p>
    <w:p w14:paraId="28662952">
      <w:pPr>
        <w:ind w:firstLine="560"/>
      </w:pPr>
      <w:r>
        <w:rPr>
          <w:rFonts w:hint="eastAsia"/>
        </w:rPr>
        <w:t>①变电室值班人员负责保持变压器周围和配电室内的整洁，四周不得有易燃物、积水、杂草和垃圾。</w:t>
      </w:r>
    </w:p>
    <w:p w14:paraId="07C31E4D">
      <w:pPr>
        <w:ind w:firstLine="560"/>
      </w:pPr>
      <w:r>
        <w:rPr>
          <w:rFonts w:hint="eastAsia"/>
        </w:rPr>
        <w:t>②配电室的各处孔洞封闭，有严密的运行、维修、交接班管理制度和绝缘鞋、绝缘手套、绝缘棒，事故照明和电气灭火器具。</w:t>
      </w:r>
    </w:p>
    <w:p w14:paraId="72D19C8D">
      <w:pPr>
        <w:ind w:firstLine="560"/>
      </w:pPr>
      <w:r>
        <w:rPr>
          <w:rFonts w:hint="eastAsia"/>
        </w:rPr>
        <w:t>③配电室内电气设备的外壳必须接零或接地保护，配电、盘边沿带电部分要有遮栏，已停电作业盘上必须悬挂“有人工作、禁止合闸”的警告牌。</w:t>
      </w:r>
    </w:p>
    <w:p w14:paraId="6C9A8C42">
      <w:pPr>
        <w:ind w:firstLine="560"/>
      </w:pPr>
      <w:r>
        <w:rPr>
          <w:rFonts w:hint="eastAsia"/>
        </w:rPr>
        <w:t>④在变电室周围设置醒目的“高压危险、请勿靠近”警告标志。</w:t>
      </w:r>
    </w:p>
    <w:p w14:paraId="722FE13F">
      <w:pPr>
        <w:pStyle w:val="5"/>
        <w:spacing w:before="31" w:after="31"/>
        <w:ind w:firstLine="562"/>
      </w:pPr>
      <w:bookmarkStart w:id="400" w:name="_Toc2888"/>
      <w:bookmarkStart w:id="401" w:name="_Toc32736"/>
      <w:bookmarkStart w:id="402" w:name="_Toc25396"/>
      <w:bookmarkStart w:id="403" w:name="_Toc24526"/>
      <w:bookmarkStart w:id="404" w:name="_Toc30213"/>
      <w:bookmarkStart w:id="405" w:name="_Toc3560"/>
      <w:bookmarkStart w:id="406" w:name="_Toc14551"/>
      <w:bookmarkStart w:id="407" w:name="_Toc28009"/>
      <w:bookmarkStart w:id="408" w:name="_Toc7374"/>
      <w:bookmarkStart w:id="409" w:name="_Toc17584"/>
      <w:bookmarkStart w:id="410" w:name="_Toc19241"/>
      <w:bookmarkStart w:id="411" w:name="_Toc16041"/>
      <w:bookmarkStart w:id="412" w:name="_Toc15349"/>
      <w:bookmarkStart w:id="413" w:name="_Toc13096"/>
      <w:bookmarkStart w:id="414" w:name="_Toc22820"/>
      <w:bookmarkStart w:id="415" w:name="_Toc21364"/>
      <w:bookmarkStart w:id="416" w:name="_Toc26862"/>
      <w:bookmarkStart w:id="417" w:name="_Toc15206"/>
      <w:bookmarkStart w:id="418" w:name="_Toc10860"/>
      <w:bookmarkStart w:id="419" w:name="_Toc15172"/>
      <w:bookmarkStart w:id="420" w:name="_Toc3136"/>
      <w:bookmarkStart w:id="421" w:name="_Toc14812"/>
      <w:bookmarkStart w:id="422" w:name="_Toc24229"/>
      <w:bookmarkStart w:id="423" w:name="_Toc8107"/>
      <w:bookmarkStart w:id="424" w:name="_Toc4723"/>
      <w:bookmarkStart w:id="425" w:name="_Toc20252"/>
      <w:bookmarkStart w:id="426" w:name="_Toc6611"/>
      <w:bookmarkStart w:id="427" w:name="_Toc19547"/>
      <w:bookmarkStart w:id="428" w:name="_Toc9140"/>
      <w:bookmarkStart w:id="429" w:name="_Toc1034"/>
      <w:bookmarkStart w:id="430" w:name="_Toc27521"/>
      <w:bookmarkStart w:id="431" w:name="_Toc22323"/>
      <w:bookmarkStart w:id="432" w:name="_Toc15715"/>
      <w:bookmarkStart w:id="433" w:name="_Toc11504"/>
      <w:bookmarkStart w:id="434" w:name="_Toc11130"/>
      <w:bookmarkStart w:id="435" w:name="_Toc18761"/>
      <w:bookmarkStart w:id="436" w:name="_Toc17078"/>
      <w:bookmarkStart w:id="437" w:name="_Toc20465"/>
      <w:bookmarkStart w:id="438" w:name="_Toc30440"/>
      <w:bookmarkStart w:id="439" w:name="_Toc25021"/>
      <w:bookmarkStart w:id="440" w:name="_Toc20668"/>
      <w:bookmarkStart w:id="441" w:name="_Toc3593"/>
      <w:bookmarkStart w:id="442" w:name="_Toc20952"/>
      <w:bookmarkStart w:id="443" w:name="_Toc238"/>
      <w:bookmarkStart w:id="444" w:name="_Toc22684"/>
      <w:bookmarkStart w:id="445" w:name="_Toc9733"/>
      <w:bookmarkStart w:id="446" w:name="_Toc18405"/>
      <w:bookmarkStart w:id="447" w:name="_Toc889"/>
      <w:bookmarkStart w:id="448" w:name="_Toc5633"/>
      <w:bookmarkStart w:id="449" w:name="_Toc8226"/>
      <w:bookmarkStart w:id="450" w:name="_Toc31078"/>
      <w:bookmarkStart w:id="451" w:name="_Toc5033"/>
      <w:bookmarkStart w:id="452" w:name="_Toc18167"/>
      <w:bookmarkStart w:id="453" w:name="_Toc1792"/>
      <w:bookmarkStart w:id="454" w:name="_Toc17664"/>
      <w:bookmarkStart w:id="455" w:name="_Toc7555"/>
      <w:bookmarkStart w:id="456" w:name="_Toc11536"/>
      <w:bookmarkStart w:id="457" w:name="_Toc25744"/>
      <w:bookmarkStart w:id="458" w:name="_Toc21736"/>
      <w:bookmarkStart w:id="459" w:name="_Toc6919"/>
      <w:r>
        <w:rPr>
          <w:rFonts w:hint="eastAsia"/>
        </w:rPr>
        <w:t>（四）消防保卫措施</w:t>
      </w:r>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14:paraId="673C63E6">
      <w:pPr>
        <w:ind w:firstLine="560"/>
      </w:pPr>
      <w:r>
        <w:rPr>
          <w:rFonts w:hint="eastAsia"/>
        </w:rPr>
        <w:t>⑴建立防火领导小组，配置消防器材，做好治安保卫和交通安全工作，贯彻实施“预防为主，防消结合”的方针。</w:t>
      </w:r>
    </w:p>
    <w:p w14:paraId="54FD439F">
      <w:pPr>
        <w:ind w:firstLine="560"/>
      </w:pPr>
      <w:r>
        <w:rPr>
          <w:rFonts w:hint="eastAsia"/>
        </w:rPr>
        <w:t>⑵实行逐级防火责任制，明确各级的职责，负责日常的消防工作。</w:t>
      </w:r>
    </w:p>
    <w:p w14:paraId="1E7E4AE1">
      <w:pPr>
        <w:ind w:firstLine="560"/>
      </w:pPr>
      <w:r>
        <w:rPr>
          <w:rFonts w:hint="eastAsia"/>
        </w:rPr>
        <w:t>⑶加强对易燃、易爆品的管理，有专用仓库存放，在存放处挂明显警示牌，明火作业前需办理动火审批手续并做好动火监护工作。</w:t>
      </w:r>
    </w:p>
    <w:p w14:paraId="151F62FF">
      <w:pPr>
        <w:ind w:firstLine="560"/>
      </w:pPr>
      <w:r>
        <w:rPr>
          <w:rFonts w:hint="eastAsia"/>
        </w:rPr>
        <w:t>⑷加强对电气焊的管理，操作人员持证上岗，严格按规程进行操作。</w:t>
      </w:r>
    </w:p>
    <w:p w14:paraId="16B676FD">
      <w:pPr>
        <w:ind w:firstLine="560"/>
      </w:pPr>
      <w:r>
        <w:rPr>
          <w:rFonts w:hint="eastAsia"/>
        </w:rPr>
        <w:t>⑸现场内的消防设施应经常检修，挂明显标示牌，任何人不允许私自挪动。</w:t>
      </w:r>
    </w:p>
    <w:p w14:paraId="3941D248">
      <w:pPr>
        <w:ind w:firstLine="560"/>
      </w:pPr>
      <w:r>
        <w:rPr>
          <w:rFonts w:hint="eastAsia"/>
        </w:rPr>
        <w:t>⑹加强对每位员工的思想教育工作，建立有针对性的保卫制度和处罚制度，责任到人，采取积极有效的防范措施，杜绝失盗、打架斗殴等各类事件的发生。</w:t>
      </w:r>
    </w:p>
    <w:p w14:paraId="0BE8453D">
      <w:pPr>
        <w:ind w:firstLine="560"/>
      </w:pPr>
      <w:r>
        <w:rPr>
          <w:rFonts w:hint="eastAsia"/>
        </w:rPr>
        <w:t>⑺现场警卫24小时值班制度，进入现场车辆必须进行登记。</w:t>
      </w:r>
    </w:p>
    <w:p w14:paraId="6B21AE20">
      <w:pPr>
        <w:ind w:firstLine="560"/>
      </w:pPr>
      <w:r>
        <w:rPr>
          <w:rFonts w:hint="eastAsia"/>
        </w:rPr>
        <w:t>⑻实行材料出入库制度，现场贵重物品必须入库保管，专人专管。</w:t>
      </w:r>
    </w:p>
    <w:p w14:paraId="1740424F">
      <w:pPr>
        <w:pStyle w:val="5"/>
        <w:spacing w:before="31" w:after="31"/>
        <w:ind w:firstLine="562"/>
      </w:pPr>
      <w:bookmarkStart w:id="460" w:name="_Toc17206"/>
      <w:bookmarkStart w:id="461" w:name="_Toc3439"/>
      <w:bookmarkStart w:id="462" w:name="_Toc281"/>
      <w:bookmarkStart w:id="463" w:name="_Toc11194"/>
      <w:bookmarkStart w:id="464" w:name="_Toc23238"/>
      <w:bookmarkStart w:id="465" w:name="_Toc8112"/>
      <w:bookmarkStart w:id="466" w:name="_Toc31021"/>
      <w:bookmarkStart w:id="467" w:name="_Toc13030"/>
      <w:bookmarkStart w:id="468" w:name="_Toc29666"/>
      <w:bookmarkStart w:id="469" w:name="_Toc16732"/>
      <w:bookmarkStart w:id="470" w:name="_Toc18706"/>
      <w:bookmarkStart w:id="471" w:name="_Toc8068"/>
      <w:bookmarkStart w:id="472" w:name="_Toc7318"/>
      <w:bookmarkStart w:id="473" w:name="_Toc12659"/>
      <w:bookmarkStart w:id="474" w:name="_Toc8175"/>
      <w:bookmarkStart w:id="475" w:name="_Toc20581"/>
      <w:bookmarkStart w:id="476" w:name="_Toc28338"/>
      <w:bookmarkStart w:id="477" w:name="_Toc17830"/>
      <w:bookmarkStart w:id="478" w:name="_Toc27896"/>
      <w:bookmarkStart w:id="479" w:name="_Toc21288"/>
      <w:bookmarkStart w:id="480" w:name="_Toc22403"/>
      <w:bookmarkStart w:id="481" w:name="_Toc131"/>
      <w:bookmarkStart w:id="482" w:name="_Toc3531"/>
      <w:bookmarkStart w:id="483" w:name="_Toc30198"/>
      <w:bookmarkStart w:id="484" w:name="_Toc762"/>
      <w:bookmarkStart w:id="485" w:name="_Toc23496"/>
      <w:bookmarkStart w:id="486" w:name="_Toc3938"/>
      <w:bookmarkStart w:id="487" w:name="_Toc11242"/>
      <w:bookmarkStart w:id="488" w:name="_Toc20586"/>
      <w:bookmarkStart w:id="489" w:name="_Toc19690"/>
      <w:bookmarkStart w:id="490" w:name="_Toc8727"/>
      <w:bookmarkStart w:id="491" w:name="_Toc20419"/>
      <w:bookmarkStart w:id="492" w:name="_Toc16916"/>
      <w:bookmarkStart w:id="493" w:name="_Toc2990"/>
      <w:bookmarkStart w:id="494" w:name="_Toc11254"/>
      <w:bookmarkStart w:id="495" w:name="_Toc32548"/>
      <w:bookmarkStart w:id="496" w:name="_Toc9073"/>
      <w:bookmarkStart w:id="497" w:name="_Toc27173"/>
      <w:bookmarkStart w:id="498" w:name="_Toc10253"/>
      <w:bookmarkStart w:id="499" w:name="_Toc31618"/>
      <w:bookmarkStart w:id="500" w:name="_Toc16065"/>
      <w:bookmarkStart w:id="501" w:name="_Toc8858"/>
      <w:bookmarkStart w:id="502" w:name="_Toc3397"/>
      <w:bookmarkStart w:id="503" w:name="_Toc7301"/>
      <w:bookmarkStart w:id="504" w:name="_Toc8272"/>
      <w:bookmarkStart w:id="505" w:name="_Toc24619"/>
      <w:bookmarkStart w:id="506" w:name="_Toc25523"/>
      <w:bookmarkStart w:id="507" w:name="_Toc30588"/>
      <w:bookmarkStart w:id="508" w:name="_Toc5252"/>
      <w:bookmarkStart w:id="509" w:name="_Toc22212"/>
      <w:bookmarkStart w:id="510" w:name="_Toc27962"/>
      <w:bookmarkStart w:id="511" w:name="_Toc14415"/>
      <w:bookmarkStart w:id="512" w:name="_Toc27944"/>
      <w:bookmarkStart w:id="513" w:name="_Toc29946"/>
      <w:bookmarkStart w:id="514" w:name="_Toc32099"/>
      <w:bookmarkStart w:id="515" w:name="_Toc18443"/>
      <w:bookmarkStart w:id="516" w:name="_Toc32108"/>
      <w:bookmarkStart w:id="517" w:name="_Toc26903"/>
      <w:bookmarkStart w:id="518" w:name="_Toc9169"/>
      <w:r>
        <w:rPr>
          <w:rFonts w:hint="eastAsia"/>
        </w:rPr>
        <w:t>（五）安全生产管理措施</w:t>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p>
    <w:p w14:paraId="37212A04">
      <w:pPr>
        <w:ind w:firstLine="560"/>
      </w:pPr>
      <w:r>
        <w:rPr>
          <w:rFonts w:hint="eastAsia"/>
        </w:rPr>
        <w:t>加强对外用工的管理工作，确保工程安全生产和人身安全，杜绝工伤事故的发生。具体保证措施如下：</w:t>
      </w:r>
    </w:p>
    <w:p w14:paraId="037F20DE">
      <w:pPr>
        <w:ind w:firstLine="560"/>
      </w:pPr>
      <w:r>
        <w:rPr>
          <w:rFonts w:hint="eastAsia"/>
        </w:rPr>
        <w:t>⑴在该工程施工前建立健全安全生产领导小组和安全保证体系，认真执行《建筑安全检查标准》，贯彻落实公司制定的《安全生产管理制度》以及安全生产责任制和安全生产岗位职责。</w:t>
      </w:r>
    </w:p>
    <w:p w14:paraId="3A7EC937">
      <w:pPr>
        <w:ind w:firstLine="560"/>
      </w:pPr>
      <w:r>
        <w:rPr>
          <w:rFonts w:hint="eastAsia"/>
        </w:rPr>
        <w:t>⑵认真做好三级安全教育，交施工任务的同时，必须做好安全交底工作。</w:t>
      </w:r>
    </w:p>
    <w:p w14:paraId="481AA2BB">
      <w:pPr>
        <w:ind w:firstLine="560"/>
      </w:pPr>
      <w:r>
        <w:rPr>
          <w:rFonts w:hint="eastAsia"/>
        </w:rPr>
        <w:t>⑶对违章指挥、违章操作和违反劳动纪律的"三违"人员，安检人员有权责令其离岗，并进行安全再教育。</w:t>
      </w:r>
    </w:p>
    <w:p w14:paraId="1F0BF8DA">
      <w:pPr>
        <w:ind w:firstLine="560"/>
      </w:pPr>
      <w:r>
        <w:rPr>
          <w:rFonts w:hint="eastAsia"/>
        </w:rPr>
        <w:t>⑷各种机械设备要专人操作，持证上岗并且定期检查，严禁带病作业。</w:t>
      </w:r>
    </w:p>
    <w:p w14:paraId="7F9905F3">
      <w:pPr>
        <w:ind w:firstLine="560"/>
      </w:pPr>
      <w:r>
        <w:rPr>
          <w:rFonts w:hint="eastAsia"/>
        </w:rPr>
        <w:t>⑸非机电人员不得动用机电设备，机电设备防护措施要完善。设备应设接地防雷和漏电保护器，确保人身安全。</w:t>
      </w:r>
    </w:p>
    <w:p w14:paraId="7AD9DD56">
      <w:pPr>
        <w:ind w:firstLine="560"/>
      </w:pPr>
      <w:r>
        <w:rPr>
          <w:rFonts w:hint="eastAsia"/>
        </w:rPr>
        <w:t>⑹施工现场设安全警示和标志，现场道路保持畅通，消防设施要有标志，附近不准堆物。消防工具不得随意挪用，明火作业设专人看守并报项目经理批准。</w:t>
      </w:r>
    </w:p>
    <w:p w14:paraId="1779A3A4">
      <w:pPr>
        <w:ind w:firstLine="560"/>
      </w:pPr>
      <w:r>
        <w:rPr>
          <w:rFonts w:hint="eastAsia"/>
        </w:rPr>
        <w:t>⑺施工用电做好防触电、防水、防火措施。</w:t>
      </w:r>
    </w:p>
    <w:p w14:paraId="70EFFAFF">
      <w:pPr>
        <w:ind w:firstLine="560"/>
      </w:pPr>
      <w:r>
        <w:rPr>
          <w:rFonts w:hint="eastAsia"/>
        </w:rPr>
        <w:t>⑻施工临时用电严格执行《施工临时用电安全技术规范》。</w:t>
      </w:r>
    </w:p>
    <w:p w14:paraId="2A46906E">
      <w:pPr>
        <w:ind w:firstLine="560"/>
      </w:pPr>
      <w:r>
        <w:rPr>
          <w:rFonts w:hint="eastAsia"/>
        </w:rPr>
        <w:t>⑼加强安全防护，严禁违章冒险作业，及时消除隐患，防止发生工伤事故，贯彻全员、全面、全过程、全天候（即人人、处处、事事、时时）的“四全”安全管理制度。</w:t>
      </w:r>
    </w:p>
    <w:p w14:paraId="6B5EDE8E">
      <w:pPr>
        <w:pStyle w:val="4"/>
        <w:spacing w:before="93" w:after="31"/>
      </w:pPr>
      <w:bookmarkStart w:id="519" w:name="_Toc6860"/>
      <w:bookmarkStart w:id="520" w:name="_Toc2654"/>
      <w:bookmarkStart w:id="521" w:name="_Toc2758"/>
      <w:bookmarkStart w:id="522" w:name="_Toc10565"/>
      <w:bookmarkStart w:id="523" w:name="_Toc29780"/>
      <w:bookmarkStart w:id="524" w:name="_Toc31464"/>
      <w:bookmarkStart w:id="525" w:name="_Toc10704"/>
      <w:bookmarkStart w:id="526" w:name="_Toc11705"/>
      <w:bookmarkStart w:id="527" w:name="_Toc25588"/>
      <w:bookmarkStart w:id="528" w:name="_Toc32754"/>
      <w:bookmarkStart w:id="529" w:name="_Toc12010"/>
      <w:bookmarkStart w:id="530" w:name="_Toc26786"/>
      <w:bookmarkStart w:id="531" w:name="_Toc1197"/>
      <w:bookmarkStart w:id="532" w:name="_Toc28075"/>
      <w:bookmarkStart w:id="533" w:name="_Toc13844"/>
      <w:bookmarkStart w:id="534" w:name="_Toc7979"/>
      <w:bookmarkStart w:id="535" w:name="_Toc13184"/>
      <w:bookmarkStart w:id="536" w:name="_Toc7791"/>
      <w:bookmarkStart w:id="537" w:name="_Toc7012"/>
      <w:bookmarkStart w:id="538" w:name="_Toc32050"/>
      <w:bookmarkStart w:id="539" w:name="_Toc7556"/>
      <w:bookmarkStart w:id="540" w:name="_Toc154"/>
      <w:bookmarkStart w:id="541" w:name="_Toc17452"/>
      <w:bookmarkStart w:id="542" w:name="_Toc20628"/>
      <w:bookmarkStart w:id="543" w:name="_Toc682"/>
      <w:bookmarkStart w:id="544" w:name="_Toc3190"/>
      <w:bookmarkStart w:id="545" w:name="_Toc9488"/>
      <w:bookmarkStart w:id="546" w:name="_Toc22215"/>
      <w:bookmarkStart w:id="547" w:name="_Toc32668"/>
      <w:bookmarkStart w:id="548" w:name="_Toc9254"/>
      <w:bookmarkStart w:id="549" w:name="_Toc14126"/>
      <w:bookmarkStart w:id="550" w:name="_Toc1883"/>
      <w:bookmarkStart w:id="551" w:name="_Toc26083"/>
      <w:bookmarkStart w:id="552" w:name="_Toc15511"/>
      <w:bookmarkStart w:id="553" w:name="_Toc723"/>
      <w:bookmarkStart w:id="554" w:name="_Toc5032"/>
      <w:bookmarkStart w:id="555" w:name="_Toc23386"/>
      <w:bookmarkStart w:id="556" w:name="_Toc9097"/>
      <w:bookmarkStart w:id="557" w:name="_Toc6248"/>
      <w:bookmarkStart w:id="558" w:name="_Toc9127"/>
      <w:bookmarkStart w:id="559" w:name="_Toc7603"/>
      <w:bookmarkStart w:id="560" w:name="_Toc4927"/>
      <w:bookmarkStart w:id="561" w:name="_Toc32664"/>
      <w:bookmarkStart w:id="562" w:name="_Toc7703"/>
      <w:bookmarkStart w:id="563" w:name="_Toc21841"/>
      <w:bookmarkStart w:id="564" w:name="_Toc1218"/>
      <w:bookmarkStart w:id="565" w:name="_Toc17510"/>
      <w:bookmarkStart w:id="566" w:name="_Toc21967"/>
      <w:bookmarkStart w:id="567" w:name="_Toc10617"/>
      <w:bookmarkStart w:id="568" w:name="_Toc14924"/>
      <w:bookmarkStart w:id="569" w:name="_Toc17060"/>
      <w:bookmarkStart w:id="570" w:name="_Toc32297"/>
      <w:bookmarkStart w:id="571" w:name="_Toc9013"/>
      <w:bookmarkStart w:id="572" w:name="_Toc24"/>
      <w:bookmarkStart w:id="573" w:name="_Toc29327"/>
      <w:bookmarkStart w:id="574" w:name="_Toc7612"/>
      <w:bookmarkStart w:id="575" w:name="_Toc25373"/>
      <w:bookmarkStart w:id="576" w:name="_Toc27240"/>
      <w:bookmarkStart w:id="577" w:name="_Toc30282"/>
      <w:bookmarkStart w:id="578" w:name="_Toc23174"/>
      <w:r>
        <w:rPr>
          <w:rFonts w:hint="eastAsia"/>
        </w:rPr>
        <w:t>二、安全文明管理制度</w:t>
      </w:r>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p w14:paraId="0AC850AF">
      <w:pPr>
        <w:pStyle w:val="5"/>
        <w:spacing w:before="31" w:after="31"/>
        <w:ind w:firstLine="562"/>
      </w:pPr>
      <w:bookmarkStart w:id="579" w:name="_Toc29077"/>
      <w:bookmarkStart w:id="580" w:name="_Toc15273"/>
      <w:bookmarkStart w:id="581" w:name="_Toc14817"/>
      <w:bookmarkStart w:id="582" w:name="_Toc32100"/>
      <w:bookmarkStart w:id="583" w:name="_Toc11657"/>
      <w:bookmarkStart w:id="584" w:name="_Toc22460"/>
      <w:bookmarkStart w:id="585" w:name="_Toc11412"/>
      <w:bookmarkStart w:id="586" w:name="_Toc14176"/>
      <w:bookmarkStart w:id="587" w:name="_Toc26875"/>
      <w:bookmarkStart w:id="588" w:name="_Toc27157"/>
      <w:bookmarkStart w:id="589" w:name="_Toc11531"/>
      <w:bookmarkStart w:id="590" w:name="_Toc25228"/>
      <w:bookmarkStart w:id="591" w:name="_Toc2103"/>
      <w:bookmarkStart w:id="592" w:name="_Toc7171"/>
      <w:bookmarkStart w:id="593" w:name="_Toc28437"/>
      <w:bookmarkStart w:id="594" w:name="_Toc1920"/>
      <w:bookmarkStart w:id="595" w:name="_Toc20035"/>
      <w:bookmarkStart w:id="596" w:name="_Toc7911"/>
      <w:bookmarkStart w:id="597" w:name="_Toc6769"/>
      <w:bookmarkStart w:id="598" w:name="_Toc15157"/>
      <w:bookmarkStart w:id="599" w:name="_Toc16249"/>
      <w:bookmarkStart w:id="600" w:name="_Toc4638"/>
      <w:bookmarkStart w:id="601" w:name="_Toc859"/>
      <w:bookmarkStart w:id="602" w:name="_Toc32179"/>
      <w:bookmarkStart w:id="603" w:name="_Toc14433"/>
      <w:bookmarkStart w:id="604" w:name="_Toc19987"/>
      <w:bookmarkStart w:id="605" w:name="_Toc4367"/>
      <w:bookmarkStart w:id="606" w:name="_Toc26323"/>
      <w:bookmarkStart w:id="607" w:name="_Toc30359"/>
      <w:bookmarkStart w:id="608" w:name="_Toc25767"/>
      <w:bookmarkStart w:id="609" w:name="_Toc446"/>
      <w:bookmarkStart w:id="610" w:name="_Toc3323"/>
      <w:bookmarkStart w:id="611" w:name="_Toc18029"/>
      <w:bookmarkStart w:id="612" w:name="_Toc2592"/>
      <w:bookmarkStart w:id="613" w:name="_Toc26223"/>
      <w:bookmarkStart w:id="614" w:name="_Toc1840"/>
      <w:bookmarkStart w:id="615" w:name="_Toc31953"/>
      <w:bookmarkStart w:id="616" w:name="_Toc26838"/>
      <w:bookmarkStart w:id="617" w:name="_Toc28906"/>
      <w:bookmarkStart w:id="618" w:name="_Toc18174"/>
      <w:bookmarkStart w:id="619" w:name="_Toc19304"/>
      <w:bookmarkStart w:id="620" w:name="_Toc10634"/>
      <w:bookmarkStart w:id="621" w:name="_Toc24967"/>
      <w:bookmarkStart w:id="622" w:name="_Toc13305"/>
      <w:bookmarkStart w:id="623" w:name="_Toc18739"/>
      <w:bookmarkStart w:id="624" w:name="_Toc25799"/>
      <w:bookmarkStart w:id="625" w:name="_Toc29133"/>
      <w:bookmarkStart w:id="626" w:name="_Toc1606"/>
      <w:bookmarkStart w:id="627" w:name="_Toc26913"/>
      <w:bookmarkStart w:id="628" w:name="_Toc26179"/>
      <w:bookmarkStart w:id="629" w:name="_Toc1208"/>
      <w:bookmarkStart w:id="630" w:name="_Toc6169"/>
      <w:bookmarkStart w:id="631" w:name="_Toc2081"/>
      <w:bookmarkStart w:id="632" w:name="_Toc12073"/>
      <w:bookmarkStart w:id="633" w:name="_Toc3127"/>
      <w:bookmarkStart w:id="634" w:name="_Toc30125"/>
      <w:bookmarkStart w:id="635" w:name="_Toc19106"/>
      <w:bookmarkStart w:id="636" w:name="_Toc9319"/>
      <w:bookmarkStart w:id="637" w:name="_Toc1473"/>
      <w:bookmarkStart w:id="638" w:name="_Toc4186"/>
      <w:r>
        <w:rPr>
          <w:rFonts w:hint="eastAsia"/>
        </w:rPr>
        <w:t>（一）安全生产保证制度</w:t>
      </w:r>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p>
    <w:p w14:paraId="7083D04C">
      <w:pPr>
        <w:ind w:firstLine="560"/>
      </w:pPr>
      <w:r>
        <w:rPr>
          <w:rFonts w:hint="eastAsia"/>
        </w:rPr>
        <w:t>⑴建立健全安全责任制：项目经理是安全生产第一责任人，各项经济承包有明确的安全指标包括奖罚办法在内的保证措施，项目管理部与各专业班组之间必须签订安全生产协议书。</w:t>
      </w:r>
    </w:p>
    <w:p w14:paraId="0143108C">
      <w:pPr>
        <w:ind w:firstLine="560"/>
      </w:pPr>
      <w:r>
        <w:rPr>
          <w:rFonts w:hint="eastAsia"/>
        </w:rPr>
        <w:t>⑵实行安全生产宣传教育及三级教育制：定期进行安全知识学习，安全意识教育，宣传有关法律、法规及好人好事的内容。新进入公司的工人，须经公司，项目部、班组三级安全教育：变换工种的工人，须进行工种的安全技术教育，工人必须达到熟悉本工种的安全操作规定，认真建立《职工劳动保护记录卡》,及时做好记录。</w:t>
      </w:r>
    </w:p>
    <w:p w14:paraId="378FA5E3">
      <w:pPr>
        <w:ind w:firstLine="560"/>
      </w:pPr>
      <w:r>
        <w:rPr>
          <w:rFonts w:hint="eastAsia"/>
        </w:rPr>
        <w:t>⑶坚持安全技术措施审批制：施工组织设计应有针对性的安全技术措施，对特殊部位还单独制定安全技术措施，所有技术措施必须经项目技术负责人审查批准，送公司安全管理部门审查备案。</w:t>
      </w:r>
    </w:p>
    <w:p w14:paraId="61C5EF29">
      <w:pPr>
        <w:ind w:firstLine="560"/>
      </w:pPr>
      <w:r>
        <w:rPr>
          <w:rFonts w:hint="eastAsia"/>
        </w:rPr>
        <w:t>⑷实施分部分项工程的安全技术交底制度：项目部必须进行全面的针对性的安全技术交底，履行交底者与接收者的签字手续，层层交底。</w:t>
      </w:r>
    </w:p>
    <w:p w14:paraId="1542E86F">
      <w:pPr>
        <w:ind w:firstLine="560"/>
      </w:pPr>
      <w:r>
        <w:rPr>
          <w:rFonts w:hint="eastAsia"/>
        </w:rPr>
        <w:t>⑸严格执行特种作业持证上岗制：特种作业人员必须经培训考试合格持证上岗，操作证必须按期复审，不得超期使用，名册齐全。</w:t>
      </w:r>
    </w:p>
    <w:p w14:paraId="29EB40FC">
      <w:pPr>
        <w:ind w:firstLine="560"/>
      </w:pPr>
      <w:r>
        <w:rPr>
          <w:rFonts w:hint="eastAsia"/>
        </w:rPr>
        <w:t>⑹建立轮流值班制：建立由项目经理参加的有施工员、安全员在内的轮流值班制度，检查监督施工现场及班组安全制度的贯彻执行，并做好安全值日制度。</w:t>
      </w:r>
    </w:p>
    <w:p w14:paraId="2CB7B93E">
      <w:pPr>
        <w:ind w:firstLine="560"/>
      </w:pPr>
      <w:r>
        <w:rPr>
          <w:rFonts w:hint="eastAsia"/>
        </w:rPr>
        <w:t>⑺建立定期安全检查制：必须建立定期安全检查制度，有时间、有要求、明确重点部位、危险岗位。安全检查有记录。对查出的隐患应及时整改，做到定人、定时间、定措施。</w:t>
      </w:r>
    </w:p>
    <w:p w14:paraId="0282182B">
      <w:pPr>
        <w:ind w:firstLine="560"/>
      </w:pPr>
      <w:r>
        <w:rPr>
          <w:rFonts w:hint="eastAsia"/>
        </w:rPr>
        <w:t>⑻开展班组“三上岗、一讲评”活动：班组在班前须进行上岗交底、上岗检查、上岗记录的“三上岗”和每周一次的“一讲评”活动。对班组的安全活动，具有考核措施。遵章守纪、佩带胸牌、严禁违章指挥、违章作业。</w:t>
      </w:r>
    </w:p>
    <w:p w14:paraId="6868855C">
      <w:pPr>
        <w:ind w:firstLine="560"/>
      </w:pPr>
      <w:r>
        <w:rPr>
          <w:rFonts w:hint="eastAsia"/>
        </w:rPr>
        <w:t>⑼建立工伤事故处理制：建立事故档案，按调查分析规则、规定、进行处理报告，认真做好“四不放过”工作。</w:t>
      </w:r>
    </w:p>
    <w:p w14:paraId="5C661DDA">
      <w:pPr>
        <w:ind w:firstLine="560"/>
      </w:pPr>
      <w:r>
        <w:rPr>
          <w:rFonts w:hint="eastAsia"/>
        </w:rPr>
        <w:t>⑽树立“七牌两图”与安全标牌制：施工现场必须有“七牌两图”，图牌应规格统一，字迹端正，标识明确，夜间亮化，施工工地必须有安全生产宣传牌。在主要施工部位、作业点、危险区、主要通道都必须挂有安全宣传标语或安全警告牌。</w:t>
      </w:r>
    </w:p>
    <w:p w14:paraId="5B507FE5">
      <w:pPr>
        <w:pStyle w:val="5"/>
        <w:spacing w:before="31" w:after="31"/>
        <w:ind w:firstLine="562"/>
      </w:pPr>
      <w:bookmarkStart w:id="639" w:name="_Toc24969"/>
      <w:bookmarkStart w:id="640" w:name="_Toc27427"/>
      <w:bookmarkStart w:id="641" w:name="_Toc31918"/>
      <w:bookmarkStart w:id="642" w:name="_Toc23717"/>
      <w:bookmarkStart w:id="643" w:name="_Toc21784"/>
      <w:bookmarkStart w:id="644" w:name="_Toc15935"/>
      <w:bookmarkStart w:id="645" w:name="_Toc11652"/>
      <w:bookmarkStart w:id="646" w:name="_Toc13009"/>
      <w:bookmarkStart w:id="647" w:name="_Toc15982"/>
      <w:bookmarkStart w:id="648" w:name="_Toc16936"/>
      <w:bookmarkStart w:id="649" w:name="_Toc32120"/>
      <w:bookmarkStart w:id="650" w:name="_Toc2927"/>
      <w:bookmarkStart w:id="651" w:name="_Toc499"/>
      <w:bookmarkStart w:id="652" w:name="_Toc31236"/>
      <w:bookmarkStart w:id="653" w:name="_Toc10005"/>
      <w:bookmarkStart w:id="654" w:name="_Toc11026"/>
      <w:bookmarkStart w:id="655" w:name="_Toc23130"/>
      <w:bookmarkStart w:id="656" w:name="_Toc2688"/>
      <w:bookmarkStart w:id="657" w:name="_Toc1003"/>
      <w:bookmarkStart w:id="658" w:name="_Toc15429"/>
      <w:bookmarkStart w:id="659" w:name="_Toc11074"/>
      <w:bookmarkStart w:id="660" w:name="_Toc25437"/>
      <w:bookmarkStart w:id="661" w:name="_Toc2534"/>
      <w:bookmarkStart w:id="662" w:name="_Toc22193"/>
      <w:bookmarkStart w:id="663" w:name="_Toc304"/>
      <w:bookmarkStart w:id="664" w:name="_Toc5710"/>
      <w:bookmarkStart w:id="665" w:name="_Toc30770"/>
      <w:bookmarkStart w:id="666" w:name="_Toc24895"/>
      <w:bookmarkStart w:id="667" w:name="_Toc21843"/>
      <w:bookmarkStart w:id="668" w:name="_Toc29357"/>
      <w:bookmarkStart w:id="669" w:name="_Toc17179"/>
      <w:bookmarkStart w:id="670" w:name="_Toc20043"/>
      <w:bookmarkStart w:id="671" w:name="_Toc2587"/>
      <w:bookmarkStart w:id="672" w:name="_Toc5932"/>
      <w:bookmarkStart w:id="673" w:name="_Toc10190"/>
      <w:bookmarkStart w:id="674" w:name="_Toc1660"/>
      <w:bookmarkStart w:id="675" w:name="_Toc22005"/>
      <w:bookmarkStart w:id="676" w:name="_Toc26686"/>
      <w:bookmarkStart w:id="677" w:name="_Toc17827"/>
      <w:bookmarkStart w:id="678" w:name="_Toc3605"/>
      <w:bookmarkStart w:id="679" w:name="_Toc12928"/>
      <w:bookmarkStart w:id="680" w:name="_Toc12848"/>
      <w:bookmarkStart w:id="681" w:name="_Toc28864"/>
      <w:bookmarkStart w:id="682" w:name="_Toc12020"/>
      <w:bookmarkStart w:id="683" w:name="_Toc11478"/>
      <w:bookmarkStart w:id="684" w:name="_Toc475"/>
      <w:bookmarkStart w:id="685" w:name="_Toc24262"/>
      <w:bookmarkStart w:id="686" w:name="_Toc29449"/>
      <w:bookmarkStart w:id="687" w:name="_Toc13223"/>
      <w:bookmarkStart w:id="688" w:name="_Toc8912"/>
      <w:bookmarkStart w:id="689" w:name="_Toc21848"/>
      <w:bookmarkStart w:id="690" w:name="_Toc4749"/>
      <w:bookmarkStart w:id="691" w:name="_Toc4453"/>
      <w:bookmarkStart w:id="692" w:name="_Toc13765"/>
      <w:bookmarkStart w:id="693" w:name="_Toc24201"/>
      <w:bookmarkStart w:id="694" w:name="_Toc13969"/>
      <w:r>
        <w:rPr>
          <w:rFonts w:hint="eastAsia"/>
        </w:rPr>
        <w:t>（二）施工项目现场安全管理</w:t>
      </w:r>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p>
    <w:p w14:paraId="2257396E">
      <w:pPr>
        <w:ind w:firstLine="560"/>
      </w:pPr>
      <w:r>
        <w:rPr>
          <w:rFonts w:hint="eastAsia"/>
        </w:rPr>
        <w:t>制定各项安全防护制度</w:t>
      </w:r>
    </w:p>
    <w:p w14:paraId="327D2BA2">
      <w:pPr>
        <w:ind w:firstLine="560"/>
      </w:pPr>
      <w:r>
        <w:rPr>
          <w:rFonts w:hint="eastAsia"/>
        </w:rPr>
        <w:t>⑴机械设备的保养与维修制度</w:t>
      </w:r>
    </w:p>
    <w:p w14:paraId="5883DEF1">
      <w:pPr>
        <w:ind w:firstLine="560"/>
      </w:pPr>
      <w:r>
        <w:rPr>
          <w:rFonts w:hint="eastAsia"/>
        </w:rPr>
        <w:t>①由操作人员每日（班）工作前、工作中和工作后进行例行保养。</w:t>
      </w:r>
    </w:p>
    <w:p w14:paraId="646E1CB7">
      <w:pPr>
        <w:ind w:firstLine="560"/>
      </w:pPr>
      <w:r>
        <w:rPr>
          <w:rFonts w:hint="eastAsia"/>
        </w:rPr>
        <w:t>②机械设备运转到规定的保养时间时，应停机进行保养。</w:t>
      </w:r>
    </w:p>
    <w:p w14:paraId="377093B8">
      <w:pPr>
        <w:ind w:firstLine="560"/>
      </w:pPr>
      <w:r>
        <w:rPr>
          <w:rFonts w:hint="eastAsia"/>
        </w:rPr>
        <w:t>③按机械预检修计划进行中修和大修。</w:t>
      </w:r>
    </w:p>
    <w:p w14:paraId="764E19F3">
      <w:pPr>
        <w:ind w:firstLine="560"/>
      </w:pPr>
      <w:r>
        <w:rPr>
          <w:rFonts w:hint="eastAsia"/>
        </w:rPr>
        <w:t>⑵安全技术交底制度</w:t>
      </w:r>
    </w:p>
    <w:p w14:paraId="49300E94">
      <w:pPr>
        <w:ind w:firstLine="560"/>
      </w:pPr>
      <w:r>
        <w:rPr>
          <w:rFonts w:hint="eastAsia"/>
        </w:rPr>
        <w:t>①安全技术交底是指导工人安全施工的技术措施，是项目安全技术方案的具体落实。安全技术交底一般由技术管理人员根据分部分项工程的具体要求、特点和危险因素编写，是操作者的指令性文件，因而，要具体、明确、针对性强，不得用施工现场的安全纪律、安全检查等制度代替，在进行工程技术交底的同时进行安全技术交底。</w:t>
      </w:r>
    </w:p>
    <w:p w14:paraId="316A0489">
      <w:pPr>
        <w:ind w:firstLine="560"/>
      </w:pPr>
      <w:r>
        <w:rPr>
          <w:rFonts w:hint="eastAsia"/>
        </w:rPr>
        <w:t>②混凝土工安全技术交底</w:t>
      </w:r>
    </w:p>
    <w:p w14:paraId="57F84E80">
      <w:pPr>
        <w:ind w:firstLine="560"/>
      </w:pPr>
      <w:r>
        <w:rPr>
          <w:rFonts w:hint="eastAsia"/>
        </w:rPr>
        <w:t>a、振动器停止使用应关闭电动机，搬动电动机应切断电源，不得用电缆线拖拉扯动电动机。</w:t>
      </w:r>
    </w:p>
    <w:p w14:paraId="6BE578FB">
      <w:pPr>
        <w:ind w:firstLine="560"/>
      </w:pPr>
      <w:r>
        <w:rPr>
          <w:rFonts w:hint="eastAsia"/>
        </w:rPr>
        <w:t>b、电缆线上不得有裸露之处，不允许在电缆线上堆放其他物品和车压人踏。</w:t>
      </w:r>
    </w:p>
    <w:p w14:paraId="1C3E6C77">
      <w:pPr>
        <w:ind w:firstLine="560"/>
      </w:pPr>
      <w:r>
        <w:rPr>
          <w:rFonts w:hint="eastAsia"/>
        </w:rPr>
        <w:t>c、用绳拉平板振动器应与平板绑紧，电源线必须固定在平板上，电源开关应安装在手把上。</w:t>
      </w:r>
    </w:p>
    <w:p w14:paraId="166353B6">
      <w:pPr>
        <w:ind w:firstLine="560"/>
      </w:pPr>
      <w:r>
        <w:rPr>
          <w:rFonts w:hint="eastAsia"/>
        </w:rPr>
        <w:t>d、振动器必须安装有漏电保护器，特殊部位下浇筑混凝土，如无可靠安全设施，应系安全带。</w:t>
      </w:r>
    </w:p>
    <w:p w14:paraId="3D69D474">
      <w:pPr>
        <w:ind w:firstLine="560"/>
      </w:pPr>
      <w:r>
        <w:rPr>
          <w:rFonts w:hint="eastAsia"/>
        </w:rPr>
        <w:t>e、电工作业安全技术交底</w:t>
      </w:r>
    </w:p>
    <w:p w14:paraId="729DCDE1">
      <w:pPr>
        <w:ind w:firstLine="560"/>
      </w:pPr>
      <w:r>
        <w:rPr>
          <w:rFonts w:hint="eastAsia"/>
        </w:rPr>
        <w:t>e1、所有绝缘、检验工具，应妥善保管，严禁他用，并应定期检查、校验。</w:t>
      </w:r>
    </w:p>
    <w:p w14:paraId="6DE3E374">
      <w:pPr>
        <w:ind w:firstLine="560"/>
      </w:pPr>
      <w:r>
        <w:rPr>
          <w:rFonts w:hint="eastAsia"/>
        </w:rPr>
        <w:t>e2、现场施工用高低压设备及线路，应按照施工设计及有关电气安全技术规程安装和架设。</w:t>
      </w:r>
    </w:p>
    <w:p w14:paraId="2925FC25">
      <w:pPr>
        <w:ind w:firstLine="560"/>
      </w:pPr>
      <w:r>
        <w:rPr>
          <w:rFonts w:hint="eastAsia"/>
        </w:rPr>
        <w:t>e3、线路上禁止带负荷接电或断电，并禁止带电操作。</w:t>
      </w:r>
    </w:p>
    <w:p w14:paraId="315A8E7E">
      <w:pPr>
        <w:ind w:firstLine="560"/>
      </w:pPr>
      <w:r>
        <w:rPr>
          <w:rFonts w:hint="eastAsia"/>
        </w:rPr>
        <w:t>e4、有人触电，立即切断电源，进行急救；电气着火，应立即将电源切断，使用泡沫灭火器或干砂灭火。</w:t>
      </w:r>
    </w:p>
    <w:p w14:paraId="3FC51F9E">
      <w:pPr>
        <w:ind w:firstLine="560"/>
      </w:pPr>
      <w:r>
        <w:rPr>
          <w:rFonts w:hint="eastAsia"/>
        </w:rPr>
        <w:t>e5、现场变配电高压设备，不论带电与否，单人值班不准超越遮栏和从事修理工作。</w:t>
      </w:r>
    </w:p>
    <w:p w14:paraId="3BC9969D">
      <w:pPr>
        <w:ind w:firstLine="560"/>
      </w:pPr>
      <w:r>
        <w:rPr>
          <w:rFonts w:hint="eastAsia"/>
        </w:rPr>
        <w:t>e6、在高压带电区域内部停电工作时，人体与带电部分，应保持安全距离，并需有人监护。</w:t>
      </w:r>
    </w:p>
    <w:p w14:paraId="3191F094">
      <w:pPr>
        <w:ind w:firstLine="560"/>
      </w:pPr>
      <w:r>
        <w:rPr>
          <w:rFonts w:hint="eastAsia"/>
        </w:rPr>
        <w:t>e7、雨天室外操作时，除穿戴绝缘防护用品以外，绝缘捧应有防雨罩，并有人监护。严禁带负荷拉、合开关。</w:t>
      </w:r>
    </w:p>
    <w:p w14:paraId="0389BB67">
      <w:pPr>
        <w:ind w:firstLine="560"/>
      </w:pPr>
      <w:r>
        <w:rPr>
          <w:rFonts w:hint="eastAsia"/>
        </w:rPr>
        <w:t>e8、电气设备的金属外壳必须接零。同一供电网不允许有的接地有的接零。</w:t>
      </w:r>
    </w:p>
    <w:p w14:paraId="65B58FB2">
      <w:pPr>
        <w:ind w:firstLine="560"/>
      </w:pPr>
      <w:r>
        <w:rPr>
          <w:rFonts w:hint="eastAsia"/>
        </w:rPr>
        <w:t>e9、电气设备所有保险丝的额定电流与其负荷容量相适应。禁止用其他金属线代替保险丝。</w:t>
      </w:r>
    </w:p>
    <w:p w14:paraId="2F818853">
      <w:pPr>
        <w:ind w:firstLine="560"/>
      </w:pPr>
      <w:r>
        <w:rPr>
          <w:rFonts w:hint="eastAsia"/>
        </w:rPr>
        <w:t>e10、施工现场夜间临时照明电线及灯具，高度应不低于2.5m。易燃、易爆场所，应用防爆灯具。</w:t>
      </w:r>
    </w:p>
    <w:p w14:paraId="3A569854">
      <w:pPr>
        <w:pStyle w:val="5"/>
        <w:spacing w:before="31" w:after="31"/>
        <w:ind w:firstLine="562"/>
      </w:pPr>
      <w:bookmarkStart w:id="695" w:name="_Toc5012"/>
      <w:bookmarkStart w:id="696" w:name="_Toc1437"/>
      <w:bookmarkStart w:id="697" w:name="_Toc12553"/>
      <w:bookmarkStart w:id="698" w:name="_Toc20036"/>
      <w:bookmarkStart w:id="699" w:name="_Toc11789"/>
      <w:bookmarkStart w:id="700" w:name="_Toc23999"/>
      <w:bookmarkStart w:id="701" w:name="_Toc4538"/>
      <w:bookmarkStart w:id="702" w:name="_Toc18340"/>
      <w:bookmarkStart w:id="703" w:name="_Toc30872"/>
      <w:bookmarkStart w:id="704" w:name="_Toc29897"/>
      <w:bookmarkStart w:id="705" w:name="_Toc9404"/>
      <w:bookmarkStart w:id="706" w:name="_Toc20953"/>
      <w:bookmarkStart w:id="707" w:name="_Toc8532"/>
      <w:bookmarkStart w:id="708" w:name="_Toc31161"/>
      <w:bookmarkStart w:id="709" w:name="_Toc21721"/>
      <w:bookmarkStart w:id="710" w:name="_Toc267"/>
      <w:bookmarkStart w:id="711" w:name="_Toc20073"/>
      <w:bookmarkStart w:id="712" w:name="_Toc10862"/>
      <w:bookmarkStart w:id="713" w:name="_Toc25442"/>
      <w:bookmarkStart w:id="714" w:name="_Toc3238"/>
      <w:bookmarkStart w:id="715" w:name="_Toc6448"/>
      <w:bookmarkStart w:id="716" w:name="_Toc14356"/>
      <w:bookmarkStart w:id="717" w:name="_Toc16330"/>
      <w:bookmarkStart w:id="718" w:name="_Toc3977"/>
      <w:bookmarkStart w:id="719" w:name="_Toc8345"/>
      <w:bookmarkStart w:id="720" w:name="_Toc7477"/>
      <w:bookmarkStart w:id="721" w:name="_Toc19491"/>
      <w:bookmarkStart w:id="722" w:name="_Toc7644"/>
      <w:bookmarkStart w:id="723" w:name="_Toc17987"/>
      <w:bookmarkStart w:id="724" w:name="_Toc20789"/>
      <w:bookmarkStart w:id="725" w:name="_Toc14212"/>
      <w:bookmarkStart w:id="726" w:name="_Toc1574"/>
      <w:bookmarkStart w:id="727" w:name="_Toc8606"/>
      <w:bookmarkStart w:id="728" w:name="_Toc30974"/>
      <w:bookmarkStart w:id="729" w:name="_Toc3699"/>
      <w:bookmarkStart w:id="730" w:name="_Toc24764"/>
      <w:bookmarkStart w:id="731" w:name="_Toc3661"/>
      <w:bookmarkStart w:id="732" w:name="_Toc14281"/>
      <w:bookmarkStart w:id="733" w:name="_Toc14588"/>
      <w:bookmarkStart w:id="734" w:name="_Toc3191"/>
      <w:bookmarkStart w:id="735" w:name="_Toc1189"/>
      <w:bookmarkStart w:id="736" w:name="_Toc30211"/>
      <w:bookmarkStart w:id="737" w:name="_Toc6700"/>
      <w:bookmarkStart w:id="738" w:name="_Toc5266"/>
      <w:bookmarkStart w:id="739" w:name="_Toc11481"/>
      <w:bookmarkStart w:id="740" w:name="_Toc8399"/>
      <w:bookmarkStart w:id="741" w:name="_Toc755"/>
      <w:bookmarkStart w:id="742" w:name="_Toc14202"/>
      <w:bookmarkStart w:id="743" w:name="_Toc32445"/>
      <w:bookmarkStart w:id="744" w:name="_Toc17839"/>
      <w:bookmarkStart w:id="745" w:name="_Toc18398"/>
      <w:bookmarkStart w:id="746" w:name="_Toc7589"/>
      <w:bookmarkStart w:id="747" w:name="_Toc1544"/>
      <w:bookmarkStart w:id="748" w:name="_Toc1664"/>
      <w:bookmarkStart w:id="749" w:name="_Toc27627"/>
      <w:r>
        <w:rPr>
          <w:rFonts w:hint="eastAsia"/>
        </w:rPr>
        <w:t>（三）临时用电安全防护</w:t>
      </w:r>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p>
    <w:p w14:paraId="2ACCD4E6">
      <w:pPr>
        <w:ind w:firstLine="560"/>
      </w:pPr>
      <w:r>
        <w:rPr>
          <w:rFonts w:hint="eastAsia"/>
        </w:rPr>
        <w:t>⑴临时用电必须符合中华人民共和国城乡建设环境保护部颁部标准和当地供电部门的有关安全执行规程。</w:t>
      </w:r>
    </w:p>
    <w:p w14:paraId="124E4F67">
      <w:pPr>
        <w:ind w:firstLine="560"/>
      </w:pPr>
      <w:r>
        <w:rPr>
          <w:rFonts w:hint="eastAsia"/>
        </w:rPr>
        <w:t>⑵混凝土搅拌站和电动设备集中使用的场所，应由技术人员编制临时用施工组织设计，经技术负责人审核，主管部门批准后实施。</w:t>
      </w:r>
    </w:p>
    <w:p w14:paraId="7B9B7408">
      <w:pPr>
        <w:ind w:firstLine="560"/>
      </w:pPr>
      <w:r>
        <w:rPr>
          <w:rFonts w:hint="eastAsia"/>
        </w:rPr>
        <w:t>⑶使用自备电源或外从线路共同一供电系统时，电气设备应作保护接零或保护接地，不得一部分设备作保护接零，另一部分作保护接地。</w:t>
      </w:r>
    </w:p>
    <w:p w14:paraId="16B47C21">
      <w:pPr>
        <w:ind w:firstLine="560"/>
      </w:pPr>
      <w:r>
        <w:rPr>
          <w:rFonts w:hint="eastAsia"/>
        </w:rPr>
        <w:t>⑷移动式发电机供电的用电设备，其金属外壳或底座应与发电机电源的接地装置有可靠的电气连接。</w:t>
      </w:r>
    </w:p>
    <w:p w14:paraId="35B76B29">
      <w:pPr>
        <w:ind w:firstLine="560"/>
      </w:pPr>
      <w:r>
        <w:rPr>
          <w:rFonts w:hint="eastAsia"/>
        </w:rPr>
        <w:t>⑸低压架空线必须采用绝缘铜线或铝线，架空线必须设在专用电杆上，严禁架设在树干上；施工现场的架空线最大弧垂距地不小于4m。</w:t>
      </w:r>
    </w:p>
    <w:p w14:paraId="0841643F">
      <w:pPr>
        <w:ind w:firstLine="560"/>
      </w:pPr>
      <w:r>
        <w:rPr>
          <w:rFonts w:hint="eastAsia"/>
        </w:rPr>
        <w:t>⑹电缆线沿地面敷设时，不得采用老化脱皮的电缆线，中间接头应牢固可靠保持绝缘强度，不得承受拉力，过路处要穿管保护，电源端必须设漏电保护装置。</w:t>
      </w:r>
    </w:p>
    <w:p w14:paraId="2EAE13A7">
      <w:pPr>
        <w:ind w:firstLine="560"/>
      </w:pPr>
      <w:r>
        <w:rPr>
          <w:rFonts w:hint="eastAsia"/>
        </w:rPr>
        <w:t>⑺必须坚持一机一闸用电和下班断电加锁的原则。</w:t>
      </w:r>
    </w:p>
    <w:p w14:paraId="00512728">
      <w:pPr>
        <w:ind w:firstLine="560"/>
      </w:pPr>
      <w:r>
        <w:rPr>
          <w:rFonts w:hint="eastAsia"/>
        </w:rPr>
        <w:t>⑻手持电动工具和单相回路的照明开关箱必须装设漏电保护器，照明灯具金属壳必须做接零保护。</w:t>
      </w:r>
    </w:p>
    <w:p w14:paraId="7D7D262B">
      <w:pPr>
        <w:ind w:firstLine="560"/>
      </w:pPr>
      <w:r>
        <w:rPr>
          <w:rFonts w:hint="eastAsia"/>
        </w:rPr>
        <w:t>⑼施工现场临时用电要定期进行检查，防雷保护、接地保护、变压器及绝缘强度月季测定一次；固定用电场所每周检查一次，移动式电动设备、潮湿环境和水下电气设备每天检查一次。对检查不合格的线路设备要及时维修或更换，严禁带故障运行。</w:t>
      </w:r>
    </w:p>
    <w:p w14:paraId="0E61E6F7">
      <w:pPr>
        <w:pStyle w:val="5"/>
        <w:spacing w:before="31" w:after="31"/>
        <w:ind w:firstLine="562"/>
      </w:pPr>
      <w:bookmarkStart w:id="750" w:name="_Toc28602"/>
      <w:bookmarkStart w:id="751" w:name="_Toc9266"/>
      <w:bookmarkStart w:id="752" w:name="_Toc28849"/>
      <w:bookmarkStart w:id="753" w:name="_Toc22317"/>
      <w:bookmarkStart w:id="754" w:name="_Toc14923"/>
      <w:bookmarkStart w:id="755" w:name="_Toc17444"/>
      <w:bookmarkStart w:id="756" w:name="_Toc28665"/>
      <w:bookmarkStart w:id="757" w:name="_Toc7784"/>
      <w:bookmarkStart w:id="758" w:name="_Toc11282"/>
      <w:bookmarkStart w:id="759" w:name="_Toc5895"/>
      <w:bookmarkStart w:id="760" w:name="_Toc4400"/>
      <w:bookmarkStart w:id="761" w:name="_Toc9297"/>
      <w:bookmarkStart w:id="762" w:name="_Toc30662"/>
      <w:bookmarkStart w:id="763" w:name="_Toc8156"/>
      <w:bookmarkStart w:id="764" w:name="_Toc7546"/>
      <w:bookmarkStart w:id="765" w:name="_Toc30281"/>
      <w:bookmarkStart w:id="766" w:name="_Toc16571"/>
      <w:bookmarkStart w:id="767" w:name="_Toc19005"/>
      <w:bookmarkStart w:id="768" w:name="_Toc28796"/>
      <w:bookmarkStart w:id="769" w:name="_Toc15904"/>
      <w:bookmarkStart w:id="770" w:name="_Toc2329"/>
      <w:bookmarkStart w:id="771" w:name="_Toc27190"/>
      <w:bookmarkStart w:id="772" w:name="_Toc26420"/>
      <w:bookmarkStart w:id="773" w:name="_Toc28628"/>
      <w:bookmarkStart w:id="774" w:name="_Toc14001"/>
      <w:bookmarkStart w:id="775" w:name="_Toc2876"/>
      <w:bookmarkStart w:id="776" w:name="_Toc11301"/>
      <w:bookmarkStart w:id="777" w:name="_Toc23647"/>
      <w:bookmarkStart w:id="778" w:name="_Toc10831"/>
      <w:bookmarkStart w:id="779" w:name="_Toc4848"/>
      <w:bookmarkStart w:id="780" w:name="_Toc3592"/>
      <w:bookmarkStart w:id="781" w:name="_Toc28394"/>
      <w:bookmarkStart w:id="782" w:name="_Toc17463"/>
      <w:bookmarkStart w:id="783" w:name="_Toc17299"/>
      <w:bookmarkStart w:id="784" w:name="_Toc8644"/>
      <w:bookmarkStart w:id="785" w:name="_Toc30022"/>
      <w:bookmarkStart w:id="786" w:name="_Toc2536"/>
      <w:bookmarkStart w:id="787" w:name="_Toc11081"/>
      <w:bookmarkStart w:id="788" w:name="_Toc9805"/>
      <w:bookmarkStart w:id="789" w:name="_Toc13605"/>
      <w:bookmarkStart w:id="790" w:name="_Toc28265"/>
      <w:bookmarkStart w:id="791" w:name="_Toc24158"/>
      <w:bookmarkStart w:id="792" w:name="_Toc10789"/>
      <w:bookmarkStart w:id="793" w:name="_Toc27582"/>
      <w:bookmarkStart w:id="794" w:name="_Toc32263"/>
      <w:bookmarkStart w:id="795" w:name="_Toc2087"/>
      <w:bookmarkStart w:id="796" w:name="_Toc5362"/>
      <w:bookmarkStart w:id="797" w:name="_Toc6298"/>
      <w:bookmarkStart w:id="798" w:name="_Toc11096"/>
      <w:bookmarkStart w:id="799" w:name="_Toc11213"/>
      <w:bookmarkStart w:id="800" w:name="_Toc15983"/>
      <w:bookmarkStart w:id="801" w:name="_Toc4599"/>
      <w:bookmarkStart w:id="802" w:name="_Toc25344"/>
      <w:bookmarkStart w:id="803" w:name="_Toc29491"/>
      <w:bookmarkStart w:id="804" w:name="_Toc1837"/>
      <w:bookmarkStart w:id="805" w:name="_Toc5988"/>
      <w:bookmarkStart w:id="806" w:name="_Toc24925"/>
      <w:bookmarkStart w:id="807" w:name="_Toc15969"/>
      <w:bookmarkStart w:id="808" w:name="_Toc27165"/>
      <w:bookmarkStart w:id="809" w:name="_Toc6881"/>
      <w:bookmarkStart w:id="810" w:name="_Toc4307"/>
      <w:bookmarkStart w:id="811" w:name="_Toc16211"/>
      <w:bookmarkStart w:id="812" w:name="_Toc12850"/>
      <w:bookmarkStart w:id="813" w:name="_Toc11855"/>
      <w:bookmarkStart w:id="814" w:name="_Toc30035"/>
      <w:bookmarkStart w:id="815" w:name="_Toc11893"/>
      <w:bookmarkStart w:id="816" w:name="_Toc2414"/>
      <w:bookmarkStart w:id="817" w:name="_Toc1421"/>
      <w:bookmarkStart w:id="818" w:name="_Toc29587"/>
      <w:bookmarkStart w:id="819" w:name="_Toc16049"/>
      <w:bookmarkStart w:id="820" w:name="_Toc10578"/>
      <w:bookmarkStart w:id="821" w:name="_Toc25115"/>
      <w:bookmarkStart w:id="822" w:name="_Toc8728"/>
      <w:bookmarkStart w:id="823" w:name="_Toc7610"/>
      <w:bookmarkStart w:id="824" w:name="_Toc27968"/>
      <w:bookmarkStart w:id="825" w:name="_Toc11726"/>
      <w:bookmarkStart w:id="826" w:name="_Toc24425"/>
      <w:bookmarkStart w:id="827" w:name="_Toc18102"/>
      <w:bookmarkStart w:id="828" w:name="_Toc20523"/>
      <w:bookmarkStart w:id="829" w:name="_Toc21715"/>
      <w:bookmarkStart w:id="830" w:name="_Toc30564"/>
      <w:bookmarkStart w:id="831" w:name="_Toc18649"/>
      <w:bookmarkStart w:id="832" w:name="_Toc16783"/>
      <w:bookmarkStart w:id="833" w:name="_Toc242"/>
      <w:bookmarkStart w:id="834" w:name="_Toc16126"/>
      <w:bookmarkStart w:id="835" w:name="_Toc10293"/>
      <w:bookmarkStart w:id="836" w:name="_Toc18960"/>
      <w:bookmarkStart w:id="837" w:name="_Toc18093"/>
      <w:bookmarkStart w:id="838" w:name="_Toc30540"/>
      <w:bookmarkStart w:id="839" w:name="_Toc8385"/>
      <w:bookmarkStart w:id="840" w:name="_Toc14495"/>
      <w:bookmarkStart w:id="841" w:name="_Toc7501"/>
      <w:bookmarkStart w:id="842" w:name="_Toc21942"/>
      <w:bookmarkStart w:id="843" w:name="_Toc22389"/>
      <w:bookmarkStart w:id="844" w:name="_Toc25947"/>
      <w:bookmarkStart w:id="845" w:name="_Toc5567"/>
      <w:bookmarkStart w:id="846" w:name="_Toc12408"/>
      <w:bookmarkStart w:id="847" w:name="_Toc3426"/>
      <w:bookmarkStart w:id="848" w:name="_Toc26173"/>
      <w:bookmarkStart w:id="849" w:name="_Toc9398"/>
      <w:bookmarkStart w:id="850" w:name="_Toc27137"/>
      <w:bookmarkStart w:id="851" w:name="_Toc917"/>
      <w:bookmarkStart w:id="852" w:name="_Toc16811"/>
      <w:bookmarkStart w:id="853" w:name="_Toc21376"/>
      <w:bookmarkStart w:id="854" w:name="_Toc15324"/>
      <w:bookmarkStart w:id="855" w:name="_Toc2130"/>
      <w:r>
        <w:rPr>
          <w:rFonts w:hint="eastAsia"/>
        </w:rPr>
        <w:t>（四）健全工地文明卫生管理制度</w:t>
      </w:r>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p>
    <w:p w14:paraId="5803FCCB">
      <w:pPr>
        <w:ind w:firstLine="560"/>
      </w:pPr>
      <w:r>
        <w:rPr>
          <w:rFonts w:hint="eastAsia"/>
        </w:rPr>
        <w:t>成立工地文明施工管理小组：由项目副经理任组长，下设医务室，设置常用医疗器械和医药卫生用品，在宿舍、食堂、厕所、浴堂等方面配备专职卫生保洁员，坚持天天清扫，天天检查，为创建文明工地创造条件。同时做好以下工作：</w:t>
      </w:r>
    </w:p>
    <w:p w14:paraId="27DA8AD9">
      <w:pPr>
        <w:ind w:firstLine="560"/>
      </w:pPr>
      <w:r>
        <w:t>1</w:t>
      </w:r>
      <w:r>
        <w:rPr>
          <w:rFonts w:hint="eastAsia"/>
        </w:rPr>
        <w:t>、建立健全《施工现场卫生管理制度》、《工地休息室管理办法》、《工地食堂管理办法》、《食堂卫生责任制》、《工地就餐制度》、《厕所保洁制度》和《员工健康体检制度》等一系列卫生管理制度，并依据制度进行日常工作与检查，把卫生管理落到实处。</w:t>
      </w:r>
    </w:p>
    <w:p w14:paraId="39FD7348">
      <w:pPr>
        <w:ind w:firstLine="560"/>
      </w:pPr>
      <w:r>
        <w:t>2</w:t>
      </w:r>
      <w:r>
        <w:rPr>
          <w:rFonts w:hint="eastAsia"/>
        </w:rPr>
        <w:t>、抓好工地食堂与休息室的卫生管理：</w:t>
      </w:r>
    </w:p>
    <w:p w14:paraId="6D405168">
      <w:pPr>
        <w:ind w:firstLine="560"/>
      </w:pPr>
      <w:r>
        <w:rPr>
          <w:rFonts w:hint="eastAsia"/>
        </w:rPr>
        <w:t>（</w:t>
      </w:r>
      <w:r>
        <w:t>1</w:t>
      </w:r>
      <w:r>
        <w:rPr>
          <w:rFonts w:hint="eastAsia"/>
        </w:rPr>
        <w:t>）在食堂管理方面，坚持炊事员持证上岗，保持食堂清洁整齐、设置冰箱、防尘防蝇罩、灭鼠笼，保持生熟仪器卫生。</w:t>
      </w:r>
    </w:p>
    <w:p w14:paraId="4C987507">
      <w:pPr>
        <w:ind w:firstLine="560"/>
      </w:pPr>
      <w:r>
        <w:rPr>
          <w:rFonts w:hint="eastAsia"/>
        </w:rPr>
        <w:t>（</w:t>
      </w:r>
      <w:r>
        <w:t>2</w:t>
      </w:r>
      <w:r>
        <w:rPr>
          <w:rFonts w:hint="eastAsia"/>
        </w:rPr>
        <w:t>）在工地休息室管理方面，要努力改善工人的休息环境，保持休息室牢固、美观，不漏、采光通风良好，每间休息室内配设集体衣柜、碗柜，使工人生活用品等整齐存放。对休息室管理实行室长责任制和卫生值班制度，每天进行检查，月底进行综合考评，对保持较好的宿舍授予流动红旗，做得相对较差的尾巴宿舍给予批批评直至罚款。</w:t>
      </w:r>
    </w:p>
    <w:p w14:paraId="701F2B55">
      <w:pPr>
        <w:ind w:firstLine="560"/>
      </w:pPr>
      <w:r>
        <w:rPr>
          <w:rFonts w:hint="eastAsia"/>
        </w:rPr>
        <w:t>（</w:t>
      </w:r>
      <w:r>
        <w:t>3</w:t>
      </w:r>
      <w:r>
        <w:rPr>
          <w:rFonts w:hint="eastAsia"/>
        </w:rPr>
        <w:t>）严格消毒制度，对生活用水和炊事水挂牌标明，洗衣池和洗碗池严格分开，洗碗池又分为清洗池和消毒池，最大限度减少污染源。</w:t>
      </w:r>
    </w:p>
    <w:p w14:paraId="01C7D2D9">
      <w:pPr>
        <w:ind w:firstLine="560"/>
      </w:pPr>
      <w:r>
        <w:t>3</w:t>
      </w:r>
      <w:r>
        <w:rPr>
          <w:rFonts w:hint="eastAsia"/>
        </w:rPr>
        <w:t>、注意职工防病、治病：</w:t>
      </w:r>
    </w:p>
    <w:p w14:paraId="56FF07D5">
      <w:pPr>
        <w:ind w:firstLine="560"/>
      </w:pPr>
      <w:r>
        <w:rPr>
          <w:rFonts w:hint="eastAsia"/>
        </w:rPr>
        <w:t>定期对职工健康进行体检，建立职工健康状况档案，对患病职工及时治疗，通过黑板报、标语等多种形式对员工进行防病知识教育，并定期发放预防药物，最大限度的减少传染病的发病率。</w:t>
      </w:r>
    </w:p>
    <w:p w14:paraId="64781A0A">
      <w:pPr>
        <w:ind w:firstLine="560"/>
      </w:pPr>
      <w:r>
        <w:t>4</w:t>
      </w:r>
      <w:r>
        <w:rPr>
          <w:rFonts w:hint="eastAsia"/>
        </w:rPr>
        <w:t>、做好文明教育及施工材料管理：</w:t>
      </w:r>
    </w:p>
    <w:p w14:paraId="1F764EC3">
      <w:pPr>
        <w:ind w:firstLine="560"/>
      </w:pPr>
      <w:r>
        <w:rPr>
          <w:rFonts w:hint="eastAsia"/>
        </w:rPr>
        <w:t>（</w:t>
      </w:r>
      <w:r>
        <w:t>1</w:t>
      </w:r>
      <w:r>
        <w:rPr>
          <w:rFonts w:hint="eastAsia"/>
        </w:rPr>
        <w:t>）领导干部要带头讲文明，并教育广大职工团结互助，尊重领导，以礼待人。</w:t>
      </w:r>
    </w:p>
    <w:p w14:paraId="42AA4B2A">
      <w:pPr>
        <w:ind w:firstLine="560"/>
      </w:pPr>
      <w:r>
        <w:rPr>
          <w:rFonts w:hint="eastAsia"/>
        </w:rPr>
        <w:t>（</w:t>
      </w:r>
      <w:r>
        <w:t>2</w:t>
      </w:r>
      <w:r>
        <w:rPr>
          <w:rFonts w:hint="eastAsia"/>
        </w:rPr>
        <w:t>）工地入口处应布置现场标志牌，标明工程负责人，技术负责人，材料、机械及安全负责人姓名，标志牌鲜明、醒目、工整。</w:t>
      </w:r>
    </w:p>
    <w:p w14:paraId="0B451099">
      <w:pPr>
        <w:ind w:firstLine="560"/>
      </w:pPr>
      <w:r>
        <w:rPr>
          <w:rFonts w:hint="eastAsia"/>
        </w:rPr>
        <w:t>（</w:t>
      </w:r>
      <w:r>
        <w:t>3</w:t>
      </w:r>
      <w:r>
        <w:rPr>
          <w:rFonts w:hint="eastAsia"/>
        </w:rPr>
        <w:t>）实行专人管理负责制，场地分片包干制。保持施工现场道路畅通无阻，排水顺畅无积水，场地整洁无垃圾，工地办公室、要经常打扫，保持清洁。</w:t>
      </w:r>
    </w:p>
    <w:p w14:paraId="5A25DEEF">
      <w:pPr>
        <w:ind w:firstLine="560"/>
      </w:pPr>
      <w:r>
        <w:rPr>
          <w:rFonts w:hint="eastAsia"/>
        </w:rPr>
        <w:t>（</w:t>
      </w:r>
      <w:r>
        <w:t>4</w:t>
      </w:r>
      <w:r>
        <w:rPr>
          <w:rFonts w:hint="eastAsia"/>
        </w:rPr>
        <w:t>）各种材料及机具要按施工总平面图中指定的地点堆放整齐，做到砂石成方、砖成垛，材料要注意清底用净，钢管、模板要分规格码放整齐。</w:t>
      </w:r>
    </w:p>
    <w:p w14:paraId="4AF7A3CE">
      <w:pPr>
        <w:ind w:firstLine="560"/>
      </w:pPr>
      <w:r>
        <w:rPr>
          <w:rFonts w:hint="eastAsia"/>
        </w:rPr>
        <w:t>保持机械的整洁，做到标记、编号明显、安全装置灵敏有效，操作规程醒目。钢材分规格码放整齐，料牌齐全。</w:t>
      </w:r>
    </w:p>
    <w:p w14:paraId="18696C0E">
      <w:pPr>
        <w:ind w:firstLine="560"/>
      </w:pPr>
      <w:r>
        <w:rPr>
          <w:rFonts w:hint="eastAsia"/>
        </w:rPr>
        <w:t>坚决杜绝浪费现象，严禁随地乱丢材料，施工中的垃圾指定专人负责清理。</w:t>
      </w:r>
    </w:p>
    <w:p w14:paraId="1D63C77C">
      <w:pPr>
        <w:ind w:firstLine="560"/>
      </w:pPr>
      <w:r>
        <w:t>6</w:t>
      </w:r>
      <w:r>
        <w:rPr>
          <w:rFonts w:hint="eastAsia"/>
        </w:rPr>
        <w:t>、处理好工地污水排放与垃圾管理：</w:t>
      </w:r>
    </w:p>
    <w:p w14:paraId="76FFF10C">
      <w:pPr>
        <w:ind w:firstLine="560"/>
      </w:pPr>
      <w:r>
        <w:rPr>
          <w:rFonts w:hint="eastAsia"/>
        </w:rPr>
        <w:t>确保工地污水有效处理，并通过管道等排水设施排放。卫生设施做到每天有人冲洗，保持干净整洁，讲究文明卫生，使每个职工自觉养成良好习惯。</w:t>
      </w:r>
    </w:p>
    <w:p w14:paraId="3FA5303A">
      <w:pPr>
        <w:ind w:firstLine="560"/>
      </w:pPr>
      <w:r>
        <w:rPr>
          <w:rFonts w:hint="eastAsia"/>
        </w:rPr>
        <w:t>建筑垃圾集中后外运，生活垃圾先放置在垃圾箱中，并委托环卫部门每天运走，定期请卫生防疫部门清除</w:t>
      </w:r>
      <w:r>
        <w:t>“</w:t>
      </w:r>
      <w:r>
        <w:rPr>
          <w:rFonts w:hint="eastAsia"/>
        </w:rPr>
        <w:t>四害</w:t>
      </w:r>
      <w:r>
        <w:t>”</w:t>
      </w:r>
      <w:r>
        <w:rPr>
          <w:rFonts w:hint="eastAsia"/>
        </w:rPr>
        <w:t>。</w:t>
      </w:r>
    </w:p>
    <w:p w14:paraId="1EA1072F">
      <w:pPr>
        <w:pStyle w:val="5"/>
        <w:spacing w:before="31" w:after="31"/>
        <w:ind w:firstLine="562"/>
      </w:pPr>
      <w:bookmarkStart w:id="856" w:name="_Toc30888"/>
      <w:bookmarkStart w:id="857" w:name="_Toc7403"/>
      <w:bookmarkStart w:id="858" w:name="_Toc18039"/>
      <w:bookmarkStart w:id="859" w:name="_Toc8350"/>
      <w:bookmarkStart w:id="860" w:name="_Toc17738"/>
      <w:bookmarkStart w:id="861" w:name="_Toc9575"/>
      <w:bookmarkStart w:id="862" w:name="_Toc26050"/>
      <w:bookmarkStart w:id="863" w:name="_Toc13268"/>
      <w:bookmarkStart w:id="864" w:name="_Toc27079"/>
      <w:bookmarkStart w:id="865" w:name="_Toc15668"/>
      <w:bookmarkStart w:id="866" w:name="_Toc2435"/>
      <w:bookmarkStart w:id="867" w:name="_Toc5425"/>
      <w:bookmarkStart w:id="868" w:name="_Toc26040"/>
      <w:bookmarkStart w:id="869" w:name="_Toc19839"/>
      <w:bookmarkStart w:id="870" w:name="_Toc25061"/>
      <w:bookmarkStart w:id="871" w:name="_Toc32366"/>
      <w:bookmarkStart w:id="872" w:name="_Toc505"/>
      <w:bookmarkStart w:id="873" w:name="_Toc19105"/>
      <w:bookmarkStart w:id="874" w:name="_Toc23288"/>
      <w:bookmarkStart w:id="875" w:name="_Toc14491"/>
      <w:bookmarkStart w:id="876" w:name="_Toc17659"/>
      <w:bookmarkStart w:id="877" w:name="_Toc28721"/>
      <w:bookmarkStart w:id="878" w:name="_Toc7547"/>
      <w:bookmarkStart w:id="879" w:name="_Toc17895"/>
      <w:bookmarkStart w:id="880" w:name="_Toc18725"/>
      <w:bookmarkStart w:id="881" w:name="_Toc24344"/>
      <w:bookmarkStart w:id="882" w:name="_Toc6383"/>
      <w:bookmarkStart w:id="883" w:name="_Toc12252"/>
      <w:bookmarkStart w:id="884" w:name="_Toc14666"/>
      <w:bookmarkStart w:id="885" w:name="_Toc11940"/>
      <w:bookmarkStart w:id="886" w:name="_Toc20046"/>
      <w:bookmarkStart w:id="887" w:name="_Toc1630"/>
      <w:bookmarkStart w:id="888" w:name="_Toc17328"/>
      <w:bookmarkStart w:id="889" w:name="_Toc15820"/>
      <w:bookmarkStart w:id="890" w:name="_Toc10902"/>
      <w:bookmarkStart w:id="891" w:name="_Toc2683"/>
      <w:bookmarkStart w:id="892" w:name="_Toc19958"/>
      <w:bookmarkStart w:id="893" w:name="_Toc27923"/>
      <w:bookmarkStart w:id="894" w:name="_Toc4656"/>
      <w:bookmarkStart w:id="895" w:name="_Toc2055"/>
      <w:bookmarkStart w:id="896" w:name="_Toc13505"/>
      <w:bookmarkStart w:id="897" w:name="_Toc18608"/>
      <w:bookmarkStart w:id="898" w:name="_Toc18136"/>
      <w:bookmarkStart w:id="899" w:name="_Toc25834"/>
      <w:bookmarkStart w:id="900" w:name="_Toc5809"/>
      <w:bookmarkStart w:id="901" w:name="_Toc12336"/>
      <w:bookmarkStart w:id="902" w:name="_Toc10605"/>
      <w:bookmarkStart w:id="903" w:name="_Toc24363"/>
      <w:bookmarkStart w:id="904" w:name="_Toc24924"/>
      <w:r>
        <w:rPr>
          <w:rFonts w:hint="eastAsia"/>
        </w:rPr>
        <w:t>（五）文明施工岗位职责</w:t>
      </w:r>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p>
    <w:p w14:paraId="5910133E">
      <w:pPr>
        <w:ind w:firstLine="560"/>
      </w:pPr>
      <w:r>
        <w:rPr>
          <w:rFonts w:hint="eastAsia"/>
        </w:rPr>
        <w:t>1.施工安全部门职责：</w:t>
      </w:r>
    </w:p>
    <w:p w14:paraId="6779AB9C">
      <w:pPr>
        <w:ind w:firstLine="560"/>
      </w:pPr>
      <w:r>
        <w:rPr>
          <w:rFonts w:hint="eastAsia"/>
        </w:rPr>
        <w:t>（</w:t>
      </w:r>
      <w:r>
        <w:t>1</w:t>
      </w:r>
      <w:r>
        <w:rPr>
          <w:rFonts w:hint="eastAsia"/>
        </w:rPr>
        <w:t>）依据国家及上级有关规定，结合项目部的具体情况，建立和完善文明施工管理的规章制度。</w:t>
      </w:r>
    </w:p>
    <w:p w14:paraId="7DC4859D">
      <w:pPr>
        <w:ind w:firstLine="560"/>
      </w:pPr>
      <w:r>
        <w:rPr>
          <w:rFonts w:hint="eastAsia"/>
        </w:rPr>
        <w:t>（</w:t>
      </w:r>
      <w:r>
        <w:t>2</w:t>
      </w:r>
      <w:r>
        <w:rPr>
          <w:rFonts w:hint="eastAsia"/>
        </w:rPr>
        <w:t>）拟定和组织实施文明施工年度计划，参与编写文明施工组织设计。</w:t>
      </w:r>
    </w:p>
    <w:p w14:paraId="70A8AF63">
      <w:pPr>
        <w:ind w:firstLine="560"/>
      </w:pPr>
      <w:r>
        <w:rPr>
          <w:rFonts w:hint="eastAsia"/>
        </w:rPr>
        <w:t>（</w:t>
      </w:r>
      <w:r>
        <w:t>3</w:t>
      </w:r>
      <w:r>
        <w:rPr>
          <w:rFonts w:hint="eastAsia"/>
        </w:rPr>
        <w:t>）监督和指导项目部文明施工管理，定期组织检查，落实整改措施、通报检查情况。</w:t>
      </w:r>
    </w:p>
    <w:p w14:paraId="3F6F9646">
      <w:pPr>
        <w:ind w:firstLine="560"/>
      </w:pPr>
      <w:r>
        <w:rPr>
          <w:rFonts w:hint="eastAsia"/>
        </w:rPr>
        <w:t>（</w:t>
      </w:r>
      <w:r>
        <w:t>4</w:t>
      </w:r>
      <w:r>
        <w:rPr>
          <w:rFonts w:hint="eastAsia"/>
        </w:rPr>
        <w:t>）积极开展文明施工达标和创建文明工地活动。</w:t>
      </w:r>
    </w:p>
    <w:p w14:paraId="4866D195">
      <w:pPr>
        <w:ind w:firstLine="560"/>
      </w:pPr>
      <w:r>
        <w:rPr>
          <w:rFonts w:hint="eastAsia"/>
        </w:rPr>
        <w:t>2.工程技术部门职责</w:t>
      </w:r>
    </w:p>
    <w:p w14:paraId="1D3E8AF5">
      <w:pPr>
        <w:ind w:firstLine="560"/>
      </w:pPr>
      <w:r>
        <w:rPr>
          <w:rFonts w:hint="eastAsia"/>
        </w:rPr>
        <w:t>依据工程招标文件，结合国家及上级有关规定，编写具体细化的、有针对性、经济合理的文明施工方案。</w:t>
      </w:r>
    </w:p>
    <w:p w14:paraId="37D6A2AC">
      <w:pPr>
        <w:ind w:firstLine="560"/>
      </w:pPr>
      <w:r>
        <w:rPr>
          <w:rFonts w:hint="eastAsia"/>
        </w:rPr>
        <w:t>3.材料设备部职责</w:t>
      </w:r>
    </w:p>
    <w:p w14:paraId="4412BE20">
      <w:pPr>
        <w:ind w:firstLine="560"/>
      </w:pPr>
      <w:r>
        <w:rPr>
          <w:rFonts w:hint="eastAsia"/>
        </w:rPr>
        <w:t>贯彻落实</w:t>
      </w:r>
      <w:r>
        <w:t>ISO9001</w:t>
      </w:r>
      <w:r>
        <w:rPr>
          <w:rFonts w:hint="eastAsia"/>
        </w:rPr>
        <w:t>及公司有关机械设备材料管理的有关规定，做好现场机械设备、材料、成品、半成品的使用、保养、存放和挂牌标志的工作。</w:t>
      </w:r>
    </w:p>
    <w:p w14:paraId="4065F71C">
      <w:pPr>
        <w:ind w:firstLine="560"/>
      </w:pPr>
      <w:r>
        <w:rPr>
          <w:rFonts w:hint="eastAsia"/>
        </w:rPr>
        <w:t>4.项目部文明施工岗位职责</w:t>
      </w:r>
    </w:p>
    <w:p w14:paraId="21AFCDA4">
      <w:pPr>
        <w:ind w:firstLine="560"/>
      </w:pPr>
      <w:r>
        <w:t>1</w:t>
      </w:r>
      <w:r>
        <w:rPr>
          <w:rFonts w:hint="eastAsia"/>
        </w:rPr>
        <w:t>、项目经理职责：</w:t>
      </w:r>
    </w:p>
    <w:p w14:paraId="40798431">
      <w:pPr>
        <w:ind w:firstLine="560"/>
      </w:pPr>
      <w:r>
        <w:rPr>
          <w:rFonts w:hint="eastAsia"/>
        </w:rPr>
        <w:t>（</w:t>
      </w:r>
      <w:r>
        <w:t>1</w:t>
      </w:r>
      <w:r>
        <w:rPr>
          <w:rFonts w:hint="eastAsia"/>
        </w:rPr>
        <w:t>）贯彻落实国家的有关规定，严格按文明施工组织设计组织施工。</w:t>
      </w:r>
    </w:p>
    <w:p w14:paraId="5A7E425C">
      <w:pPr>
        <w:ind w:firstLine="560"/>
      </w:pPr>
      <w:r>
        <w:rPr>
          <w:rFonts w:hint="eastAsia"/>
        </w:rPr>
        <w:t>（</w:t>
      </w:r>
      <w:r>
        <w:t>2</w:t>
      </w:r>
      <w:r>
        <w:rPr>
          <w:rFonts w:hint="eastAsia"/>
        </w:rPr>
        <w:t>）组织编制项目部文明施工管理规章制度，定期组织文明施工的检查、评比，积极创建文明工地。</w:t>
      </w:r>
    </w:p>
    <w:p w14:paraId="01795427">
      <w:pPr>
        <w:ind w:firstLine="560"/>
      </w:pPr>
      <w:r>
        <w:t>2</w:t>
      </w:r>
      <w:r>
        <w:rPr>
          <w:rFonts w:hint="eastAsia"/>
        </w:rPr>
        <w:t>、项目主管文明施工副经理职责：</w:t>
      </w:r>
    </w:p>
    <w:p w14:paraId="595FFFA3">
      <w:pPr>
        <w:ind w:firstLine="560"/>
      </w:pPr>
      <w:r>
        <w:rPr>
          <w:rFonts w:hint="eastAsia"/>
        </w:rPr>
        <w:t>（</w:t>
      </w:r>
      <w:r>
        <w:t>1</w:t>
      </w:r>
      <w:r>
        <w:rPr>
          <w:rFonts w:hint="eastAsia"/>
        </w:rPr>
        <w:t>）协作项目经理具体主管文明施工工作，对项目经理负责。</w:t>
      </w:r>
    </w:p>
    <w:p w14:paraId="0ADF0FC1">
      <w:pPr>
        <w:ind w:firstLine="560"/>
      </w:pPr>
      <w:r>
        <w:rPr>
          <w:rFonts w:hint="eastAsia"/>
        </w:rPr>
        <w:t>（</w:t>
      </w:r>
      <w:r>
        <w:t>2</w:t>
      </w:r>
      <w:r>
        <w:rPr>
          <w:rFonts w:hint="eastAsia"/>
        </w:rPr>
        <w:t>）经常监督检查办公区、生活区的卫生和施工区的场容状况，及时纠正违规行为。</w:t>
      </w:r>
    </w:p>
    <w:p w14:paraId="09319720">
      <w:pPr>
        <w:ind w:firstLine="560"/>
      </w:pPr>
      <w:r>
        <w:rPr>
          <w:rFonts w:hint="eastAsia"/>
        </w:rPr>
        <w:t>（</w:t>
      </w:r>
      <w:r>
        <w:t>3</w:t>
      </w:r>
      <w:r>
        <w:rPr>
          <w:rFonts w:hint="eastAsia"/>
        </w:rPr>
        <w:t>）大力推广文明施工，积极组织创建文明工地的活动。</w:t>
      </w:r>
    </w:p>
    <w:p w14:paraId="50553D17">
      <w:pPr>
        <w:ind w:firstLine="560"/>
      </w:pPr>
      <w:r>
        <w:t>3</w:t>
      </w:r>
      <w:r>
        <w:rPr>
          <w:rFonts w:hint="eastAsia"/>
        </w:rPr>
        <w:t>、项目工程师职责：参与编写项目文明施工组织设计，协助制定项目部文明施工管理规章制度。</w:t>
      </w:r>
    </w:p>
    <w:p w14:paraId="75CF0B9E">
      <w:pPr>
        <w:ind w:firstLine="560"/>
      </w:pPr>
      <w:r>
        <w:t>4</w:t>
      </w:r>
      <w:r>
        <w:rPr>
          <w:rFonts w:hint="eastAsia"/>
        </w:rPr>
        <w:t>、文明施工监督员职责：</w:t>
      </w:r>
    </w:p>
    <w:p w14:paraId="0617B0D1">
      <w:pPr>
        <w:ind w:firstLine="560"/>
      </w:pPr>
      <w:r>
        <w:rPr>
          <w:rFonts w:hint="eastAsia"/>
        </w:rPr>
        <w:t>（</w:t>
      </w:r>
      <w:r>
        <w:t>1</w:t>
      </w:r>
      <w:r>
        <w:rPr>
          <w:rFonts w:hint="eastAsia"/>
        </w:rPr>
        <w:t>）监督落实文明施工的各项规章制度，负责文明施工的日常管理。</w:t>
      </w:r>
    </w:p>
    <w:p w14:paraId="5D2E2DC7">
      <w:pPr>
        <w:ind w:firstLine="560"/>
      </w:pPr>
      <w:r>
        <w:rPr>
          <w:rFonts w:hint="eastAsia"/>
        </w:rPr>
        <w:t>（</w:t>
      </w:r>
      <w:r>
        <w:t>2</w:t>
      </w:r>
      <w:r>
        <w:rPr>
          <w:rFonts w:hint="eastAsia"/>
        </w:rPr>
        <w:t>）检查各班组、各工序、作业区文明施工的执行情况，纠正和处罚违规行为，落实整改措施。</w:t>
      </w:r>
    </w:p>
    <w:p w14:paraId="7EFABB75">
      <w:pPr>
        <w:ind w:firstLine="560"/>
      </w:pPr>
      <w:r>
        <w:rPr>
          <w:rFonts w:hint="eastAsia"/>
        </w:rPr>
        <w:t>（</w:t>
      </w:r>
      <w:r>
        <w:t>3</w:t>
      </w:r>
      <w:r>
        <w:rPr>
          <w:rFonts w:hint="eastAsia"/>
        </w:rPr>
        <w:t>）负责项目文明施工的宣传、教育及交底的工作。</w:t>
      </w:r>
    </w:p>
    <w:p w14:paraId="7A9858A7">
      <w:pPr>
        <w:ind w:firstLine="560"/>
      </w:pPr>
      <w:r>
        <w:t>5</w:t>
      </w:r>
      <w:r>
        <w:rPr>
          <w:rFonts w:hint="eastAsia"/>
        </w:rPr>
        <w:t>、施工区责任人职责：</w:t>
      </w:r>
    </w:p>
    <w:p w14:paraId="4681EFFA">
      <w:pPr>
        <w:ind w:firstLine="560"/>
      </w:pPr>
      <w:r>
        <w:rPr>
          <w:rFonts w:hint="eastAsia"/>
        </w:rPr>
        <w:t>（</w:t>
      </w:r>
      <w:r>
        <w:t>1</w:t>
      </w:r>
      <w:r>
        <w:rPr>
          <w:rFonts w:hint="eastAsia"/>
        </w:rPr>
        <w:t>）严格贯彻落实文明施工管理规定，配合安全员做好文明施工的宣传、教育工作。</w:t>
      </w:r>
    </w:p>
    <w:p w14:paraId="636DA56E">
      <w:pPr>
        <w:ind w:firstLine="560"/>
      </w:pPr>
      <w:r>
        <w:rPr>
          <w:rFonts w:hint="eastAsia"/>
        </w:rPr>
        <w:t>（</w:t>
      </w:r>
      <w:r>
        <w:t>2</w:t>
      </w:r>
      <w:r>
        <w:rPr>
          <w:rFonts w:hint="eastAsia"/>
        </w:rPr>
        <w:t>）负责本区域内文明施工的日常管理工作。</w:t>
      </w:r>
    </w:p>
    <w:p w14:paraId="356E414D">
      <w:pPr>
        <w:ind w:firstLine="560"/>
      </w:pPr>
      <w:r>
        <w:rPr>
          <w:rFonts w:hint="eastAsia"/>
        </w:rPr>
        <w:t>（</w:t>
      </w:r>
      <w:r>
        <w:t>3</w:t>
      </w:r>
      <w:r>
        <w:rPr>
          <w:rFonts w:hint="eastAsia"/>
        </w:rPr>
        <w:t>）积极配合项目部做好文明施工达标和创建文明工地活动。</w:t>
      </w:r>
    </w:p>
    <w:p w14:paraId="7383D969">
      <w:pPr>
        <w:ind w:firstLine="560"/>
      </w:pPr>
      <w:r>
        <w:t>6</w:t>
      </w:r>
      <w:r>
        <w:rPr>
          <w:rFonts w:hint="eastAsia"/>
        </w:rPr>
        <w:t>、办公区责任人职责：</w:t>
      </w:r>
    </w:p>
    <w:p w14:paraId="5ABB14A4">
      <w:pPr>
        <w:ind w:firstLine="560"/>
      </w:pPr>
      <w:r>
        <w:rPr>
          <w:rFonts w:hint="eastAsia"/>
        </w:rPr>
        <w:t>（</w:t>
      </w:r>
      <w:r>
        <w:t>1</w:t>
      </w:r>
      <w:r>
        <w:rPr>
          <w:rFonts w:hint="eastAsia"/>
        </w:rPr>
        <w:t>）严格贯彻文明办公的有关规定，保持办公区的正常工作秩序。</w:t>
      </w:r>
    </w:p>
    <w:p w14:paraId="6AB10834">
      <w:pPr>
        <w:ind w:firstLine="560"/>
      </w:pPr>
      <w:r>
        <w:rPr>
          <w:rFonts w:hint="eastAsia"/>
        </w:rPr>
        <w:t>（</w:t>
      </w:r>
      <w:r>
        <w:t>2</w:t>
      </w:r>
      <w:r>
        <w:rPr>
          <w:rFonts w:hint="eastAsia"/>
        </w:rPr>
        <w:t>）坚持每日例行检查，保持室内整洁卫生，物品摆放整齐有序，做好值班记录。</w:t>
      </w:r>
    </w:p>
    <w:p w14:paraId="6992D615">
      <w:pPr>
        <w:ind w:firstLine="560"/>
      </w:pPr>
      <w:r>
        <w:rPr>
          <w:rFonts w:hint="eastAsia"/>
        </w:rPr>
        <w:t>（</w:t>
      </w:r>
      <w:r>
        <w:t>3</w:t>
      </w:r>
      <w:r>
        <w:rPr>
          <w:rFonts w:hint="eastAsia"/>
        </w:rPr>
        <w:t>）制止在办公场所进行聚赌、大声喧哗等不良行动。</w:t>
      </w:r>
    </w:p>
    <w:p w14:paraId="29E72F0D">
      <w:pPr>
        <w:ind w:firstLine="560"/>
      </w:pPr>
      <w:r>
        <w:t>7</w:t>
      </w:r>
      <w:r>
        <w:rPr>
          <w:rFonts w:hint="eastAsia"/>
        </w:rPr>
        <w:t>、生活区责任人职责：</w:t>
      </w:r>
    </w:p>
    <w:p w14:paraId="5ECB92A3">
      <w:pPr>
        <w:ind w:firstLine="560"/>
      </w:pPr>
      <w:r>
        <w:rPr>
          <w:rFonts w:hint="eastAsia"/>
        </w:rPr>
        <w:t>（</w:t>
      </w:r>
      <w:r>
        <w:t>1</w:t>
      </w:r>
      <w:r>
        <w:rPr>
          <w:rFonts w:hint="eastAsia"/>
        </w:rPr>
        <w:t>）严格贯彻生活区各项管理制度，积极配合创建文明小区活动。</w:t>
      </w:r>
    </w:p>
    <w:p w14:paraId="50269D07">
      <w:pPr>
        <w:ind w:firstLine="560"/>
      </w:pPr>
      <w:r>
        <w:rPr>
          <w:rFonts w:hint="eastAsia"/>
        </w:rPr>
        <w:t>（</w:t>
      </w:r>
      <w:r>
        <w:t>2</w:t>
      </w:r>
      <w:r>
        <w:rPr>
          <w:rFonts w:hint="eastAsia"/>
        </w:rPr>
        <w:t>）坚持每日例行检查，保持区内整洁、卫生，做好检查记录。</w:t>
      </w:r>
    </w:p>
    <w:p w14:paraId="48A7C3CD">
      <w:pPr>
        <w:ind w:firstLine="560"/>
      </w:pPr>
      <w:r>
        <w:rPr>
          <w:rFonts w:hint="eastAsia"/>
        </w:rPr>
        <w:t>（</w:t>
      </w:r>
      <w:r>
        <w:t>3</w:t>
      </w:r>
      <w:r>
        <w:rPr>
          <w:rFonts w:hint="eastAsia"/>
        </w:rPr>
        <w:t>）贯彻落实各项卫生防疫工作。</w:t>
      </w:r>
    </w:p>
    <w:p w14:paraId="5A3611F0">
      <w:pPr>
        <w:ind w:firstLine="560"/>
      </w:pPr>
      <w:r>
        <w:rPr>
          <w:rFonts w:hint="eastAsia"/>
        </w:rPr>
        <w:t>（</w:t>
      </w:r>
      <w:r>
        <w:t>4</w:t>
      </w:r>
      <w:r>
        <w:rPr>
          <w:rFonts w:hint="eastAsia"/>
        </w:rPr>
        <w:t>）贯彻落实计划生育管理规定，禁止未经许可留宿妇女、小孩，严禁超生现象。</w:t>
      </w:r>
    </w:p>
    <w:p w14:paraId="477076F2">
      <w:pPr>
        <w:ind w:firstLine="560"/>
      </w:pPr>
      <w:r>
        <w:t>8</w:t>
      </w:r>
      <w:r>
        <w:rPr>
          <w:rFonts w:hint="eastAsia"/>
        </w:rPr>
        <w:t>、班组长职责：</w:t>
      </w:r>
    </w:p>
    <w:p w14:paraId="137247F7">
      <w:pPr>
        <w:ind w:firstLine="560"/>
      </w:pPr>
      <w:r>
        <w:rPr>
          <w:rFonts w:hint="eastAsia"/>
        </w:rPr>
        <w:t>（</w:t>
      </w:r>
      <w:r>
        <w:t>1</w:t>
      </w:r>
      <w:r>
        <w:rPr>
          <w:rFonts w:hint="eastAsia"/>
        </w:rPr>
        <w:t>）认真学习、熟悉国家、省市有关规定。</w:t>
      </w:r>
    </w:p>
    <w:p w14:paraId="6412C8F5">
      <w:pPr>
        <w:ind w:firstLine="560"/>
      </w:pPr>
      <w:r>
        <w:rPr>
          <w:rFonts w:hint="eastAsia"/>
        </w:rPr>
        <w:t>（</w:t>
      </w:r>
      <w:r>
        <w:t>2</w:t>
      </w:r>
      <w:r>
        <w:rPr>
          <w:rFonts w:hint="eastAsia"/>
        </w:rPr>
        <w:t>）做好班组、上岗工人的班前文明施工的宣传、教育及交底工作。</w:t>
      </w:r>
    </w:p>
    <w:p w14:paraId="3F47CDD7">
      <w:pPr>
        <w:ind w:firstLine="560"/>
      </w:pPr>
      <w:r>
        <w:rPr>
          <w:rFonts w:hint="eastAsia"/>
        </w:rPr>
        <w:t>（</w:t>
      </w:r>
      <w:r>
        <w:t>3</w:t>
      </w:r>
      <w:r>
        <w:rPr>
          <w:rFonts w:hint="eastAsia"/>
        </w:rPr>
        <w:t>）加强现场文明施工的管理，做到工完场清、机具洁净。</w:t>
      </w:r>
    </w:p>
    <w:p w14:paraId="1AEF5485">
      <w:pPr>
        <w:ind w:firstLine="560"/>
      </w:pPr>
      <w:r>
        <w:t>9</w:t>
      </w:r>
      <w:r>
        <w:rPr>
          <w:rFonts w:hint="eastAsia"/>
        </w:rPr>
        <w:t>、员工职责：</w:t>
      </w:r>
    </w:p>
    <w:p w14:paraId="1CE61EA8">
      <w:pPr>
        <w:ind w:firstLine="560"/>
      </w:pPr>
      <w:r>
        <w:rPr>
          <w:rFonts w:hint="eastAsia"/>
        </w:rPr>
        <w:t>（</w:t>
      </w:r>
      <w:r>
        <w:t>1</w:t>
      </w:r>
      <w:r>
        <w:rPr>
          <w:rFonts w:hint="eastAsia"/>
        </w:rPr>
        <w:t>）维护文明工地形象，自觉遵守工地文明施工的有关规定。</w:t>
      </w:r>
    </w:p>
    <w:p w14:paraId="36A631F8">
      <w:pPr>
        <w:ind w:firstLine="560"/>
      </w:pPr>
      <w:r>
        <w:rPr>
          <w:rFonts w:hint="eastAsia"/>
        </w:rPr>
        <w:t>（</w:t>
      </w:r>
      <w:r>
        <w:t>2</w:t>
      </w:r>
      <w:r>
        <w:rPr>
          <w:rFonts w:hint="eastAsia"/>
        </w:rPr>
        <w:t>）做文明工人，文明施工，积极参与创建文明工地活动。</w:t>
      </w:r>
    </w:p>
    <w:p w14:paraId="728F5D73">
      <w:pPr>
        <w:ind w:firstLine="560"/>
      </w:pPr>
      <w:r>
        <w:t>10</w:t>
      </w:r>
      <w:r>
        <w:rPr>
          <w:rFonts w:hint="eastAsia"/>
        </w:rPr>
        <w:t>、行为规范保证</w:t>
      </w:r>
    </w:p>
    <w:p w14:paraId="096802F1">
      <w:pPr>
        <w:ind w:firstLine="560"/>
      </w:pPr>
      <w:r>
        <w:t>1</w:t>
      </w:r>
      <w:r>
        <w:rPr>
          <w:rFonts w:hint="eastAsia"/>
        </w:rPr>
        <w:t>、服从领导，听从指挥，不违规违章作业。</w:t>
      </w:r>
    </w:p>
    <w:p w14:paraId="05C81D41">
      <w:pPr>
        <w:ind w:firstLine="560"/>
      </w:pPr>
      <w:r>
        <w:t>2</w:t>
      </w:r>
      <w:r>
        <w:rPr>
          <w:rFonts w:hint="eastAsia"/>
        </w:rPr>
        <w:t>、进入工地必须戴安全帽，高处作业系安全带。</w:t>
      </w:r>
    </w:p>
    <w:p w14:paraId="698B444F">
      <w:pPr>
        <w:ind w:firstLine="560"/>
      </w:pPr>
      <w:r>
        <w:t>3</w:t>
      </w:r>
      <w:r>
        <w:rPr>
          <w:rFonts w:hint="eastAsia"/>
        </w:rPr>
        <w:t>、进入工地不得赤脚、赤膊、穿拖鞋或高跟鞋。</w:t>
      </w:r>
    </w:p>
    <w:p w14:paraId="0E544C8C">
      <w:pPr>
        <w:ind w:firstLine="560"/>
      </w:pPr>
      <w:r>
        <w:t>4</w:t>
      </w:r>
      <w:r>
        <w:rPr>
          <w:rFonts w:hint="eastAsia"/>
        </w:rPr>
        <w:t>、不得酒后或带病上岗作业。</w:t>
      </w:r>
    </w:p>
    <w:p w14:paraId="12E6C2EE">
      <w:pPr>
        <w:ind w:firstLine="560"/>
      </w:pPr>
      <w:r>
        <w:t>5</w:t>
      </w:r>
      <w:r>
        <w:rPr>
          <w:rFonts w:hint="eastAsia"/>
        </w:rPr>
        <w:t>、不得在作业区内打闹追逐。</w:t>
      </w:r>
    </w:p>
    <w:p w14:paraId="5FBA4F2F">
      <w:pPr>
        <w:ind w:firstLine="560"/>
      </w:pPr>
      <w:r>
        <w:t>6</w:t>
      </w:r>
      <w:r>
        <w:rPr>
          <w:rFonts w:hint="eastAsia"/>
        </w:rPr>
        <w:t>、不得攀登或其它高架设施。</w:t>
      </w:r>
    </w:p>
    <w:p w14:paraId="37B2C812">
      <w:pPr>
        <w:ind w:firstLine="560"/>
      </w:pPr>
      <w:r>
        <w:t>7</w:t>
      </w:r>
      <w:r>
        <w:rPr>
          <w:rFonts w:hint="eastAsia"/>
        </w:rPr>
        <w:t>、不得上下抛掷材料、工具和建筑垃圾。</w:t>
      </w:r>
    </w:p>
    <w:p w14:paraId="1AF849D3">
      <w:pPr>
        <w:pStyle w:val="5"/>
        <w:spacing w:before="31" w:after="31"/>
        <w:ind w:firstLine="562"/>
      </w:pPr>
      <w:bookmarkStart w:id="905" w:name="_Toc1369"/>
      <w:bookmarkStart w:id="906" w:name="_Toc25384"/>
      <w:bookmarkStart w:id="907" w:name="_Toc24640"/>
      <w:bookmarkStart w:id="908" w:name="_Toc13627"/>
      <w:bookmarkStart w:id="909" w:name="_Toc25514"/>
      <w:bookmarkStart w:id="910" w:name="_Toc831"/>
      <w:bookmarkStart w:id="911" w:name="_Toc11605"/>
      <w:bookmarkStart w:id="912" w:name="_Toc29030"/>
      <w:bookmarkStart w:id="913" w:name="_Toc15741"/>
      <w:bookmarkStart w:id="914" w:name="_Toc20153"/>
      <w:bookmarkStart w:id="915" w:name="_Toc434"/>
      <w:bookmarkStart w:id="916" w:name="_Toc23679"/>
      <w:bookmarkStart w:id="917" w:name="_Toc8268"/>
      <w:bookmarkStart w:id="918" w:name="_Toc7388"/>
      <w:bookmarkStart w:id="919" w:name="_Toc20633"/>
      <w:bookmarkStart w:id="920" w:name="_Toc27578"/>
      <w:bookmarkStart w:id="921" w:name="_Toc31461"/>
      <w:bookmarkStart w:id="922" w:name="_Toc15190"/>
      <w:bookmarkStart w:id="923" w:name="_Toc17016"/>
      <w:bookmarkStart w:id="924" w:name="_Toc28331"/>
      <w:bookmarkStart w:id="925" w:name="_Toc17228"/>
      <w:bookmarkStart w:id="926" w:name="_Toc16325"/>
      <w:bookmarkStart w:id="927" w:name="_Toc6781"/>
      <w:bookmarkStart w:id="928" w:name="_Toc31855"/>
      <w:bookmarkStart w:id="929" w:name="_Toc21799"/>
      <w:bookmarkStart w:id="930" w:name="_Toc486"/>
      <w:bookmarkStart w:id="931" w:name="_Toc11066"/>
      <w:bookmarkStart w:id="932" w:name="_Toc9511"/>
      <w:bookmarkStart w:id="933" w:name="_Toc379"/>
      <w:bookmarkStart w:id="934" w:name="_Toc16445"/>
      <w:bookmarkStart w:id="935" w:name="_Toc29725"/>
      <w:bookmarkStart w:id="936" w:name="_Toc7588"/>
      <w:bookmarkStart w:id="937" w:name="_Toc7982"/>
      <w:bookmarkStart w:id="938" w:name="_Toc2233"/>
      <w:bookmarkStart w:id="939" w:name="_Toc1446"/>
      <w:bookmarkStart w:id="940" w:name="_Toc1239"/>
      <w:bookmarkStart w:id="941" w:name="_Toc19658"/>
      <w:bookmarkStart w:id="942" w:name="_Toc5358"/>
      <w:bookmarkStart w:id="943" w:name="_Toc8731"/>
      <w:bookmarkStart w:id="944" w:name="_Toc20814"/>
      <w:bookmarkStart w:id="945" w:name="_Toc28601"/>
      <w:bookmarkStart w:id="946" w:name="_Toc30480"/>
      <w:bookmarkStart w:id="947" w:name="_Toc4010"/>
      <w:bookmarkStart w:id="948" w:name="_Toc29392"/>
      <w:bookmarkStart w:id="949" w:name="_Toc21512"/>
      <w:bookmarkStart w:id="950" w:name="_Toc18030"/>
      <w:bookmarkStart w:id="951" w:name="_Toc31662"/>
      <w:bookmarkStart w:id="952" w:name="_Toc4791"/>
      <w:bookmarkStart w:id="953" w:name="_Toc32241"/>
      <w:bookmarkStart w:id="954" w:name="_Toc1607"/>
      <w:bookmarkStart w:id="955" w:name="_Toc18528"/>
      <w:r>
        <w:rPr>
          <w:rFonts w:hint="eastAsia"/>
        </w:rPr>
        <w:t>（六）施工安全达标措施</w:t>
      </w:r>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p>
    <w:p w14:paraId="0DF515F9">
      <w:pPr>
        <w:ind w:firstLine="560"/>
      </w:pPr>
      <w:r>
        <w:rPr>
          <w:rFonts w:hint="eastAsia"/>
        </w:rPr>
        <w:t>⑴安全管理：安全保证体系健全、措施落实、责任明确。安全检查、安全教育、安全交底制度认真执行。特种作业岗位持证上岗。</w:t>
      </w:r>
    </w:p>
    <w:p w14:paraId="087FC008">
      <w:pPr>
        <w:ind w:firstLine="560"/>
      </w:pPr>
      <w:r>
        <w:rPr>
          <w:rFonts w:hint="eastAsia"/>
        </w:rPr>
        <w:t>⑵安全防护：搭设符合施工要求，搭设质量符合标准，外架的设计符合规范要求。临边防护符合要求，安全帽、安全带、安全网符合质量标准，证件齐全。</w:t>
      </w:r>
    </w:p>
    <w:p w14:paraId="535B3A48">
      <w:pPr>
        <w:ind w:firstLine="560"/>
      </w:pPr>
      <w:r>
        <w:rPr>
          <w:rFonts w:hint="eastAsia"/>
        </w:rPr>
        <w:t>⑶施工用电：配电室符合施工要求，采用</w:t>
      </w:r>
      <w:r>
        <w:t>TN-S</w:t>
      </w:r>
      <w:r>
        <w:rPr>
          <w:rFonts w:hint="eastAsia"/>
        </w:rPr>
        <w:t>系统配电，线路架设，埋设达到标准，漏电保护器参数按规定配置，用电管理责任落实，防雷系统符合规范要求。</w:t>
      </w:r>
    </w:p>
    <w:p w14:paraId="0CEC5A9E">
      <w:pPr>
        <w:pStyle w:val="4"/>
        <w:spacing w:before="93" w:after="31"/>
      </w:pPr>
      <w:bookmarkStart w:id="956" w:name="_Toc16474"/>
      <w:bookmarkStart w:id="957" w:name="_Toc14263"/>
      <w:bookmarkStart w:id="958" w:name="_Toc7985"/>
      <w:bookmarkStart w:id="959" w:name="_Toc17859"/>
      <w:r>
        <w:rPr>
          <w:rFonts w:hint="eastAsia"/>
        </w:rPr>
        <w:t>三、健康危害因素及管控措施</w:t>
      </w:r>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956"/>
      <w:bookmarkEnd w:id="957"/>
      <w:bookmarkEnd w:id="958"/>
      <w:bookmarkEnd w:id="959"/>
    </w:p>
    <w:p w14:paraId="6AEC2DCB">
      <w:pPr>
        <w:pStyle w:val="5"/>
        <w:spacing w:before="31" w:after="31"/>
        <w:ind w:firstLine="562"/>
      </w:pPr>
      <w:bookmarkStart w:id="960" w:name="_Toc14121"/>
      <w:bookmarkStart w:id="961" w:name="_Toc21297"/>
      <w:bookmarkStart w:id="962" w:name="_Toc15169"/>
      <w:bookmarkStart w:id="963" w:name="_Toc24314"/>
      <w:bookmarkStart w:id="964" w:name="_Toc19957"/>
      <w:bookmarkStart w:id="965" w:name="_Toc22391"/>
      <w:bookmarkStart w:id="966" w:name="_Toc11637"/>
      <w:bookmarkStart w:id="967" w:name="_Toc20738"/>
      <w:bookmarkStart w:id="968" w:name="_Toc32592"/>
      <w:bookmarkStart w:id="969" w:name="_Toc137"/>
      <w:bookmarkStart w:id="970" w:name="_Toc29364"/>
      <w:bookmarkStart w:id="971" w:name="_Toc12244"/>
      <w:bookmarkStart w:id="972" w:name="_Toc17879"/>
      <w:bookmarkStart w:id="973" w:name="_Toc20746"/>
      <w:bookmarkStart w:id="974" w:name="_Toc13229"/>
      <w:bookmarkStart w:id="975" w:name="_Toc32370"/>
      <w:bookmarkStart w:id="976" w:name="_Toc1467"/>
      <w:bookmarkStart w:id="977" w:name="_Toc2370"/>
      <w:bookmarkStart w:id="978" w:name="_Toc30343"/>
      <w:bookmarkStart w:id="979" w:name="_Toc858"/>
      <w:bookmarkStart w:id="980" w:name="_Toc32198"/>
      <w:bookmarkStart w:id="981" w:name="_Toc4341"/>
      <w:bookmarkStart w:id="982" w:name="_Toc12028"/>
      <w:bookmarkStart w:id="983" w:name="_Toc13736"/>
      <w:bookmarkStart w:id="984" w:name="_Toc20934"/>
      <w:bookmarkStart w:id="985" w:name="_Toc6851"/>
      <w:bookmarkStart w:id="986" w:name="_Toc15635"/>
      <w:bookmarkStart w:id="987" w:name="_Toc28134"/>
      <w:bookmarkStart w:id="988" w:name="_Toc1767"/>
      <w:bookmarkStart w:id="989" w:name="_Toc18460"/>
      <w:bookmarkStart w:id="990" w:name="_Toc1926"/>
      <w:bookmarkStart w:id="991" w:name="_Toc3793"/>
      <w:bookmarkStart w:id="992" w:name="_Toc9543"/>
      <w:bookmarkStart w:id="993" w:name="_Toc19742"/>
      <w:bookmarkStart w:id="994" w:name="_Toc23074"/>
      <w:bookmarkStart w:id="995" w:name="_Toc25531"/>
      <w:bookmarkStart w:id="996" w:name="_Toc26902"/>
      <w:bookmarkStart w:id="997" w:name="_Toc4413"/>
      <w:bookmarkStart w:id="998" w:name="_Toc13789"/>
      <w:bookmarkStart w:id="999" w:name="_Toc4141"/>
      <w:bookmarkStart w:id="1000" w:name="_Toc22192"/>
      <w:bookmarkStart w:id="1001" w:name="_Toc16766"/>
      <w:bookmarkStart w:id="1002" w:name="_Toc29920"/>
      <w:bookmarkStart w:id="1003" w:name="_Toc28624"/>
      <w:bookmarkStart w:id="1004" w:name="_Toc5826"/>
      <w:bookmarkStart w:id="1005" w:name="_Toc20050"/>
      <w:bookmarkStart w:id="1006" w:name="_Toc32239"/>
      <w:bookmarkStart w:id="1007" w:name="_Toc14387"/>
      <w:bookmarkStart w:id="1008" w:name="_Toc29978"/>
      <w:bookmarkStart w:id="1009" w:name="_Toc22035"/>
      <w:bookmarkStart w:id="1010" w:name="_Toc19964"/>
      <w:bookmarkStart w:id="1011" w:name="_Toc4650"/>
      <w:bookmarkStart w:id="1012" w:name="_Toc13551"/>
      <w:bookmarkStart w:id="1013" w:name="_Toc4668"/>
      <w:bookmarkStart w:id="1014" w:name="_Toc4902"/>
      <w:bookmarkStart w:id="1015" w:name="_Toc16108"/>
      <w:bookmarkStart w:id="1016" w:name="_Toc29870"/>
      <w:bookmarkStart w:id="1017" w:name="_Toc12615"/>
      <w:bookmarkStart w:id="1018" w:name="_Toc11674"/>
      <w:r>
        <w:rPr>
          <w:rFonts w:hint="eastAsia"/>
        </w:rPr>
        <w:t>（一）指导思想</w:t>
      </w:r>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p>
    <w:p w14:paraId="3503FC25">
      <w:pPr>
        <w:ind w:firstLine="560"/>
      </w:pPr>
      <w:r>
        <w:rPr>
          <w:rFonts w:hint="eastAsia"/>
        </w:rPr>
        <w:t>深入贯彻落实科学发展观，以保护职工健康为根本目的，认真贯彻落实《职业病防治法》、《工作场所职业卫生监督管理规定》、《用人单位职业健康加护管理办法》等职业病防治相关法律法规的要求，坚持“预防为主，防治结合”的方针，坚持“分类管理，综合治理”的原则，规范管理，立足项目实际，突出重点，全面推进职业病防治工作，维护项目广大职工的合法权益。</w:t>
      </w:r>
    </w:p>
    <w:p w14:paraId="6594E834">
      <w:pPr>
        <w:pStyle w:val="5"/>
        <w:spacing w:before="31" w:after="31"/>
        <w:ind w:firstLine="562"/>
      </w:pPr>
      <w:bookmarkStart w:id="1019" w:name="_Toc4133"/>
      <w:bookmarkStart w:id="1020" w:name="_Toc25168"/>
      <w:bookmarkStart w:id="1021" w:name="_Toc23699"/>
      <w:bookmarkStart w:id="1022" w:name="_Toc4799"/>
      <w:bookmarkStart w:id="1023" w:name="_Toc30531"/>
      <w:bookmarkStart w:id="1024" w:name="_Toc23571"/>
      <w:bookmarkStart w:id="1025" w:name="_Toc32174"/>
      <w:bookmarkStart w:id="1026" w:name="_Toc11464"/>
      <w:bookmarkStart w:id="1027" w:name="_Toc15460"/>
      <w:bookmarkStart w:id="1028" w:name="_Toc4283"/>
      <w:bookmarkStart w:id="1029" w:name="_Toc25760"/>
      <w:bookmarkStart w:id="1030" w:name="_Toc13404"/>
      <w:bookmarkStart w:id="1031" w:name="_Toc21580"/>
      <w:bookmarkStart w:id="1032" w:name="_Toc16725"/>
      <w:bookmarkStart w:id="1033" w:name="_Toc13128"/>
      <w:bookmarkStart w:id="1034" w:name="_Toc19644"/>
      <w:bookmarkStart w:id="1035" w:name="_Toc3924"/>
      <w:bookmarkStart w:id="1036" w:name="_Toc3204"/>
      <w:bookmarkStart w:id="1037" w:name="_Toc18848"/>
      <w:bookmarkStart w:id="1038" w:name="_Toc26254"/>
      <w:bookmarkStart w:id="1039" w:name="_Toc22056"/>
      <w:bookmarkStart w:id="1040" w:name="_Toc22402"/>
      <w:bookmarkStart w:id="1041" w:name="_Toc20698"/>
      <w:bookmarkStart w:id="1042" w:name="_Toc12472"/>
      <w:bookmarkStart w:id="1043" w:name="_Toc25676"/>
      <w:bookmarkStart w:id="1044" w:name="_Toc2761"/>
      <w:bookmarkStart w:id="1045" w:name="_Toc14986"/>
      <w:bookmarkStart w:id="1046" w:name="_Toc18265"/>
      <w:bookmarkStart w:id="1047" w:name="_Toc8789"/>
      <w:bookmarkStart w:id="1048" w:name="_Toc23875"/>
      <w:bookmarkStart w:id="1049" w:name="_Toc21134"/>
      <w:bookmarkStart w:id="1050" w:name="_Toc25616"/>
      <w:bookmarkStart w:id="1051" w:name="_Toc2327"/>
      <w:bookmarkStart w:id="1052" w:name="_Toc29883"/>
      <w:bookmarkStart w:id="1053" w:name="_Toc10122"/>
      <w:bookmarkStart w:id="1054" w:name="_Toc22845"/>
      <w:bookmarkStart w:id="1055" w:name="_Toc27541"/>
      <w:bookmarkStart w:id="1056" w:name="_Toc7081"/>
      <w:bookmarkStart w:id="1057" w:name="_Toc30955"/>
      <w:bookmarkStart w:id="1058" w:name="_Toc7516"/>
      <w:bookmarkStart w:id="1059" w:name="_Toc13118"/>
      <w:bookmarkStart w:id="1060" w:name="_Toc8471"/>
      <w:bookmarkStart w:id="1061" w:name="_Toc12251"/>
      <w:bookmarkStart w:id="1062" w:name="_Toc29329"/>
      <w:bookmarkStart w:id="1063" w:name="_Toc4953"/>
      <w:bookmarkStart w:id="1064" w:name="_Toc8006"/>
      <w:bookmarkStart w:id="1065" w:name="_Toc4210"/>
      <w:bookmarkStart w:id="1066" w:name="_Toc18648"/>
      <w:bookmarkStart w:id="1067" w:name="_Toc14954"/>
      <w:bookmarkStart w:id="1068" w:name="_Toc22157"/>
      <w:bookmarkStart w:id="1069" w:name="_Toc1381"/>
      <w:bookmarkStart w:id="1070" w:name="_Toc28771"/>
      <w:bookmarkStart w:id="1071" w:name="_Toc28741"/>
      <w:bookmarkStart w:id="1072" w:name="_Toc17471"/>
      <w:bookmarkStart w:id="1073" w:name="_Toc27166"/>
      <w:bookmarkStart w:id="1074" w:name="_Toc26302"/>
      <w:bookmarkStart w:id="1075" w:name="_Toc13297"/>
      <w:bookmarkStart w:id="1076" w:name="_Toc10334"/>
      <w:bookmarkStart w:id="1077" w:name="_Toc22759"/>
      <w:bookmarkStart w:id="1078" w:name="_Toc2513"/>
      <w:bookmarkStart w:id="1079" w:name="_Toc15288"/>
      <w:r>
        <w:rPr>
          <w:rFonts w:hint="eastAsia"/>
        </w:rPr>
        <w:t>（二）健康危害防治领导小组</w:t>
      </w:r>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p>
    <w:p w14:paraId="35B1FD6E">
      <w:pPr>
        <w:ind w:firstLine="560"/>
      </w:pPr>
      <w:r>
        <w:rPr>
          <w:rFonts w:hint="eastAsia"/>
        </w:rPr>
        <w:t>领导小组下设办公室，办公室设在职业健康安全环境管理部，办公室主任由职业健康安全环境管理部主任兼任，具体负责各项工作的开展和监督工作。</w:t>
      </w:r>
    </w:p>
    <w:p w14:paraId="12CF4C2B">
      <w:pPr>
        <w:ind w:firstLine="560"/>
      </w:pPr>
      <w:r>
        <w:rPr>
          <w:rFonts w:hint="eastAsia"/>
        </w:rPr>
        <w:t>领导小组职责：</w:t>
      </w:r>
    </w:p>
    <w:p w14:paraId="46423E87">
      <w:pPr>
        <w:ind w:firstLine="560"/>
      </w:pPr>
      <w:r>
        <w:rPr>
          <w:rFonts w:hint="eastAsia"/>
        </w:rPr>
        <w:t>1、审定年度职业病危害防治计划于实施方案；</w:t>
      </w:r>
    </w:p>
    <w:p w14:paraId="0E02FCAF">
      <w:pPr>
        <w:ind w:firstLine="560"/>
      </w:pPr>
      <w:r>
        <w:rPr>
          <w:rFonts w:hint="eastAsia"/>
        </w:rPr>
        <w:t>2、保证职业病危害防治工作的资金投入；</w:t>
      </w:r>
    </w:p>
    <w:p w14:paraId="0D4E9F22">
      <w:pPr>
        <w:ind w:firstLine="560"/>
      </w:pPr>
      <w:r>
        <w:rPr>
          <w:rFonts w:hint="eastAsia"/>
        </w:rPr>
        <w:t>3、提供职业卫生知识教育培训与职业健康体检资源；</w:t>
      </w:r>
    </w:p>
    <w:p w14:paraId="3182A75A">
      <w:pPr>
        <w:ind w:firstLine="560"/>
      </w:pPr>
      <w:r>
        <w:rPr>
          <w:rFonts w:hint="eastAsia"/>
        </w:rPr>
        <w:t>4、开展职业危害防治计划的验收与总结提升；</w:t>
      </w:r>
    </w:p>
    <w:p w14:paraId="101A3ABA">
      <w:pPr>
        <w:ind w:firstLine="560"/>
      </w:pPr>
      <w:r>
        <w:rPr>
          <w:rFonts w:hint="eastAsia"/>
        </w:rPr>
        <w:t>5、落实法律法规的其他相关要求。</w:t>
      </w:r>
    </w:p>
    <w:p w14:paraId="1E387226">
      <w:pPr>
        <w:pStyle w:val="5"/>
        <w:spacing w:before="31" w:after="31"/>
        <w:ind w:firstLine="562"/>
      </w:pPr>
      <w:bookmarkStart w:id="1080" w:name="_Toc25912"/>
      <w:bookmarkStart w:id="1081" w:name="_Toc3230"/>
      <w:bookmarkStart w:id="1082" w:name="_Toc3451"/>
      <w:bookmarkStart w:id="1083" w:name="_Toc31504"/>
      <w:bookmarkStart w:id="1084" w:name="_Toc13117"/>
      <w:bookmarkStart w:id="1085" w:name="_Toc6554"/>
      <w:bookmarkStart w:id="1086" w:name="_Toc27438"/>
      <w:bookmarkStart w:id="1087" w:name="_Toc31107"/>
      <w:bookmarkStart w:id="1088" w:name="_Toc12559"/>
      <w:bookmarkStart w:id="1089" w:name="_Toc16"/>
      <w:bookmarkStart w:id="1090" w:name="_Toc2307"/>
      <w:bookmarkStart w:id="1091" w:name="_Toc31835"/>
      <w:bookmarkStart w:id="1092" w:name="_Toc28340"/>
      <w:bookmarkStart w:id="1093" w:name="_Toc2481"/>
      <w:bookmarkStart w:id="1094" w:name="_Toc20399"/>
      <w:bookmarkStart w:id="1095" w:name="_Toc15135"/>
      <w:bookmarkStart w:id="1096" w:name="_Toc22764"/>
      <w:bookmarkStart w:id="1097" w:name="_Toc4610"/>
      <w:bookmarkStart w:id="1098" w:name="_Toc2062"/>
      <w:bookmarkStart w:id="1099" w:name="_Toc32149"/>
      <w:bookmarkStart w:id="1100" w:name="_Toc14094"/>
      <w:bookmarkStart w:id="1101" w:name="_Toc32464"/>
      <w:bookmarkStart w:id="1102" w:name="_Toc25879"/>
      <w:bookmarkStart w:id="1103" w:name="_Toc1281"/>
      <w:bookmarkStart w:id="1104" w:name="_Toc14142"/>
      <w:bookmarkStart w:id="1105" w:name="_Toc2638"/>
      <w:bookmarkStart w:id="1106" w:name="_Toc4268"/>
      <w:bookmarkStart w:id="1107" w:name="_Toc20475"/>
      <w:bookmarkStart w:id="1108" w:name="_Toc16433"/>
      <w:bookmarkStart w:id="1109" w:name="_Toc27814"/>
      <w:bookmarkStart w:id="1110" w:name="_Toc11566"/>
      <w:bookmarkStart w:id="1111" w:name="_Toc26919"/>
      <w:bookmarkStart w:id="1112" w:name="_Toc25110"/>
      <w:bookmarkStart w:id="1113" w:name="_Toc8740"/>
      <w:bookmarkStart w:id="1114" w:name="_Toc9015"/>
      <w:bookmarkStart w:id="1115" w:name="_Toc27176"/>
      <w:bookmarkStart w:id="1116" w:name="_Toc15506"/>
      <w:bookmarkStart w:id="1117" w:name="_Toc19484"/>
      <w:bookmarkStart w:id="1118" w:name="_Toc16232"/>
      <w:bookmarkStart w:id="1119" w:name="_Toc31163"/>
      <w:bookmarkStart w:id="1120" w:name="_Toc31818"/>
      <w:bookmarkStart w:id="1121" w:name="_Toc16699"/>
      <w:bookmarkStart w:id="1122" w:name="_Toc32386"/>
      <w:bookmarkStart w:id="1123" w:name="_Toc6568"/>
      <w:bookmarkStart w:id="1124" w:name="_Toc28566"/>
      <w:bookmarkStart w:id="1125" w:name="_Toc27701"/>
      <w:bookmarkStart w:id="1126" w:name="_Toc19580"/>
      <w:bookmarkStart w:id="1127" w:name="_Toc13474"/>
      <w:bookmarkStart w:id="1128" w:name="_Toc20454"/>
      <w:bookmarkStart w:id="1129" w:name="_Toc21618"/>
      <w:bookmarkStart w:id="1130" w:name="_Toc30232"/>
      <w:bookmarkStart w:id="1131" w:name="_Toc16058"/>
      <w:bookmarkStart w:id="1132" w:name="_Toc7132"/>
      <w:bookmarkStart w:id="1133" w:name="_Toc19576"/>
      <w:bookmarkStart w:id="1134" w:name="_Toc29257"/>
      <w:bookmarkStart w:id="1135" w:name="_Toc19685"/>
      <w:bookmarkStart w:id="1136" w:name="_Toc28669"/>
      <w:bookmarkStart w:id="1137" w:name="_Toc11133"/>
      <w:bookmarkStart w:id="1138" w:name="_Toc18511"/>
      <w:bookmarkStart w:id="1139" w:name="_Toc9704"/>
      <w:bookmarkStart w:id="1140" w:name="_Toc31162"/>
      <w:r>
        <w:rPr>
          <w:rFonts w:hint="eastAsia"/>
        </w:rPr>
        <w:t>（三）工作目标</w:t>
      </w:r>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p>
    <w:p w14:paraId="1F075889">
      <w:pPr>
        <w:ind w:firstLine="560"/>
      </w:pPr>
      <w:r>
        <w:rPr>
          <w:rFonts w:hint="eastAsia"/>
        </w:rPr>
        <w:t>1、认真学习、宣传、贯彻《中华人民共和国职业病防治法》及相关法律、法规，提高全员对职业卫生工作重要性的认识。</w:t>
      </w:r>
    </w:p>
    <w:p w14:paraId="6BF07495">
      <w:pPr>
        <w:ind w:firstLine="560"/>
      </w:pPr>
      <w:r>
        <w:rPr>
          <w:rFonts w:hint="eastAsia"/>
        </w:rPr>
        <w:t>2、全员普及职业病防治法有关知识，开展多种形式的健康教育活动，增强职业危害场所作业人员的责任和权益意识，逐步提高职工职业卫生素质。</w:t>
      </w:r>
    </w:p>
    <w:p w14:paraId="579BD3E4">
      <w:pPr>
        <w:ind w:firstLine="560"/>
      </w:pPr>
      <w:r>
        <w:rPr>
          <w:rFonts w:hint="eastAsia"/>
        </w:rPr>
        <w:t>3、加强对职业卫生工作的管理要求，完善职业卫生资料，落实职业卫生各项工作：</w:t>
      </w:r>
    </w:p>
    <w:p w14:paraId="23E9F869">
      <w:pPr>
        <w:ind w:firstLine="560"/>
      </w:pPr>
      <w:r>
        <w:rPr>
          <w:rFonts w:hint="eastAsia"/>
        </w:rPr>
        <w:t>（1）建立健全本单位职业卫生档案，真实反映本单位职业卫生状况，在个人档案管理基础上完善个人职业健康监护档案。</w:t>
      </w:r>
    </w:p>
    <w:p w14:paraId="26FC8F60">
      <w:pPr>
        <w:ind w:firstLine="560"/>
      </w:pPr>
      <w:r>
        <w:rPr>
          <w:rFonts w:hint="eastAsia"/>
        </w:rPr>
        <w:t>（2）加强职业健康监护工作，确保从事有毒有害作业职工身体健康。按照相关法律要求对从事有害作业职工进行岗前、岗中、岗后健康体检，体检率达到100%。</w:t>
      </w:r>
    </w:p>
    <w:p w14:paraId="588A8C4B">
      <w:pPr>
        <w:ind w:firstLine="560"/>
      </w:pPr>
      <w:r>
        <w:rPr>
          <w:rFonts w:hint="eastAsia"/>
        </w:rPr>
        <w:t>（3）对存在有职业病危害因素的作业场所进行改造，并及时配备相应的防护用品。</w:t>
      </w:r>
    </w:p>
    <w:p w14:paraId="0A6D41C1">
      <w:pPr>
        <w:ind w:firstLine="560"/>
      </w:pPr>
      <w:r>
        <w:rPr>
          <w:rFonts w:hint="eastAsia"/>
        </w:rPr>
        <w:t>4、完善项目职业卫生管理体系，按照现行国家法律法规、标准和上级公司要求制定完善职业卫生管理制度和操作规程、及相应应急救援预案。</w:t>
      </w:r>
    </w:p>
    <w:p w14:paraId="4D35E80D">
      <w:pPr>
        <w:ind w:firstLine="560"/>
      </w:pPr>
      <w:r>
        <w:rPr>
          <w:rFonts w:hint="eastAsia"/>
        </w:rPr>
        <w:t>5、完善项目职业危害因素辨识与作业危害场所相应警示标志的制作与挂设。</w:t>
      </w:r>
    </w:p>
    <w:p w14:paraId="24C8E378">
      <w:pPr>
        <w:pStyle w:val="5"/>
        <w:spacing w:before="31" w:after="31"/>
        <w:ind w:firstLine="562"/>
      </w:pPr>
      <w:bookmarkStart w:id="1141" w:name="_Toc418"/>
      <w:bookmarkStart w:id="1142" w:name="_Toc22249"/>
      <w:bookmarkStart w:id="1143" w:name="_Toc7907"/>
      <w:bookmarkStart w:id="1144" w:name="_Toc32344"/>
      <w:bookmarkStart w:id="1145" w:name="_Toc29869"/>
      <w:bookmarkStart w:id="1146" w:name="_Toc32726"/>
      <w:bookmarkStart w:id="1147" w:name="_Toc10920"/>
      <w:bookmarkStart w:id="1148" w:name="_Toc1042"/>
      <w:bookmarkStart w:id="1149" w:name="_Toc27161"/>
      <w:bookmarkStart w:id="1150" w:name="_Toc27307"/>
      <w:bookmarkStart w:id="1151" w:name="_Toc29347"/>
      <w:bookmarkStart w:id="1152" w:name="_Toc286"/>
      <w:bookmarkStart w:id="1153" w:name="_Toc8353"/>
      <w:bookmarkStart w:id="1154" w:name="_Toc29353"/>
      <w:bookmarkStart w:id="1155" w:name="_Toc2610"/>
      <w:bookmarkStart w:id="1156" w:name="_Toc9348"/>
      <w:bookmarkStart w:id="1157" w:name="_Toc2431"/>
      <w:bookmarkStart w:id="1158" w:name="_Toc6684"/>
      <w:bookmarkStart w:id="1159" w:name="_Toc18302"/>
      <w:bookmarkStart w:id="1160" w:name="_Toc2820"/>
      <w:bookmarkStart w:id="1161" w:name="_Toc8210"/>
      <w:bookmarkStart w:id="1162" w:name="_Toc8317"/>
      <w:bookmarkStart w:id="1163" w:name="_Toc14688"/>
      <w:bookmarkStart w:id="1164" w:name="_Toc24315"/>
      <w:bookmarkStart w:id="1165" w:name="_Toc21126"/>
      <w:bookmarkStart w:id="1166" w:name="_Toc17931"/>
      <w:bookmarkStart w:id="1167" w:name="_Toc13362"/>
      <w:bookmarkStart w:id="1168" w:name="_Toc28096"/>
      <w:bookmarkStart w:id="1169" w:name="_Toc10871"/>
      <w:bookmarkStart w:id="1170" w:name="_Toc16372"/>
      <w:bookmarkStart w:id="1171" w:name="_Toc16615"/>
      <w:bookmarkStart w:id="1172" w:name="_Toc11645"/>
      <w:bookmarkStart w:id="1173" w:name="_Toc17181"/>
      <w:bookmarkStart w:id="1174" w:name="_Toc25831"/>
      <w:bookmarkStart w:id="1175" w:name="_Toc23200"/>
      <w:bookmarkStart w:id="1176" w:name="_Toc26098"/>
      <w:bookmarkStart w:id="1177" w:name="_Toc16366"/>
      <w:bookmarkStart w:id="1178" w:name="_Toc24809"/>
      <w:bookmarkStart w:id="1179" w:name="_Toc27666"/>
      <w:bookmarkStart w:id="1180" w:name="_Toc4160"/>
      <w:bookmarkStart w:id="1181" w:name="_Toc13466"/>
      <w:bookmarkStart w:id="1182" w:name="_Toc24719"/>
      <w:bookmarkStart w:id="1183" w:name="_Toc13724"/>
      <w:bookmarkStart w:id="1184" w:name="_Toc744"/>
      <w:bookmarkStart w:id="1185" w:name="_Toc6266"/>
      <w:bookmarkStart w:id="1186" w:name="_Toc29168"/>
      <w:bookmarkStart w:id="1187" w:name="_Toc23646"/>
      <w:bookmarkStart w:id="1188" w:name="_Toc20062"/>
      <w:bookmarkStart w:id="1189" w:name="_Toc13149"/>
      <w:bookmarkStart w:id="1190" w:name="_Toc12813"/>
      <w:bookmarkStart w:id="1191" w:name="_Toc29371"/>
      <w:bookmarkStart w:id="1192" w:name="_Toc26251"/>
      <w:bookmarkStart w:id="1193" w:name="_Toc13927"/>
      <w:bookmarkStart w:id="1194" w:name="_Toc25141"/>
      <w:bookmarkStart w:id="1195" w:name="_Toc2424"/>
      <w:bookmarkStart w:id="1196" w:name="_Toc22626"/>
      <w:r>
        <w:rPr>
          <w:rFonts w:hint="eastAsia"/>
        </w:rPr>
        <w:t>（四）工作计划及实施方案</w:t>
      </w:r>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p>
    <w:p w14:paraId="53BBEC56">
      <w:pPr>
        <w:ind w:firstLine="560"/>
      </w:pPr>
      <w:r>
        <w:rPr>
          <w:rFonts w:hint="eastAsia"/>
        </w:rPr>
        <w:t>1、完善项目职业卫生管理体系</w:t>
      </w:r>
    </w:p>
    <w:p w14:paraId="67C48EC0">
      <w:pPr>
        <w:ind w:firstLine="560"/>
      </w:pPr>
      <w:r>
        <w:rPr>
          <w:rFonts w:hint="eastAsia"/>
        </w:rPr>
        <w:t>按照现行国家法律法规、标准和上级公司要求制定完善项目《职业病危害防治责任制度》、《项目职业病危害事故处置与报告制度》及其管理制度等；完善项目涉及职业危害的各岗位职业卫生操作规程；完善项目职业病应急救援体系；针对本项目进行全面的职业病危害因素辨识并制定职业病危险因素清单，并制定防治措施。</w:t>
      </w:r>
    </w:p>
    <w:p w14:paraId="25645B84">
      <w:pPr>
        <w:ind w:firstLine="560"/>
      </w:pPr>
      <w:r>
        <w:rPr>
          <w:rFonts w:hint="eastAsia"/>
        </w:rPr>
        <w:t>2、落实职业病危害防治目标</w:t>
      </w:r>
    </w:p>
    <w:p w14:paraId="0E6ACE4C">
      <w:pPr>
        <w:ind w:firstLine="560"/>
      </w:pPr>
      <w:r>
        <w:rPr>
          <w:rFonts w:hint="eastAsia"/>
        </w:rPr>
        <w:t>根据上级公司要求落实018职业健康管理目标：</w:t>
      </w:r>
    </w:p>
    <w:p w14:paraId="7FA9DAEE">
      <w:pPr>
        <w:ind w:firstLine="560"/>
      </w:pPr>
      <w:r>
        <w:rPr>
          <w:rFonts w:hint="eastAsia"/>
        </w:rPr>
        <w:t>0—急性职业中毒事故为零；</w:t>
      </w:r>
    </w:p>
    <w:p w14:paraId="4EB0EB9C">
      <w:pPr>
        <w:ind w:firstLine="560"/>
      </w:pPr>
      <w:r>
        <w:rPr>
          <w:rFonts w:hint="eastAsia"/>
        </w:rPr>
        <w:t>1—职业病发病率＜1‰、职业危害申报率达到100%、职业病危害告知率达到100%、职业卫生培训率达到100%、接触职业危害因素作业人员职业健康体检率达100%；</w:t>
      </w:r>
    </w:p>
    <w:p w14:paraId="7152ACD3">
      <w:pPr>
        <w:ind w:firstLine="560"/>
      </w:pPr>
      <w:r>
        <w:rPr>
          <w:rFonts w:hint="eastAsia"/>
        </w:rPr>
        <w:t>8—工作场所职业病危害因素监测率达到80%以上、粉尘、毒物、放射性物质等主要危害因素监测合格率达到80%以上。</w:t>
      </w:r>
    </w:p>
    <w:p w14:paraId="7A311965">
      <w:pPr>
        <w:ind w:firstLine="560"/>
      </w:pPr>
      <w:r>
        <w:rPr>
          <w:rFonts w:hint="eastAsia"/>
        </w:rPr>
        <w:t>3、开展职业卫生知识培训</w:t>
      </w:r>
    </w:p>
    <w:p w14:paraId="4F461052">
      <w:pPr>
        <w:ind w:firstLine="560"/>
      </w:pPr>
      <w:r>
        <w:rPr>
          <w:rFonts w:hint="eastAsia"/>
        </w:rPr>
        <w:t>按照国家法律法规规定，落实职业卫生管理人员职业卫生培训、取证相关要求。</w:t>
      </w:r>
    </w:p>
    <w:p w14:paraId="32FCD922">
      <w:pPr>
        <w:ind w:firstLine="560"/>
      </w:pPr>
      <w:r>
        <w:rPr>
          <w:rFonts w:hint="eastAsia"/>
        </w:rPr>
        <w:t>针对项目职业危害特点，立足“预防为主”的方针，利用职业病防治周时间积极开展职业卫生知识培训，将职业卫生知识培训纳入项目职工教育培训计划，主要培训内容包括现行国家法律法规标准，上级公司要求及项目相关制度、职业危害岗位及职业病危害因素、项目职业危害防治措施。</w:t>
      </w:r>
    </w:p>
    <w:p w14:paraId="33D29118">
      <w:pPr>
        <w:ind w:firstLine="560"/>
      </w:pPr>
      <w:r>
        <w:rPr>
          <w:rFonts w:hint="eastAsia"/>
        </w:rPr>
        <w:t>4、落实职业危害“三同时”规定</w:t>
      </w:r>
    </w:p>
    <w:p w14:paraId="48122201">
      <w:pPr>
        <w:ind w:firstLine="560"/>
      </w:pPr>
      <w:r>
        <w:rPr>
          <w:rFonts w:hint="eastAsia"/>
        </w:rPr>
        <w:t>落实项目工程项目管理部相关合同协议与管理职责，积极配合监理、业主方开展相关建设项目职业卫生“三同时”要求。</w:t>
      </w:r>
    </w:p>
    <w:p w14:paraId="1E3E7A8A">
      <w:pPr>
        <w:ind w:firstLine="560"/>
      </w:pPr>
      <w:r>
        <w:rPr>
          <w:rFonts w:hint="eastAsia"/>
        </w:rPr>
        <w:t>5、检测职业危害因素、挂设警示标识</w:t>
      </w:r>
    </w:p>
    <w:p w14:paraId="6EEF7623">
      <w:pPr>
        <w:ind w:firstLine="560"/>
      </w:pPr>
      <w:r>
        <w:rPr>
          <w:rFonts w:hint="eastAsia"/>
        </w:rPr>
        <w:t>落实现场职业危害因素检测要求，各作业点每班执行班前、班中、班后安全检查检测确认制度，并保存完善检测记录；各作业点按规定要求定期进行风速风量温度检测工作并保存记录；配合开展项目作业场所内粉尘、噪音等职业病危害因素检测工作；项目部加强一氧化碳检测仪器、风速风量温度检测仪器的使用培训与维护工作并保存记录。在醒目位置设置公告栏，公布职工职业病防治的规章制度、操作规程、职业危害事故应急救援措施和工作场所职业危害因素监测结果。</w:t>
      </w:r>
    </w:p>
    <w:p w14:paraId="0851540A">
      <w:pPr>
        <w:ind w:firstLine="560"/>
      </w:pPr>
      <w:r>
        <w:rPr>
          <w:rFonts w:hint="eastAsia"/>
        </w:rPr>
        <w:t>6、提供个人劳动防护用品</w:t>
      </w:r>
    </w:p>
    <w:p w14:paraId="183768A0">
      <w:pPr>
        <w:ind w:firstLine="560"/>
      </w:pPr>
      <w:r>
        <w:rPr>
          <w:rFonts w:hint="eastAsia"/>
        </w:rPr>
        <w:t>职业危害防止组负责日常职业病危害劳动防护用品采供与及时发放，保存发放记录。劳动防护用品采购资金实行计划制度，制定劳动防护用品的季度费用计划，确保劳动用品能够及时发放到职工手中，让职工在劳动生产中有效的保护好自己的身体。劳动防护用品购置费用从安全生产费用中列支。确定合格供应商，采购符合国家规定的劳动防护用品，保证职工劳动防护用品质量，职业健康安全环境管理部及各项目部具体负责对职工日常劳动防护用品的正确使用的监管。对不佩戴、不正确佩戴、故意损坏劳动防护用品的职工采取批评教育、经济处罚等手段，确保每个职工都正确佩戴、使用劳动防护用品。</w:t>
      </w:r>
    </w:p>
    <w:p w14:paraId="5E6BE4C5">
      <w:pPr>
        <w:ind w:firstLine="560"/>
      </w:pPr>
      <w:r>
        <w:rPr>
          <w:rFonts w:hint="eastAsia"/>
        </w:rPr>
        <w:t>7、职工健康监护</w:t>
      </w:r>
    </w:p>
    <w:p w14:paraId="55F6928A">
      <w:pPr>
        <w:ind w:firstLine="560"/>
      </w:pPr>
      <w:r>
        <w:rPr>
          <w:rFonts w:hint="eastAsia"/>
        </w:rPr>
        <w:t>严把新员工入司体检关。对新入司职工进行职业健康体检，凡未按要求进行职业健康检查的员工，不予办理上岗手续。</w:t>
      </w:r>
    </w:p>
    <w:p w14:paraId="7CC226B6">
      <w:pPr>
        <w:ind w:firstLine="560"/>
      </w:pPr>
      <w:r>
        <w:rPr>
          <w:rFonts w:hint="eastAsia"/>
        </w:rPr>
        <w:t>严格按照国家《职业健康监护技术规范》GBZ_188-2014及相关法律要求进行在岗职工职业健康体检工作。</w:t>
      </w:r>
    </w:p>
    <w:p w14:paraId="59FE831B">
      <w:pPr>
        <w:ind w:firstLine="560"/>
      </w:pPr>
      <w:r>
        <w:rPr>
          <w:rFonts w:hint="eastAsia"/>
        </w:rPr>
        <w:t>对离岗职工进行职业健康体检。在30日内对准备脱离所从事职业病危害作业或岗位的职工进行离岗时职业健康检查，并按要求将检查结果告知职工本人。未按要求进行离岗检查的职工，不予办理离岗手续。完善职工职业健康监护档案的建立、管理工作，做到档案符合要求、管理有序。</w:t>
      </w:r>
    </w:p>
    <w:p w14:paraId="7500F141">
      <w:pPr>
        <w:ind w:firstLine="560"/>
      </w:pPr>
      <w:r>
        <w:rPr>
          <w:rFonts w:hint="eastAsia"/>
        </w:rPr>
        <w:t>8、加强职业病诊疗工作</w:t>
      </w:r>
    </w:p>
    <w:p w14:paraId="01D86CCA">
      <w:pPr>
        <w:ind w:firstLine="560"/>
      </w:pPr>
      <w:r>
        <w:rPr>
          <w:rFonts w:hint="eastAsia"/>
        </w:rPr>
        <w:t>在努力保持项目职工零职业病的前提下，根据职业健康体检报告，对需要复查的职工按照职业健康检查机构要求的时间安排其复查和医学观察；对有职业禁忌职工及时调离或者暂时脱离工作岗位。</w:t>
      </w:r>
    </w:p>
    <w:p w14:paraId="1FEA21F3">
      <w:pPr>
        <w:ind w:firstLine="560"/>
      </w:pPr>
      <w:r>
        <w:rPr>
          <w:rFonts w:hint="eastAsia"/>
        </w:rPr>
        <w:t>9、完善医疗卫生保护措施</w:t>
      </w:r>
    </w:p>
    <w:p w14:paraId="00C5E07B">
      <w:pPr>
        <w:ind w:firstLine="560"/>
      </w:pPr>
      <w:r>
        <w:rPr>
          <w:rFonts w:hint="eastAsia"/>
        </w:rPr>
        <w:t>医疗保证措施：</w:t>
      </w:r>
    </w:p>
    <w:p w14:paraId="737892D4">
      <w:pPr>
        <w:ind w:firstLine="560"/>
      </w:pPr>
      <w:r>
        <w:rPr>
          <w:rFonts w:hint="eastAsia"/>
        </w:rPr>
        <w:t>①强化协调、联系医院，做好传染病防治工作；规范管理、落实防治措施，做好职工的健康教育工作，营造一个良好的卫生防疫工作环境；</w:t>
      </w:r>
    </w:p>
    <w:p w14:paraId="12BD5D0F">
      <w:pPr>
        <w:ind w:firstLine="560"/>
      </w:pPr>
      <w:r>
        <w:rPr>
          <w:rFonts w:hint="eastAsia"/>
        </w:rPr>
        <w:t>②及时配备应急药箱、防寒防冻劳保；搞好春秋两季环境卫生，有效控制疾病的流行。</w:t>
      </w:r>
    </w:p>
    <w:p w14:paraId="5BF9C5C6">
      <w:pPr>
        <w:ind w:firstLine="560"/>
      </w:pPr>
      <w:r>
        <w:rPr>
          <w:rFonts w:hint="eastAsia"/>
        </w:rPr>
        <w:t>环境卫生保证措施：每天做到场地清洁，房屋四周排水畅通，无污水死水、无病毒滋生的腐质物堆，生活垃圾统一处理；保持施工场地的整洁，每天下班后，施工人员应及时对施工场地进行整理，保证做到材料分类成堆，机械设备停放有序。</w:t>
      </w:r>
    </w:p>
    <w:p w14:paraId="1078D3EA">
      <w:pPr>
        <w:ind w:firstLine="560"/>
      </w:pPr>
      <w:r>
        <w:rPr>
          <w:rFonts w:hint="eastAsia"/>
        </w:rPr>
        <w:t>食堂卫生保证措施：组织对食堂卫生进行不定期抽查，全体员工进行监督，确保食堂卫生；加强食堂工作人员的健康体检；加强饮食管理，保证职工的营养素供给。严格按照《食品卫生法》要求搞好职工食堂饮食工作，保证食品制作，饭菜做熟、营养合理。</w:t>
      </w:r>
    </w:p>
    <w:p w14:paraId="027F33C4">
      <w:pPr>
        <w:ind w:firstLine="560"/>
      </w:pPr>
      <w:r>
        <w:rPr>
          <w:rFonts w:hint="eastAsia"/>
        </w:rPr>
        <w:t>个人卫生保证措施：项目部积极为职工搞好个人卫生创造条件，如修建洗澡堂、发放劳保用品等。加强个人卫生的宣传，搞好形象教育，使每个职工能够从我做起，在为单位树立形象的同时，也做好自身的卫生保健工作，使自己有一个良好的精神状态和健壮的体魄投入到工作之中。</w:t>
      </w:r>
    </w:p>
    <w:p w14:paraId="6343278D">
      <w:pPr>
        <w:pStyle w:val="5"/>
        <w:spacing w:before="31" w:after="31"/>
        <w:ind w:firstLine="562"/>
      </w:pPr>
      <w:bookmarkStart w:id="1197" w:name="_Toc11340"/>
      <w:bookmarkStart w:id="1198" w:name="_Toc5564"/>
      <w:bookmarkStart w:id="1199" w:name="_Toc12184"/>
      <w:bookmarkStart w:id="1200" w:name="_Toc29569"/>
      <w:bookmarkStart w:id="1201" w:name="_Toc31391"/>
      <w:bookmarkStart w:id="1202" w:name="_Toc26115"/>
      <w:bookmarkStart w:id="1203" w:name="_Toc17994"/>
      <w:bookmarkStart w:id="1204" w:name="_Toc21520"/>
      <w:bookmarkStart w:id="1205" w:name="_Toc8500"/>
      <w:bookmarkStart w:id="1206" w:name="_Toc24726"/>
      <w:bookmarkStart w:id="1207" w:name="_Toc19485"/>
      <w:bookmarkStart w:id="1208" w:name="_Toc22949"/>
      <w:bookmarkStart w:id="1209" w:name="_Toc26329"/>
      <w:bookmarkStart w:id="1210" w:name="_Toc4324"/>
      <w:bookmarkStart w:id="1211" w:name="_Toc28192"/>
      <w:bookmarkStart w:id="1212" w:name="_Toc14849"/>
      <w:bookmarkStart w:id="1213" w:name="_Toc2547"/>
      <w:bookmarkStart w:id="1214" w:name="_Toc3884"/>
      <w:bookmarkStart w:id="1215" w:name="_Toc11966"/>
      <w:bookmarkStart w:id="1216" w:name="_Toc22100"/>
      <w:bookmarkStart w:id="1217" w:name="_Toc18253"/>
      <w:bookmarkStart w:id="1218" w:name="_Toc3870"/>
      <w:bookmarkStart w:id="1219" w:name="_Toc2450"/>
      <w:bookmarkStart w:id="1220" w:name="_Toc10151"/>
      <w:bookmarkStart w:id="1221" w:name="_Toc4220"/>
      <w:bookmarkStart w:id="1222" w:name="_Toc28468"/>
      <w:bookmarkStart w:id="1223" w:name="_Toc22733"/>
      <w:bookmarkStart w:id="1224" w:name="_Toc1274"/>
      <w:bookmarkStart w:id="1225" w:name="_Toc5718"/>
      <w:bookmarkStart w:id="1226" w:name="_Toc9653"/>
      <w:bookmarkStart w:id="1227" w:name="_Toc12953"/>
      <w:bookmarkStart w:id="1228" w:name="_Toc10774"/>
      <w:bookmarkStart w:id="1229" w:name="_Toc27060"/>
      <w:bookmarkStart w:id="1230" w:name="_Toc2621"/>
      <w:bookmarkStart w:id="1231" w:name="_Toc25559"/>
      <w:bookmarkStart w:id="1232" w:name="_Toc7622"/>
      <w:bookmarkStart w:id="1233" w:name="_Toc64"/>
      <w:bookmarkStart w:id="1234" w:name="_Toc26135"/>
      <w:bookmarkStart w:id="1235" w:name="_Toc22635"/>
      <w:bookmarkStart w:id="1236" w:name="_Toc21018"/>
      <w:bookmarkStart w:id="1237" w:name="_Toc28325"/>
      <w:bookmarkStart w:id="1238" w:name="_Toc17591"/>
      <w:bookmarkStart w:id="1239" w:name="_Toc25645"/>
      <w:bookmarkStart w:id="1240" w:name="_Toc5126"/>
      <w:bookmarkStart w:id="1241" w:name="_Toc26432"/>
      <w:bookmarkStart w:id="1242" w:name="_Toc2727"/>
      <w:bookmarkStart w:id="1243" w:name="_Toc12050"/>
      <w:bookmarkStart w:id="1244" w:name="_Toc25207"/>
      <w:bookmarkStart w:id="1245" w:name="_Toc19093"/>
      <w:bookmarkStart w:id="1246" w:name="_Toc27639"/>
      <w:bookmarkStart w:id="1247" w:name="_Toc17398"/>
      <w:bookmarkStart w:id="1248" w:name="_Toc22234"/>
      <w:bookmarkStart w:id="1249" w:name="_Toc17711"/>
      <w:bookmarkStart w:id="1250" w:name="_Toc9023"/>
      <w:bookmarkStart w:id="1251" w:name="_Toc31864"/>
      <w:bookmarkStart w:id="1252" w:name="_Toc3914"/>
      <w:bookmarkStart w:id="1253" w:name="_Toc15063"/>
      <w:bookmarkStart w:id="1254" w:name="_Toc29319"/>
      <w:bookmarkStart w:id="1255" w:name="_Toc5350"/>
      <w:bookmarkStart w:id="1256" w:name="_Toc6366"/>
      <w:bookmarkStart w:id="1257" w:name="_Toc9693"/>
      <w:bookmarkStart w:id="1258" w:name="_Toc27461"/>
      <w:r>
        <w:rPr>
          <w:rFonts w:hint="eastAsia"/>
        </w:rPr>
        <w:t>（五）考核与总结提升</w:t>
      </w:r>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p>
    <w:p w14:paraId="371BFF7A">
      <w:pPr>
        <w:ind w:firstLine="560"/>
      </w:pPr>
      <w:r>
        <w:rPr>
          <w:rFonts w:hint="eastAsia"/>
        </w:rPr>
        <w:t>项目职业病危害防治领导小组及其下设办公室负责职业危害防治计划的考核与验收，督促并监控各北面的工作开展。职业病危害防治工作纳入季度系统安全状态评价或综合量化评估考核，对落实不力的部门进行问责，并责成按时整改。</w:t>
      </w:r>
    </w:p>
    <w:p w14:paraId="647C4355">
      <w:pPr>
        <w:pStyle w:val="4"/>
        <w:spacing w:before="93" w:after="31"/>
      </w:pPr>
      <w:bookmarkStart w:id="1259" w:name="_Toc19492"/>
      <w:bookmarkStart w:id="1260" w:name="_Toc5694"/>
      <w:bookmarkStart w:id="1261" w:name="_Toc1957"/>
      <w:bookmarkStart w:id="1262" w:name="_Toc26982"/>
      <w:bookmarkStart w:id="1263" w:name="_Toc2391"/>
      <w:bookmarkStart w:id="1264" w:name="_Toc15507"/>
      <w:bookmarkStart w:id="1265" w:name="_Toc13316"/>
      <w:bookmarkStart w:id="1266" w:name="_Toc6586"/>
      <w:bookmarkStart w:id="1267" w:name="_Toc5167"/>
      <w:bookmarkStart w:id="1268" w:name="_Toc19455"/>
      <w:bookmarkStart w:id="1269" w:name="_Toc32384"/>
      <w:bookmarkStart w:id="1270" w:name="_Toc16664"/>
      <w:bookmarkStart w:id="1271" w:name="_Toc29393"/>
      <w:bookmarkStart w:id="1272" w:name="_Toc32682"/>
      <w:bookmarkStart w:id="1273" w:name="_Toc11654"/>
      <w:bookmarkStart w:id="1274" w:name="_Toc14730"/>
      <w:bookmarkStart w:id="1275" w:name="_Toc3833"/>
      <w:bookmarkStart w:id="1276" w:name="_Toc11691"/>
      <w:bookmarkStart w:id="1277" w:name="_Toc23622"/>
      <w:bookmarkStart w:id="1278" w:name="_Toc29431"/>
      <w:bookmarkStart w:id="1279" w:name="_Toc14567"/>
      <w:bookmarkStart w:id="1280" w:name="_Toc559"/>
      <w:bookmarkStart w:id="1281" w:name="_Toc29799"/>
      <w:bookmarkStart w:id="1282" w:name="_Toc579"/>
      <w:bookmarkStart w:id="1283" w:name="_Toc4033"/>
      <w:bookmarkStart w:id="1284" w:name="_Toc14673"/>
      <w:bookmarkStart w:id="1285" w:name="_Toc32251"/>
      <w:bookmarkStart w:id="1286" w:name="_Toc27399"/>
      <w:bookmarkStart w:id="1287" w:name="_Toc6620"/>
      <w:bookmarkStart w:id="1288" w:name="_Toc23713"/>
      <w:bookmarkStart w:id="1289" w:name="_Toc11489"/>
      <w:bookmarkStart w:id="1290" w:name="_Toc25983"/>
      <w:bookmarkStart w:id="1291" w:name="_Toc21027"/>
      <w:bookmarkStart w:id="1292" w:name="_Toc32489"/>
      <w:bookmarkStart w:id="1293" w:name="_Toc3059"/>
      <w:bookmarkStart w:id="1294" w:name="_Toc28149"/>
      <w:bookmarkStart w:id="1295" w:name="_Toc29597"/>
      <w:bookmarkStart w:id="1296" w:name="_Toc30332"/>
      <w:bookmarkStart w:id="1297" w:name="_Toc10497"/>
      <w:bookmarkStart w:id="1298" w:name="_Toc18382"/>
      <w:bookmarkStart w:id="1299" w:name="_Toc21922"/>
      <w:bookmarkStart w:id="1300" w:name="_Toc25312"/>
      <w:bookmarkStart w:id="1301" w:name="_Toc17358"/>
      <w:bookmarkStart w:id="1302" w:name="_Toc28973"/>
      <w:bookmarkStart w:id="1303" w:name="_Toc5898"/>
      <w:bookmarkStart w:id="1304" w:name="_Toc26993"/>
      <w:bookmarkStart w:id="1305" w:name="_Toc9133"/>
      <w:bookmarkStart w:id="1306" w:name="_Toc17354"/>
      <w:bookmarkStart w:id="1307" w:name="_Toc31773"/>
      <w:bookmarkStart w:id="1308" w:name="_Toc30246"/>
      <w:bookmarkStart w:id="1309" w:name="_Toc27597"/>
      <w:bookmarkStart w:id="1310" w:name="_Toc15479"/>
      <w:bookmarkStart w:id="1311" w:name="_Toc14000"/>
      <w:bookmarkStart w:id="1312" w:name="_Toc1229"/>
      <w:bookmarkStart w:id="1313" w:name="_Toc30714"/>
      <w:bookmarkStart w:id="1314" w:name="_Toc7326"/>
      <w:bookmarkStart w:id="1315" w:name="_Toc21517"/>
      <w:bookmarkStart w:id="1316" w:name="_Toc22736"/>
      <w:bookmarkStart w:id="1317" w:name="_Toc21953"/>
      <w:bookmarkStart w:id="1318" w:name="_Toc28899"/>
      <w:bookmarkStart w:id="1319" w:name="_Toc11185"/>
      <w:bookmarkStart w:id="1320" w:name="_Toc21446"/>
      <w:bookmarkStart w:id="1321" w:name="_Toc16313"/>
      <w:bookmarkStart w:id="1322" w:name="_Toc23251"/>
      <w:bookmarkStart w:id="1323" w:name="_Toc7241"/>
      <w:bookmarkStart w:id="1324" w:name="_Toc1722"/>
      <w:r>
        <w:rPr>
          <w:rFonts w:hint="eastAsia"/>
        </w:rPr>
        <w:t>四、</w:t>
      </w:r>
      <w:r>
        <w:t>项目风险预测与防范及事故应急预案</w:t>
      </w:r>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p>
    <w:p w14:paraId="47B9125E">
      <w:pPr>
        <w:pStyle w:val="5"/>
        <w:spacing w:before="31" w:after="31"/>
        <w:ind w:firstLine="562"/>
      </w:pPr>
      <w:bookmarkStart w:id="1325" w:name="_Toc19775"/>
      <w:bookmarkStart w:id="1326" w:name="_Toc20985"/>
      <w:bookmarkStart w:id="1327" w:name="_Toc6967"/>
      <w:bookmarkStart w:id="1328" w:name="_Toc27695"/>
      <w:bookmarkStart w:id="1329" w:name="_Toc26603"/>
      <w:bookmarkStart w:id="1330" w:name="_Toc6522"/>
      <w:bookmarkStart w:id="1331" w:name="_Toc23760"/>
      <w:bookmarkStart w:id="1332" w:name="_Toc10135"/>
      <w:bookmarkStart w:id="1333" w:name="_Toc24366"/>
      <w:bookmarkStart w:id="1334" w:name="_Toc25827"/>
      <w:bookmarkStart w:id="1335" w:name="_Toc32101"/>
      <w:bookmarkStart w:id="1336" w:name="_Toc24534"/>
      <w:bookmarkStart w:id="1337" w:name="_Toc25460"/>
      <w:bookmarkStart w:id="1338" w:name="_Toc22223"/>
      <w:bookmarkStart w:id="1339" w:name="_Toc14065"/>
      <w:bookmarkStart w:id="1340" w:name="_Toc427"/>
      <w:bookmarkStart w:id="1341" w:name="_Toc15672"/>
      <w:bookmarkStart w:id="1342" w:name="_Toc3830"/>
      <w:bookmarkStart w:id="1343" w:name="_Toc30867"/>
      <w:bookmarkStart w:id="1344" w:name="_Toc15951"/>
      <w:bookmarkStart w:id="1345" w:name="_Toc20239"/>
      <w:bookmarkStart w:id="1346" w:name="_Toc29557"/>
      <w:bookmarkStart w:id="1347" w:name="_Toc3210"/>
      <w:bookmarkStart w:id="1348" w:name="_Toc5329"/>
      <w:bookmarkStart w:id="1349" w:name="_Toc30524"/>
      <w:bookmarkStart w:id="1350" w:name="_Toc12681"/>
      <w:bookmarkStart w:id="1351" w:name="_Toc16628"/>
      <w:bookmarkStart w:id="1352" w:name="_Toc17607"/>
      <w:bookmarkStart w:id="1353" w:name="_Toc4654"/>
      <w:bookmarkStart w:id="1354" w:name="_Toc23376"/>
      <w:bookmarkStart w:id="1355" w:name="_Toc13587"/>
      <w:bookmarkStart w:id="1356" w:name="_Toc1319"/>
      <w:bookmarkStart w:id="1357" w:name="_Toc13764"/>
      <w:bookmarkStart w:id="1358" w:name="_Toc8544"/>
      <w:bookmarkStart w:id="1359" w:name="_Toc29652"/>
      <w:bookmarkStart w:id="1360" w:name="_Toc10766"/>
      <w:bookmarkStart w:id="1361" w:name="_Toc14781"/>
      <w:bookmarkStart w:id="1362" w:name="_Toc17838"/>
      <w:bookmarkStart w:id="1363" w:name="_Toc29918"/>
      <w:bookmarkStart w:id="1364" w:name="_Toc26257"/>
      <w:bookmarkStart w:id="1365" w:name="_Toc40"/>
      <w:bookmarkStart w:id="1366" w:name="_Toc9842"/>
      <w:bookmarkStart w:id="1367" w:name="_Toc30237"/>
      <w:bookmarkStart w:id="1368" w:name="_Toc22245"/>
      <w:bookmarkStart w:id="1369" w:name="_Toc15341"/>
      <w:bookmarkStart w:id="1370" w:name="_Toc9118"/>
      <w:bookmarkStart w:id="1371" w:name="_Toc1385"/>
      <w:bookmarkStart w:id="1372" w:name="_Toc1272"/>
      <w:bookmarkStart w:id="1373" w:name="_Toc29545"/>
      <w:bookmarkStart w:id="1374" w:name="_Toc620"/>
      <w:bookmarkStart w:id="1375" w:name="_Toc17831"/>
      <w:bookmarkStart w:id="1376" w:name="_Toc30713"/>
      <w:bookmarkStart w:id="1377" w:name="_Toc26119"/>
      <w:bookmarkStart w:id="1378" w:name="_Toc17041"/>
      <w:bookmarkStart w:id="1379" w:name="_Toc2709"/>
      <w:bookmarkStart w:id="1380" w:name="_Toc16212"/>
      <w:bookmarkStart w:id="1381" w:name="_Toc8421"/>
      <w:r>
        <w:rPr>
          <w:rFonts w:hint="eastAsia"/>
        </w:rPr>
        <w:t>（一）项目风险</w:t>
      </w:r>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p>
    <w:p w14:paraId="50B02BF3">
      <w:pPr>
        <w:ind w:firstLine="560"/>
      </w:pPr>
      <w:r>
        <w:rPr>
          <w:rFonts w:hint="eastAsia"/>
        </w:rPr>
        <w:t>⑴地质地基条件。业主提供得地质资料与实际出入可能很大,处理异常地质情况或遇到其她障碍物都会增加工作量与延长工期。</w:t>
      </w:r>
    </w:p>
    <w:p w14:paraId="54C7985D">
      <w:pPr>
        <w:ind w:firstLine="560"/>
      </w:pPr>
      <w:r>
        <w:rPr>
          <w:rFonts w:hint="eastAsia"/>
        </w:rPr>
        <w:t>⑵水文气象条件。主要表现在异常天气得出现,如台风、暴风雨、雪、洪水、泥石流、坍方等不可抗力得自然现象与其它影响施工得自然条件,都会造成工期得拖延与财产得损失。</w:t>
      </w:r>
    </w:p>
    <w:p w14:paraId="44E1E4C2">
      <w:pPr>
        <w:ind w:firstLine="560"/>
      </w:pPr>
      <w:r>
        <w:rPr>
          <w:rFonts w:hint="eastAsia"/>
        </w:rPr>
        <w:t>⑶施工准备。由于业主提供得施工现场存在周边环境等方面自然与人为得障碍或“三通一平等”准备工作不足,导致企业不能做好施工前期得准备工作,给工程施工正常运行带来困难。</w:t>
      </w:r>
    </w:p>
    <w:p w14:paraId="0985FF9E">
      <w:pPr>
        <w:ind w:firstLine="560"/>
      </w:pPr>
      <w:r>
        <w:rPr>
          <w:rFonts w:hint="eastAsia"/>
        </w:rPr>
        <w:t>⑷设计变更或图纸供应不及时。设计变更会影响施工安排,从而带来一系列问题;设计图纸供应不及时,会导致施工进度延误,造成承包人工期推延与经济损失。</w:t>
      </w:r>
    </w:p>
    <w:p w14:paraId="78E2C9D7">
      <w:pPr>
        <w:ind w:firstLine="560"/>
      </w:pPr>
      <w:r>
        <w:rPr>
          <w:rFonts w:hint="eastAsia"/>
        </w:rPr>
        <w:t>⑸技术规范。尤其就是技术规范以外得特殊工艺,由于发包人没有明确采用得标准、规范,在工序过程中又没有较好地进行协调与统一,影响以后工程得验收与结算。</w:t>
      </w:r>
    </w:p>
    <w:p w14:paraId="478AB53D">
      <w:pPr>
        <w:ind w:firstLine="560"/>
      </w:pPr>
      <w:r>
        <w:rPr>
          <w:rFonts w:hint="eastAsia"/>
        </w:rPr>
        <w:t>⑹施工技术协调。工程施工过程出现与自身技术专业能力不相适应得工程技术问题,各专业间又存在不能及时协调得困难等;由于业主管理工程得技术水平不足,对施工单位提出需要发包人解决得技术问题,没有作出及时答复。</w:t>
      </w:r>
    </w:p>
    <w:p w14:paraId="419DB1FA">
      <w:pPr>
        <w:pStyle w:val="5"/>
        <w:spacing w:before="31" w:after="31"/>
        <w:ind w:firstLine="562"/>
      </w:pPr>
      <w:bookmarkStart w:id="1382" w:name="_Toc5820"/>
      <w:bookmarkStart w:id="1383" w:name="_Toc22399"/>
      <w:bookmarkStart w:id="1384" w:name="_Toc11832"/>
      <w:bookmarkStart w:id="1385" w:name="_Toc5184"/>
      <w:bookmarkStart w:id="1386" w:name="_Toc22390"/>
      <w:bookmarkStart w:id="1387" w:name="_Toc14051"/>
      <w:bookmarkStart w:id="1388" w:name="_Toc20061"/>
      <w:bookmarkStart w:id="1389" w:name="_Toc17544"/>
      <w:bookmarkStart w:id="1390" w:name="_Toc6878"/>
      <w:bookmarkStart w:id="1391" w:name="_Toc29239"/>
      <w:bookmarkStart w:id="1392" w:name="_Toc22469"/>
      <w:bookmarkStart w:id="1393" w:name="_Toc8557"/>
      <w:bookmarkStart w:id="1394" w:name="_Toc1760"/>
      <w:bookmarkStart w:id="1395" w:name="_Toc31645"/>
      <w:bookmarkStart w:id="1396" w:name="_Toc11295"/>
      <w:bookmarkStart w:id="1397" w:name="_Toc2540"/>
      <w:bookmarkStart w:id="1398" w:name="_Toc11833"/>
      <w:bookmarkStart w:id="1399" w:name="_Toc6637"/>
      <w:bookmarkStart w:id="1400" w:name="_Toc4153"/>
      <w:bookmarkStart w:id="1401" w:name="_Toc11626"/>
      <w:bookmarkStart w:id="1402" w:name="_Toc19635"/>
      <w:bookmarkStart w:id="1403" w:name="_Toc20939"/>
      <w:bookmarkStart w:id="1404" w:name="_Toc23748"/>
      <w:bookmarkStart w:id="1405" w:name="_Toc10154"/>
      <w:bookmarkStart w:id="1406" w:name="_Toc20731"/>
      <w:bookmarkStart w:id="1407" w:name="_Toc11717"/>
      <w:bookmarkStart w:id="1408" w:name="_Toc10947"/>
      <w:bookmarkStart w:id="1409" w:name="_Toc10654"/>
      <w:bookmarkStart w:id="1410" w:name="_Toc3138"/>
      <w:bookmarkStart w:id="1411" w:name="_Toc26728"/>
      <w:bookmarkStart w:id="1412" w:name="_Toc9724"/>
      <w:bookmarkStart w:id="1413" w:name="_Toc19643"/>
      <w:bookmarkStart w:id="1414" w:name="_Toc19790"/>
      <w:bookmarkStart w:id="1415" w:name="_Toc4440"/>
      <w:bookmarkStart w:id="1416" w:name="_Toc4858"/>
      <w:bookmarkStart w:id="1417" w:name="_Toc7775"/>
      <w:bookmarkStart w:id="1418" w:name="_Toc1535"/>
      <w:bookmarkStart w:id="1419" w:name="_Toc16956"/>
      <w:bookmarkStart w:id="1420" w:name="_Toc10050"/>
      <w:bookmarkStart w:id="1421" w:name="_Toc18291"/>
      <w:bookmarkStart w:id="1422" w:name="_Toc22141"/>
      <w:bookmarkStart w:id="1423" w:name="_Toc8283"/>
      <w:bookmarkStart w:id="1424" w:name="_Toc8804"/>
      <w:bookmarkStart w:id="1425" w:name="_Toc245"/>
      <w:bookmarkStart w:id="1426" w:name="_Toc25294"/>
      <w:bookmarkStart w:id="1427" w:name="_Toc31524"/>
      <w:bookmarkStart w:id="1428" w:name="_Toc5461"/>
      <w:bookmarkStart w:id="1429" w:name="_Toc632"/>
      <w:bookmarkStart w:id="1430" w:name="_Toc16148"/>
      <w:bookmarkStart w:id="1431" w:name="_Toc20134"/>
      <w:bookmarkStart w:id="1432" w:name="_Toc7560"/>
      <w:bookmarkStart w:id="1433" w:name="_Toc20660"/>
      <w:bookmarkStart w:id="1434" w:name="_Toc9136"/>
      <w:bookmarkStart w:id="1435" w:name="_Toc6081"/>
      <w:bookmarkStart w:id="1436" w:name="_Toc5703"/>
      <w:bookmarkStart w:id="1437" w:name="_Toc1168"/>
      <w:r>
        <w:rPr>
          <w:rFonts w:hint="eastAsia"/>
        </w:rPr>
        <w:t>（二）经济方面风险</w:t>
      </w:r>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p>
    <w:p w14:paraId="77702C24">
      <w:pPr>
        <w:ind w:firstLine="560"/>
      </w:pPr>
      <w:r>
        <w:rPr>
          <w:rFonts w:hint="eastAsia"/>
        </w:rPr>
        <w:t>⑴招标文件。这就是招标得主要依据,特别就是投标者须知,设计图纸、工程质量要求、合同条款以及工程量清单等都存在着潜在得经济风险,必须仔细分析研究。</w:t>
      </w:r>
    </w:p>
    <w:p w14:paraId="7B2BBD88">
      <w:pPr>
        <w:ind w:firstLine="560"/>
      </w:pPr>
      <w:r>
        <w:rPr>
          <w:rFonts w:hint="eastAsia"/>
        </w:rPr>
        <w:t>⑵资源市场价格。要素市场包括劳动力市场、材料市场、设备市场等,这些市场价格得变化,特别就是价格得上涨,直接影响着工程承包价格。</w:t>
      </w:r>
    </w:p>
    <w:p w14:paraId="687951C7">
      <w:pPr>
        <w:ind w:firstLine="560"/>
      </w:pPr>
      <w:r>
        <w:rPr>
          <w:rFonts w:hint="eastAsia"/>
        </w:rPr>
        <w:t>⑶金融市场因素。金融市场因素包括存贷款利率变动、货币贬值等,也影响着工程项目得经济效益。</w:t>
      </w:r>
    </w:p>
    <w:p w14:paraId="794AE28D">
      <w:pPr>
        <w:ind w:firstLine="560"/>
      </w:pPr>
      <w:r>
        <w:rPr>
          <w:rFonts w:hint="eastAsia"/>
        </w:rPr>
        <w:t>⑷资金、材料、设备供应。主要表现为业主供应得资金、材料或设备质量不合格或供应不及时,不按工程进度拨款。</w:t>
      </w:r>
    </w:p>
    <w:p w14:paraId="03317459">
      <w:pPr>
        <w:pStyle w:val="5"/>
        <w:spacing w:before="31" w:after="31"/>
        <w:ind w:firstLine="562"/>
      </w:pPr>
      <w:bookmarkStart w:id="1438" w:name="_Toc9888"/>
      <w:bookmarkStart w:id="1439" w:name="_Toc26032"/>
      <w:bookmarkStart w:id="1440" w:name="_Toc7473"/>
      <w:bookmarkStart w:id="1441" w:name="_Toc14095"/>
      <w:bookmarkStart w:id="1442" w:name="_Toc12288"/>
      <w:bookmarkStart w:id="1443" w:name="_Toc21821"/>
      <w:bookmarkStart w:id="1444" w:name="_Toc6801"/>
      <w:bookmarkStart w:id="1445" w:name="_Toc7405"/>
      <w:bookmarkStart w:id="1446" w:name="_Toc29864"/>
      <w:bookmarkStart w:id="1447" w:name="_Toc30056"/>
      <w:bookmarkStart w:id="1448" w:name="_Toc17310"/>
      <w:bookmarkStart w:id="1449" w:name="_Toc6355"/>
      <w:bookmarkStart w:id="1450" w:name="_Toc12358"/>
      <w:bookmarkStart w:id="1451" w:name="_Toc23073"/>
      <w:bookmarkStart w:id="1452" w:name="_Toc7110"/>
      <w:bookmarkStart w:id="1453" w:name="_Toc17707"/>
      <w:bookmarkStart w:id="1454" w:name="_Toc31530"/>
      <w:bookmarkStart w:id="1455" w:name="_Toc13495"/>
      <w:bookmarkStart w:id="1456" w:name="_Toc27102"/>
      <w:bookmarkStart w:id="1457" w:name="_Toc18585"/>
      <w:bookmarkStart w:id="1458" w:name="_Toc22368"/>
      <w:bookmarkStart w:id="1459" w:name="_Toc29876"/>
      <w:bookmarkStart w:id="1460" w:name="_Toc30875"/>
      <w:bookmarkStart w:id="1461" w:name="_Toc27618"/>
      <w:bookmarkStart w:id="1462" w:name="_Toc1024"/>
      <w:bookmarkStart w:id="1463" w:name="_Toc15787"/>
      <w:bookmarkStart w:id="1464" w:name="_Toc1336"/>
      <w:bookmarkStart w:id="1465" w:name="_Toc19868"/>
      <w:bookmarkStart w:id="1466" w:name="_Toc28547"/>
      <w:bookmarkStart w:id="1467" w:name="_Toc3503"/>
      <w:bookmarkStart w:id="1468" w:name="_Toc31136"/>
      <w:bookmarkStart w:id="1469" w:name="_Toc3048"/>
      <w:bookmarkStart w:id="1470" w:name="_Toc1678"/>
      <w:bookmarkStart w:id="1471" w:name="_Toc26056"/>
      <w:bookmarkStart w:id="1472" w:name="_Toc25550"/>
      <w:bookmarkStart w:id="1473" w:name="_Toc29945"/>
      <w:bookmarkStart w:id="1474" w:name="_Toc6384"/>
      <w:bookmarkStart w:id="1475" w:name="_Toc3700"/>
      <w:bookmarkStart w:id="1476" w:name="_Toc16069"/>
      <w:bookmarkStart w:id="1477" w:name="_Toc30273"/>
      <w:bookmarkStart w:id="1478" w:name="_Toc29909"/>
      <w:bookmarkStart w:id="1479" w:name="_Toc5823"/>
      <w:bookmarkStart w:id="1480" w:name="_Toc14367"/>
      <w:bookmarkStart w:id="1481" w:name="_Toc1983"/>
      <w:bookmarkStart w:id="1482" w:name="_Toc5590"/>
      <w:bookmarkStart w:id="1483" w:name="_Toc17307"/>
      <w:bookmarkStart w:id="1484" w:name="_Toc29956"/>
      <w:bookmarkStart w:id="1485" w:name="_Toc20973"/>
      <w:bookmarkStart w:id="1486" w:name="_Toc17038"/>
      <w:bookmarkStart w:id="1487" w:name="_Toc17934"/>
      <w:bookmarkStart w:id="1488" w:name="_Toc16945"/>
      <w:bookmarkStart w:id="1489" w:name="_Toc22216"/>
      <w:bookmarkStart w:id="1490" w:name="_Toc25608"/>
      <w:bookmarkStart w:id="1491" w:name="_Toc1873"/>
      <w:bookmarkStart w:id="1492" w:name="_Toc8372"/>
      <w:bookmarkStart w:id="1493" w:name="_Toc15781"/>
      <w:bookmarkStart w:id="1494" w:name="_Toc12567"/>
      <w:bookmarkStart w:id="1495" w:name="_Toc5366"/>
      <w:r>
        <w:rPr>
          <w:rFonts w:hint="eastAsia"/>
        </w:rPr>
        <w:t>（三）事故应急预案</w:t>
      </w:r>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p>
    <w:p w14:paraId="41FF0072">
      <w:pPr>
        <w:ind w:firstLine="560"/>
      </w:pPr>
      <w:r>
        <w:rPr>
          <w:rFonts w:hint="eastAsia"/>
        </w:rPr>
        <w:t>（一）火灾应急预案</w:t>
      </w:r>
    </w:p>
    <w:p w14:paraId="13B91BE8">
      <w:pPr>
        <w:ind w:firstLine="560"/>
      </w:pPr>
      <w:r>
        <w:rPr>
          <w:rFonts w:hint="eastAsia"/>
        </w:rPr>
        <w:t>1、火灾可能发生得地点、原因、性质与后果:</w:t>
      </w:r>
    </w:p>
    <w:p w14:paraId="42C5CA1F">
      <w:pPr>
        <w:ind w:firstLine="560"/>
      </w:pPr>
      <w:r>
        <w:rPr>
          <w:rFonts w:hint="eastAsia"/>
        </w:rPr>
        <w:t>项目部得火灾事故,可能发生得主要地点为办公室、宿舍与食堂。办公室主要就是抽烟不注意,烟头可能引燃易燃物引起火灾;宿舍主要就是用电不当造成火灾;食堂主要就是用电与天然气使用不当引起火灾。因办公室、职工宿舍同一楼,上下距离较近。一旦发生火灾,职工得被褥、铺盖、生活用品、办公区得桌、椅、电脑、纸张等设施、用品会迅速引起火灾。</w:t>
      </w:r>
    </w:p>
    <w:p w14:paraId="15040F49">
      <w:pPr>
        <w:ind w:firstLine="560"/>
      </w:pPr>
      <w:r>
        <w:rPr>
          <w:rFonts w:hint="eastAsia"/>
        </w:rPr>
        <w:t>2、应急设备、设施及其配置要求:</w:t>
      </w:r>
    </w:p>
    <w:p w14:paraId="484FAAD0">
      <w:pPr>
        <w:ind w:firstLine="560"/>
      </w:pPr>
      <w:r>
        <w:rPr>
          <w:rFonts w:hint="eastAsia"/>
        </w:rPr>
        <w:t>为了防止火灾得发生,项目部办公区、职工宿舍与食堂配置必要得消防设施灭火器等灭火设备,在食堂、宿舍、办公区、大院门口合理设置自来水管,以备急用。</w:t>
      </w:r>
    </w:p>
    <w:p w14:paraId="24326524">
      <w:pPr>
        <w:ind w:firstLine="560"/>
      </w:pPr>
      <w:r>
        <w:rPr>
          <w:rFonts w:hint="eastAsia"/>
        </w:rPr>
        <w:t>火灾事故得发生,主要就是人为得因素,所以要经常对全体职工进行安全防火教育,提高防火意识,保护自身安全。同时,对工作人员进行培训,使大家掌握灭火器得使用方法等必要得技能。每年组织一次应急演练,确保一旦发生火灾事故,召之即来,来之能战,战之能胜。</w:t>
      </w:r>
    </w:p>
    <w:p w14:paraId="21A303E0">
      <w:pPr>
        <w:ind w:firstLine="560"/>
      </w:pPr>
      <w:r>
        <w:rPr>
          <w:rFonts w:hint="eastAsia"/>
        </w:rPr>
        <w:t>3、火灾发生得应急措施:</w:t>
      </w:r>
    </w:p>
    <w:p w14:paraId="0F1C11C0">
      <w:pPr>
        <w:ind w:firstLine="560"/>
      </w:pPr>
      <w:r>
        <w:rPr>
          <w:rFonts w:hint="eastAsia"/>
        </w:rPr>
        <w:t>火灾发生后,现场人员应立即采取控制措施,如切断电源、撤离火场内人员与周围易燃物品及贵重物品,并立即报告应急小组指挥组,由指挥组人员组织应急小组展开工作,各小组人员按分工各负其责,各司其职,有条不紊地开展工作,灭火组:负责灭火、破拆与火场供水等直接扑灭火灾得任务;通迅组:负责向公安消防队报告火警、火场通迅联络、瞧守电话以及上报火情、下传命令等通讯联络任务,同时报告主管领导与上级主管部门,必要时通报当地驻军、卫生部门与友邻单位;疏散引导组:组织人员从楼道疏散。疏散人员时要采取必要得防护措施,如用温毛巾捂住口、鼻或用湿床单、被褥等物防护,抢救组:负责救人、疏散物资等任务,实战中要与灭火组紧密配合,共同作战。如果有人员受伤亡,立即送附近医院进行抢救,确保人员得安全。</w:t>
      </w:r>
    </w:p>
    <w:p w14:paraId="59FED469">
      <w:pPr>
        <w:ind w:firstLine="560"/>
      </w:pPr>
      <w:r>
        <w:rPr>
          <w:rFonts w:hint="eastAsia"/>
        </w:rPr>
        <w:t>4、调查、处理方法:</w:t>
      </w:r>
    </w:p>
    <w:p w14:paraId="7E5292CA">
      <w:pPr>
        <w:ind w:firstLine="560"/>
      </w:pPr>
      <w:r>
        <w:rPr>
          <w:rFonts w:hint="eastAsia"/>
        </w:rPr>
        <w:t>事故发生后,项目领导小组成员与各队义务领导成员一起,对事故发生得原因进行调查,按事故原因没查清不放过,责任人没有严肃处理不放过,职工没有受到教育不放过,防范措施没有落实不放过得“四不放过”得原则进行处理,调查处理事故要及时、准确、实事求就是,秉公执法,必要时移交司法部门进行处理。</w:t>
      </w:r>
    </w:p>
    <w:p w14:paraId="4B98B3CF">
      <w:pPr>
        <w:ind w:firstLine="560"/>
      </w:pPr>
      <w:r>
        <w:rPr>
          <w:rFonts w:hint="eastAsia"/>
        </w:rPr>
        <w:t>（二）食物中毒应急计划</w:t>
      </w:r>
    </w:p>
    <w:p w14:paraId="71566067">
      <w:pPr>
        <w:ind w:firstLine="560"/>
      </w:pPr>
      <w:r>
        <w:rPr>
          <w:rFonts w:hint="eastAsia"/>
        </w:rPr>
        <w:t>1、事故可能发生得地点、原因、性质与后果:</w:t>
      </w:r>
    </w:p>
    <w:p w14:paraId="3CEDAD45">
      <w:pPr>
        <w:ind w:firstLine="560"/>
      </w:pPr>
      <w:r>
        <w:rPr>
          <w:rFonts w:hint="eastAsia"/>
        </w:rPr>
        <w:t>食物中毒可能发生于食堂。由于目前项目部职工集体就餐,原因可能就是橱具灶具得不清洁,购买发霉、变质等食品,蚊蝇传播,炊事人员得健康卫生、就餐人员得餐具及人员外购食物等,都有可能就是易发性食物中毒源,其后果将会导致人员生命健康受到危害。</w:t>
      </w:r>
    </w:p>
    <w:p w14:paraId="4067D93B">
      <w:pPr>
        <w:ind w:firstLine="560"/>
      </w:pPr>
      <w:r>
        <w:rPr>
          <w:rFonts w:hint="eastAsia"/>
        </w:rPr>
        <w:t>2、应急设备、设施及其配置要求:</w:t>
      </w:r>
    </w:p>
    <w:p w14:paraId="1FD4146C">
      <w:pPr>
        <w:ind w:firstLine="560"/>
      </w:pPr>
      <w:r>
        <w:rPr>
          <w:rFonts w:hint="eastAsia"/>
        </w:rPr>
        <w:t>为了防止食物中毒得发生,食堂得卫生要符合规定要求,保持橱房得干净,同时食堂应配备足够得消毒设备(消毒柜),对灶具、橱具、餐具进行经常性消毒,对炊事人员进行健康检查,炊事人员在工作中应穿工作服,戴卫生帽与口罩,保持良好得个人卫生,严格控制购进不卫生得食品,尤其就是禁止购买熟食物、有腐烂、发霉、变质得食品,对食堂得剩钣菜进行适当处理等。办公室应与当地附近医疗机构联系,对食堂卫生定期检查与对炊事人员进行健康知识教育,从源头上全面预防食物中毒事故得发生。</w:t>
      </w:r>
    </w:p>
    <w:p w14:paraId="0E224443">
      <w:pPr>
        <w:ind w:firstLine="560"/>
      </w:pPr>
      <w:r>
        <w:rPr>
          <w:rFonts w:hint="eastAsia"/>
        </w:rPr>
        <w:t>3、事故发生得应急措施:</w:t>
      </w:r>
    </w:p>
    <w:p w14:paraId="3C1FFAC7">
      <w:pPr>
        <w:ind w:firstLine="560"/>
      </w:pPr>
      <w:r>
        <w:rPr>
          <w:rFonts w:hint="eastAsia"/>
        </w:rPr>
        <w:t>发生食物中毒后,应及时报告应急管理小组指挥组,小组人员按分工各负其责,各司其职,积极有效地开展工作。指挥组:负责协调工作;通迅联络组:负责各方面得联络任务,积极配合救护组要求得联络工作,如附近医疗部门或相关友邻单位等,同时报告主管领导或上级主管部门;救护组:负责组织人力进行抢救,抢救得方法送定点医院,或请医疗人员到现场抢救等,如情况比较严重时,请求多个医疗卫生单位与友邻单位救助,确保人员生命安全。</w:t>
      </w:r>
    </w:p>
    <w:p w14:paraId="7451C24D">
      <w:pPr>
        <w:ind w:firstLine="560"/>
      </w:pPr>
      <w:r>
        <w:rPr>
          <w:rFonts w:hint="eastAsia"/>
        </w:rPr>
        <w:t>4、事故调查、处理方法;</w:t>
      </w:r>
    </w:p>
    <w:p w14:paraId="1E010747">
      <w:pPr>
        <w:ind w:firstLine="560"/>
      </w:pPr>
      <w:r>
        <w:rPr>
          <w:rFonts w:hint="eastAsia"/>
        </w:rPr>
        <w:t>事故发生后,应急管理小组成员共同对事故原因进行分析、调查,对事故得调查处理,应本着:事故原因未查清不放过,事故责任人没有严肃处理不放过,职工没有受到教育不放过,防范措施没有落实不放过得“四不放过”得原则进行处理,事故得调查处理应本着对单位、对员工与事故责任人负责得原则,客观公正、实事求就是、及时准确、秉公执法。</w:t>
      </w:r>
    </w:p>
    <w:p w14:paraId="1B6E8282">
      <w:pPr>
        <w:ind w:firstLine="560"/>
      </w:pPr>
      <w:r>
        <w:rPr>
          <w:rFonts w:hint="eastAsia"/>
        </w:rPr>
        <w:t>（三）坍塌</w:t>
      </w:r>
    </w:p>
    <w:p w14:paraId="5C17E54D">
      <w:pPr>
        <w:ind w:firstLine="560"/>
      </w:pPr>
      <w:r>
        <w:rPr>
          <w:rFonts w:hint="eastAsia"/>
        </w:rPr>
        <w:t>1、事故可能发生得地点、原因、性质与后果:</w:t>
      </w:r>
    </w:p>
    <w:p w14:paraId="5DF25715">
      <w:pPr>
        <w:ind w:firstLine="560"/>
      </w:pPr>
      <w:r>
        <w:rPr>
          <w:rFonts w:hint="eastAsia"/>
        </w:rPr>
        <w:t>坍塌事故主要发生在基础挖方、拆除挡墙护坡施工中,坍塌事故发生得原因主要就是在施工中未严格按照施工设计图纸施工或对施工中地质资料掌握不准确造成得,坍塌事故得发生将会使机械受到损坏、人员生命安全受到威胁。</w:t>
      </w:r>
    </w:p>
    <w:p w14:paraId="24358F76">
      <w:pPr>
        <w:ind w:firstLine="560"/>
      </w:pPr>
      <w:r>
        <w:rPr>
          <w:rFonts w:hint="eastAsia"/>
        </w:rPr>
        <w:t>2、应急设备、设施及其配置要求:</w:t>
      </w:r>
    </w:p>
    <w:p w14:paraId="6300E431">
      <w:pPr>
        <w:ind w:firstLine="560"/>
      </w:pPr>
      <w:r>
        <w:rPr>
          <w:rFonts w:hint="eastAsia"/>
        </w:rPr>
        <w:t>为了防止因坍塌事故引起得机械损坏及人员伤亡,项目部工程部、安全部、质检部应对现场施工质量进行控制,严格按照施工设计图纸要求现场施工人员进行操作,在施工中对地质情况进行详细得勘察,避免因地质判断有误出现事故。项目部安全部、质检部、工程部人员应多对现场进行巡视,及早发现可能出现坍塌得部位,提出加固措施,并监督施工队完成,对不按照要求施工得施工队按有关管理办法进行处罚。项目部安全部经常到各施工队进行安全意识教育,提高全体参建人员得安全意识与自我防护意识。</w:t>
      </w:r>
    </w:p>
    <w:p w14:paraId="4EF9B7A5">
      <w:pPr>
        <w:ind w:firstLine="560"/>
      </w:pPr>
      <w:r>
        <w:rPr>
          <w:rFonts w:hint="eastAsia"/>
        </w:rPr>
        <w:t>3、事故发生得应急措施:</w:t>
      </w:r>
    </w:p>
    <w:p w14:paraId="5492531D">
      <w:pPr>
        <w:ind w:firstLine="560"/>
      </w:pPr>
      <w:r>
        <w:rPr>
          <w:rFonts w:hint="eastAsia"/>
        </w:rPr>
        <w:t>发生坍塌事故后,现场人员应及时报告应急管理小组指挥组,由指挥组对各应急小组进行分工,并指导现场人员操作,各小组人员按分工各负其责,各司其职,积极有效地开展工作。指挥组:负责协调工作;通迅联络组:负责各方面得联络任务,积极配合救护组要求得联络工作,如附近医疗部门或相关友邻单位等,同时报告主管领导或上级主管部门;救护组:负责组织人力进行抢救,抢救得方法送定点医院,或请医疗人员到现场抢救等,如情况比较严重时,请求多个医疗卫生单位与友邻单位救助,确保人员生命安全。</w:t>
      </w:r>
    </w:p>
    <w:p w14:paraId="52250A93">
      <w:pPr>
        <w:ind w:firstLine="560"/>
      </w:pPr>
      <w:r>
        <w:rPr>
          <w:rFonts w:hint="eastAsia"/>
        </w:rPr>
        <w:t>4、事故调查、处理方法;</w:t>
      </w:r>
    </w:p>
    <w:p w14:paraId="09F7A1DE">
      <w:pPr>
        <w:ind w:firstLine="560"/>
      </w:pPr>
      <w:r>
        <w:rPr>
          <w:rFonts w:hint="eastAsia"/>
        </w:rPr>
        <w:t>事故发生后,应急管理小组成员共同对事故原因进行分析、调查,对事故得调查处理,应本着:事故原因未查清不放过,事故责任人没有严肃处理不放过,职工没有受到教育不放过,防范措施没有落实不放过得“四不放过”得原则进行处理,事故得调查处理应本着对单位、对员工与事故责任人负责得原则,客观公正、实事求就是、及时准确、秉公执法。</w:t>
      </w:r>
    </w:p>
    <w:p w14:paraId="149264C1">
      <w:pPr>
        <w:ind w:firstLine="560"/>
      </w:pPr>
      <w:r>
        <w:rPr>
          <w:rFonts w:hint="eastAsia"/>
        </w:rPr>
        <w:t>（四）人员触电应急预案</w:t>
      </w:r>
    </w:p>
    <w:p w14:paraId="4DE31C52">
      <w:pPr>
        <w:ind w:firstLine="560"/>
      </w:pPr>
      <w:r>
        <w:rPr>
          <w:rFonts w:hint="eastAsia"/>
        </w:rPr>
        <w:t>施工现场人员触电时,负责人或安全员应立即指挥其她人员做以下工作:</w:t>
      </w:r>
    </w:p>
    <w:p w14:paraId="7E7C8CE1">
      <w:pPr>
        <w:ind w:firstLine="560"/>
      </w:pPr>
      <w:r>
        <w:rPr>
          <w:rFonts w:hint="eastAsia"/>
        </w:rPr>
        <w:t>1.脱离电源:立即断开触电者所触及得导体或设备得电源,设法使触电者脱离带电部分。低压触电时,采取脱离电源得方法如下:</w:t>
      </w:r>
    </w:p>
    <w:p w14:paraId="680FAD18">
      <w:pPr>
        <w:ind w:firstLine="560"/>
      </w:pPr>
      <w:r>
        <w:rPr>
          <w:rFonts w:hint="eastAsia"/>
        </w:rPr>
        <w:t>A、如果电源开关或插销在触电地点附近,应立即断开或拔掉插销。</w:t>
      </w:r>
    </w:p>
    <w:p w14:paraId="20519559">
      <w:pPr>
        <w:ind w:firstLine="560"/>
      </w:pPr>
      <w:r>
        <w:rPr>
          <w:rFonts w:hint="eastAsia"/>
        </w:rPr>
        <w:t>B、如果触电地点离电源开关较远,可使用绝缘钳或干燥得木柄等电工工具切断。</w:t>
      </w:r>
    </w:p>
    <w:p w14:paraId="6D519D31">
      <w:pPr>
        <w:ind w:firstLine="560"/>
      </w:pPr>
      <w:r>
        <w:rPr>
          <w:rFonts w:hint="eastAsia"/>
        </w:rPr>
        <w:t>C、导线如搭在触电者身上或触电人得身体压在导线上,可使用干燥得衣服、手套、绳子、木板等绝缘物做工具,拉开触电者或导线。</w:t>
      </w:r>
    </w:p>
    <w:p w14:paraId="183E292E">
      <w:pPr>
        <w:ind w:firstLine="560"/>
      </w:pPr>
      <w:r>
        <w:rPr>
          <w:rFonts w:hint="eastAsia"/>
        </w:rPr>
        <w:t>D、导线没有紧缠在触电者者身上,如触电人得身上得衣服就是干燥得,则可拉着她得衣服后襟将其脱离带电部分,此时救护人员不得用衣服蒙住触电者,不得直接拉触电者得脚与躯体周围得金属物品。</w:t>
      </w:r>
    </w:p>
    <w:p w14:paraId="1620A54A">
      <w:pPr>
        <w:ind w:firstLine="560"/>
      </w:pPr>
      <w:r>
        <w:rPr>
          <w:rFonts w:hint="eastAsia"/>
        </w:rPr>
        <w:t>E、如果救护人员握有绝缘良好得工具,也可拉着触电者得双脚将其脱离带电部分。</w:t>
      </w:r>
    </w:p>
    <w:p w14:paraId="6FB86225">
      <w:pPr>
        <w:ind w:firstLine="560"/>
      </w:pPr>
      <w:r>
        <w:rPr>
          <w:rFonts w:hint="eastAsia"/>
        </w:rPr>
        <w:t>2.人员脱离带电部位后,应紧进行抢救,具体办法如下:</w:t>
      </w:r>
    </w:p>
    <w:p w14:paraId="693BE19A">
      <w:pPr>
        <w:ind w:firstLine="560"/>
      </w:pPr>
      <w:r>
        <w:rPr>
          <w:rFonts w:hint="eastAsia"/>
        </w:rPr>
        <w:t>A、口对口进行人工呼吸步骤:清理嘴里东西,头尽量往后仰,鼻孔朝上,这样舌头根就不会堵塞气道;同时揭开领口与衣服。</w:t>
      </w:r>
    </w:p>
    <w:p w14:paraId="7E52E5D2">
      <w:pPr>
        <w:ind w:firstLine="560"/>
      </w:pPr>
      <w:r>
        <w:rPr>
          <w:rFonts w:hint="eastAsia"/>
        </w:rPr>
        <w:t>B、在触电人得头部左边或右边,一只手捏住鼻孔,另一只手拇指食指掰开嘴巴,进行吹气。掰不开嘴巴时,可用口对鼻人工呼吸。</w:t>
      </w:r>
    </w:p>
    <w:p w14:paraId="71DB6D10">
      <w:pPr>
        <w:ind w:firstLine="560"/>
      </w:pPr>
      <w:r>
        <w:rPr>
          <w:rFonts w:hint="eastAsia"/>
        </w:rPr>
        <w:t>C、吹气主要就是使触电人得胸部膨胀,每隔5秒吹一次(吹2秒放松3秒)D、救护人换气时,放松触电人得嘴与鼻,使其自动呼气。</w:t>
      </w:r>
    </w:p>
    <w:p w14:paraId="7F2E5BC1">
      <w:pPr>
        <w:ind w:firstLine="560"/>
      </w:pPr>
      <w:r>
        <w:rPr>
          <w:rFonts w:hint="eastAsia"/>
        </w:rPr>
        <w:t>3.胸外心脏挤压法:</w:t>
      </w:r>
    </w:p>
    <w:p w14:paraId="6517ABF3">
      <w:pPr>
        <w:ind w:firstLine="560"/>
      </w:pPr>
      <w:r>
        <w:rPr>
          <w:rFonts w:hint="eastAsia"/>
        </w:rPr>
        <w:t>A、解开触电人上衣,使其仰卧在地上或硬板上(不要躺在较软得东西</w:t>
      </w:r>
    </w:p>
    <w:p w14:paraId="533CB28B">
      <w:pPr>
        <w:ind w:firstLine="560"/>
      </w:pPr>
      <w:r>
        <w:rPr>
          <w:rFonts w:hint="eastAsia"/>
        </w:rPr>
        <w:t>B、救护人跨腰蹲在触电人腰部,两手相叠,手掌根部放在心窝稍高一点得地方(胸下三分之二处);</w:t>
      </w:r>
    </w:p>
    <w:p w14:paraId="5E54E9C3">
      <w:pPr>
        <w:ind w:firstLine="560"/>
      </w:pPr>
      <w:r>
        <w:rPr>
          <w:rFonts w:hint="eastAsia"/>
        </w:rPr>
        <w:t>C、掌根用力向下面(脊背得方向)挤压,压出心脏里面得血液,压陷到3至5厘米,每秒挤压一次。挤压后掌根很快放松,让触电者胸廓自动恢复,血又充满心脏,每次放松时掌根不必完全离开胸部。</w:t>
      </w:r>
    </w:p>
    <w:p w14:paraId="74662438">
      <w:pPr>
        <w:ind w:firstLine="560"/>
      </w:pPr>
      <w:r>
        <w:rPr>
          <w:rFonts w:hint="eastAsia"/>
        </w:rPr>
        <w:t>4.应急物资:常用药品(绷带无菌敷料)及各种常用小夹板担架止血带氧气带等。</w:t>
      </w:r>
    </w:p>
    <w:p w14:paraId="00BDB22C">
      <w:pPr>
        <w:pStyle w:val="4"/>
        <w:spacing w:before="93" w:after="31"/>
      </w:pPr>
      <w:bookmarkStart w:id="1496" w:name="_Toc24714"/>
      <w:bookmarkStart w:id="1497" w:name="_Toc21491"/>
      <w:bookmarkStart w:id="1498" w:name="_Toc8792"/>
      <w:bookmarkStart w:id="1499" w:name="_Toc13031"/>
      <w:bookmarkStart w:id="1500" w:name="_Toc12865"/>
      <w:bookmarkStart w:id="1501" w:name="_Toc13325"/>
      <w:bookmarkStart w:id="1502" w:name="_Toc29070"/>
      <w:bookmarkStart w:id="1503" w:name="_Toc9850"/>
      <w:bookmarkStart w:id="1504" w:name="_Toc9145"/>
      <w:bookmarkStart w:id="1505" w:name="_Toc2495"/>
      <w:bookmarkStart w:id="1506" w:name="_Toc20547"/>
      <w:bookmarkStart w:id="1507" w:name="_Toc7536"/>
      <w:bookmarkStart w:id="1508" w:name="_Toc30247"/>
      <w:bookmarkStart w:id="1509" w:name="_Toc11856"/>
      <w:bookmarkStart w:id="1510" w:name="_Toc1363"/>
      <w:bookmarkStart w:id="1511" w:name="_Toc30980"/>
      <w:bookmarkStart w:id="1512" w:name="_Toc29118"/>
      <w:bookmarkStart w:id="1513" w:name="_Toc11565"/>
      <w:bookmarkStart w:id="1514" w:name="_Toc18419"/>
      <w:bookmarkStart w:id="1515" w:name="_Toc28018"/>
      <w:bookmarkStart w:id="1516" w:name="_Toc5464"/>
      <w:bookmarkStart w:id="1517" w:name="_Toc27985"/>
      <w:bookmarkStart w:id="1518" w:name="_Toc6789"/>
      <w:bookmarkStart w:id="1519" w:name="_Toc31933"/>
      <w:bookmarkStart w:id="1520" w:name="_Toc13471"/>
      <w:bookmarkStart w:id="1521" w:name="_Toc9742"/>
      <w:bookmarkStart w:id="1522" w:name="_Toc16933"/>
      <w:bookmarkStart w:id="1523" w:name="_Toc14492"/>
      <w:bookmarkStart w:id="1524" w:name="_Toc13853"/>
      <w:bookmarkStart w:id="1525" w:name="_Toc6122"/>
      <w:bookmarkStart w:id="1526" w:name="_Toc6549"/>
      <w:bookmarkStart w:id="1527" w:name="_Toc30863"/>
      <w:bookmarkStart w:id="1528" w:name="_Toc13157"/>
      <w:bookmarkStart w:id="1529" w:name="_Toc14575"/>
      <w:bookmarkStart w:id="1530" w:name="_Toc8288"/>
      <w:bookmarkStart w:id="1531" w:name="_Toc8076"/>
      <w:bookmarkStart w:id="1532" w:name="_Toc9376"/>
      <w:bookmarkStart w:id="1533" w:name="_Toc5933"/>
      <w:bookmarkStart w:id="1534" w:name="_Toc8783"/>
      <w:bookmarkStart w:id="1535" w:name="_Toc30275"/>
      <w:bookmarkStart w:id="1536" w:name="_Toc13291"/>
      <w:bookmarkStart w:id="1537" w:name="_Toc7243"/>
      <w:bookmarkStart w:id="1538" w:name="_Toc3409"/>
      <w:bookmarkStart w:id="1539" w:name="_Toc11735"/>
      <w:bookmarkStart w:id="1540" w:name="_Toc5157"/>
      <w:bookmarkStart w:id="1541" w:name="_Toc19998"/>
      <w:bookmarkStart w:id="1542" w:name="_Toc1866"/>
      <w:bookmarkStart w:id="1543" w:name="_Toc23497"/>
      <w:bookmarkStart w:id="1544" w:name="_Toc16759"/>
      <w:bookmarkStart w:id="1545" w:name="_Toc28247"/>
      <w:bookmarkStart w:id="1546" w:name="_Toc3479"/>
      <w:bookmarkStart w:id="1547" w:name="_Toc182"/>
      <w:bookmarkStart w:id="1548" w:name="_Toc17355"/>
      <w:bookmarkStart w:id="1549" w:name="_Toc17130"/>
      <w:bookmarkStart w:id="1550" w:name="_Toc6132"/>
      <w:bookmarkStart w:id="1551" w:name="_Toc1547"/>
      <w:bookmarkStart w:id="1552" w:name="_Toc20933"/>
      <w:bookmarkStart w:id="1553" w:name="_Toc13346"/>
      <w:bookmarkStart w:id="1554" w:name="_Toc25163"/>
      <w:bookmarkStart w:id="1555" w:name="_Toc7506"/>
      <w:bookmarkStart w:id="1556" w:name="_Toc24364"/>
      <w:bookmarkStart w:id="1557" w:name="_Toc12246"/>
      <w:bookmarkStart w:id="1558" w:name="_Toc19623"/>
      <w:r>
        <w:rPr>
          <w:rFonts w:hint="eastAsia"/>
        </w:rPr>
        <w:t>五、施工机械安全防护措施</w:t>
      </w:r>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p>
    <w:p w14:paraId="415D0082">
      <w:pPr>
        <w:pStyle w:val="5"/>
        <w:spacing w:before="31" w:after="31"/>
        <w:ind w:firstLine="562"/>
      </w:pPr>
      <w:bookmarkStart w:id="1559" w:name="_Toc22155"/>
      <w:bookmarkStart w:id="1560" w:name="_Toc411"/>
      <w:bookmarkStart w:id="1561" w:name="_Toc1092"/>
      <w:bookmarkStart w:id="1562" w:name="_Toc26208"/>
      <w:bookmarkStart w:id="1563" w:name="_Toc30320"/>
      <w:bookmarkStart w:id="1564" w:name="_Toc20471"/>
      <w:bookmarkStart w:id="1565" w:name="_Toc7463"/>
      <w:bookmarkStart w:id="1566" w:name="_Toc29785"/>
      <w:bookmarkStart w:id="1567" w:name="_Toc7278"/>
      <w:bookmarkStart w:id="1568" w:name="_Toc3670"/>
      <w:bookmarkStart w:id="1569" w:name="_Toc4007"/>
      <w:bookmarkStart w:id="1570" w:name="_Toc20071"/>
      <w:bookmarkStart w:id="1571" w:name="_Toc2412"/>
      <w:bookmarkStart w:id="1572" w:name="_Toc2390"/>
      <w:bookmarkStart w:id="1573" w:name="_Toc4748"/>
      <w:bookmarkStart w:id="1574" w:name="_Toc28942"/>
      <w:bookmarkStart w:id="1575" w:name="_Toc29548"/>
      <w:bookmarkStart w:id="1576" w:name="_Toc24232"/>
      <w:bookmarkStart w:id="1577" w:name="_Toc10741"/>
      <w:bookmarkStart w:id="1578" w:name="_Toc5047"/>
      <w:bookmarkStart w:id="1579" w:name="_Toc7669"/>
      <w:bookmarkStart w:id="1580" w:name="_Toc24247"/>
      <w:bookmarkStart w:id="1581" w:name="_Toc7991"/>
      <w:bookmarkStart w:id="1582" w:name="_Toc25377"/>
      <w:bookmarkStart w:id="1583" w:name="_Toc25727"/>
      <w:bookmarkStart w:id="1584" w:name="_Toc15597"/>
      <w:bookmarkStart w:id="1585" w:name="_Toc6118"/>
      <w:bookmarkStart w:id="1586" w:name="_Toc31842"/>
      <w:bookmarkStart w:id="1587" w:name="_Toc4199"/>
      <w:bookmarkStart w:id="1588" w:name="_Toc26706"/>
      <w:bookmarkStart w:id="1589" w:name="_Toc21932"/>
      <w:bookmarkStart w:id="1590" w:name="_Toc31514"/>
      <w:bookmarkStart w:id="1591" w:name="_Toc14132"/>
      <w:bookmarkStart w:id="1592" w:name="_Toc4516"/>
      <w:bookmarkStart w:id="1593" w:name="_Toc8437"/>
      <w:bookmarkStart w:id="1594" w:name="_Toc28442"/>
      <w:bookmarkStart w:id="1595" w:name="_Toc31802"/>
      <w:bookmarkStart w:id="1596" w:name="_Toc2984"/>
      <w:bookmarkStart w:id="1597" w:name="_Toc26480"/>
      <w:bookmarkStart w:id="1598" w:name="_Toc296"/>
      <w:bookmarkStart w:id="1599" w:name="_Toc24509"/>
      <w:bookmarkStart w:id="1600" w:name="_Toc1284"/>
      <w:bookmarkStart w:id="1601" w:name="_Toc11475"/>
      <w:bookmarkStart w:id="1602" w:name="_Toc18426"/>
      <w:bookmarkStart w:id="1603" w:name="_Toc27771"/>
      <w:bookmarkStart w:id="1604" w:name="_Toc26760"/>
      <w:bookmarkStart w:id="1605" w:name="_Toc7099"/>
      <w:bookmarkStart w:id="1606" w:name="_Toc1623"/>
      <w:bookmarkStart w:id="1607" w:name="_Toc27984"/>
      <w:bookmarkStart w:id="1608" w:name="_Toc25090"/>
      <w:bookmarkStart w:id="1609" w:name="_Toc10585"/>
      <w:bookmarkStart w:id="1610" w:name="_Toc13035"/>
      <w:bookmarkStart w:id="1611" w:name="_Toc10829"/>
      <w:bookmarkStart w:id="1612" w:name="_Toc18610"/>
      <w:bookmarkStart w:id="1613" w:name="_Toc14500"/>
      <w:bookmarkStart w:id="1614" w:name="_Toc14284"/>
      <w:bookmarkStart w:id="1615" w:name="_Toc29054"/>
      <w:bookmarkStart w:id="1616" w:name="_Toc26218"/>
      <w:r>
        <w:rPr>
          <w:rFonts w:hint="eastAsia"/>
        </w:rPr>
        <w:t>（一）基本安全要求</w:t>
      </w:r>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p>
    <w:p w14:paraId="61694784">
      <w:pPr>
        <w:ind w:firstLine="560"/>
      </w:pPr>
      <w:r>
        <w:rPr>
          <w:rFonts w:hint="eastAsia"/>
        </w:rPr>
        <w:t>1、各种机械设备的操作人员必须经过相应部门组织的安全技术操作规程培训，考试合格后，持有效证件上岗。</w:t>
      </w:r>
    </w:p>
    <w:p w14:paraId="26BAE683">
      <w:pPr>
        <w:ind w:firstLine="560"/>
      </w:pPr>
      <w:r>
        <w:rPr>
          <w:rFonts w:hint="eastAsia"/>
        </w:rPr>
        <w:t>2、机械操作手上岗前，要进行身体健康状况检查，有禁忌病症的人员，不准从事机械操作工作。</w:t>
      </w:r>
    </w:p>
    <w:p w14:paraId="4FCDF755">
      <w:pPr>
        <w:ind w:firstLine="560"/>
      </w:pPr>
      <w:r>
        <w:rPr>
          <w:rFonts w:hint="eastAsia"/>
        </w:rPr>
        <w:t>3、机械操作人员工作前，应对所使用的机械设备进行安全检查，严禁带病使用，严禁酒后作业。</w:t>
      </w:r>
    </w:p>
    <w:p w14:paraId="758B1757">
      <w:pPr>
        <w:ind w:firstLine="560"/>
      </w:pPr>
      <w:r>
        <w:rPr>
          <w:rFonts w:hint="eastAsia"/>
        </w:rPr>
        <w:t>4、机械操作人员只要离开机械设备，必须按规定将机械平稳停放于安全位置，并将驾驶室锁好，或把电器设备的控制箱拉闸上锁。</w:t>
      </w:r>
    </w:p>
    <w:p w14:paraId="0C4E235E">
      <w:pPr>
        <w:ind w:firstLine="560"/>
      </w:pPr>
      <w:r>
        <w:rPr>
          <w:rFonts w:hint="eastAsia"/>
        </w:rPr>
        <w:t>5、严禁在行走机械的前后方休息（包括乘凉、午睡），行走前应检查周围情况，确认无障碍时鸣笛操作。</w:t>
      </w:r>
    </w:p>
    <w:p w14:paraId="20C30124">
      <w:pPr>
        <w:pStyle w:val="5"/>
        <w:spacing w:before="31" w:after="31"/>
        <w:ind w:firstLine="562"/>
      </w:pPr>
      <w:bookmarkStart w:id="1617" w:name="_Toc23718"/>
      <w:bookmarkStart w:id="1618" w:name="_Toc11780"/>
      <w:bookmarkStart w:id="1619" w:name="_Toc3729"/>
      <w:bookmarkStart w:id="1620" w:name="_Toc10668"/>
      <w:bookmarkStart w:id="1621" w:name="_Toc31333"/>
      <w:bookmarkStart w:id="1622" w:name="_Toc4735"/>
      <w:bookmarkStart w:id="1623" w:name="_Toc12543"/>
      <w:bookmarkStart w:id="1624" w:name="_Toc15690"/>
      <w:bookmarkStart w:id="1625" w:name="_Toc14926"/>
      <w:bookmarkStart w:id="1626" w:name="_Toc29677"/>
      <w:bookmarkStart w:id="1627" w:name="_Toc8849"/>
      <w:bookmarkStart w:id="1628" w:name="_Toc25326"/>
      <w:bookmarkStart w:id="1629" w:name="_Toc26450"/>
      <w:bookmarkStart w:id="1630" w:name="_Toc977"/>
      <w:bookmarkStart w:id="1631" w:name="_Toc2690"/>
      <w:bookmarkStart w:id="1632" w:name="_Toc7094"/>
      <w:bookmarkStart w:id="1633" w:name="_Toc8133"/>
      <w:bookmarkStart w:id="1634" w:name="_Toc29413"/>
      <w:bookmarkStart w:id="1635" w:name="_Toc120"/>
      <w:bookmarkStart w:id="1636" w:name="_Toc28068"/>
      <w:bookmarkStart w:id="1637" w:name="_Toc19404"/>
      <w:bookmarkStart w:id="1638" w:name="_Toc7048"/>
      <w:bookmarkStart w:id="1639" w:name="_Toc26660"/>
      <w:bookmarkStart w:id="1640" w:name="_Toc7566"/>
      <w:bookmarkStart w:id="1641" w:name="_Toc17462"/>
      <w:bookmarkStart w:id="1642" w:name="_Toc20552"/>
      <w:bookmarkStart w:id="1643" w:name="_Toc5098"/>
      <w:bookmarkStart w:id="1644" w:name="_Toc567"/>
      <w:bookmarkStart w:id="1645" w:name="_Toc1415"/>
      <w:bookmarkStart w:id="1646" w:name="_Toc18603"/>
      <w:bookmarkStart w:id="1647" w:name="_Toc32620"/>
      <w:bookmarkStart w:id="1648" w:name="_Toc32380"/>
      <w:bookmarkStart w:id="1649" w:name="_Toc9179"/>
      <w:bookmarkStart w:id="1650" w:name="_Toc4353"/>
      <w:bookmarkStart w:id="1651" w:name="_Toc30969"/>
      <w:bookmarkStart w:id="1652" w:name="_Toc4112"/>
      <w:bookmarkStart w:id="1653" w:name="_Toc31511"/>
      <w:bookmarkStart w:id="1654" w:name="_Toc3599"/>
      <w:bookmarkStart w:id="1655" w:name="_Toc26326"/>
      <w:bookmarkStart w:id="1656" w:name="_Toc12197"/>
      <w:bookmarkStart w:id="1657" w:name="_Toc17104"/>
      <w:bookmarkStart w:id="1658" w:name="_Toc21482"/>
      <w:bookmarkStart w:id="1659" w:name="_Toc2670"/>
      <w:bookmarkStart w:id="1660" w:name="_Toc6460"/>
      <w:bookmarkStart w:id="1661" w:name="_Toc25688"/>
      <w:bookmarkStart w:id="1662" w:name="_Toc1392"/>
      <w:bookmarkStart w:id="1663" w:name="_Toc5775"/>
      <w:bookmarkStart w:id="1664" w:name="_Toc30944"/>
      <w:bookmarkStart w:id="1665" w:name="_Toc3377"/>
      <w:bookmarkStart w:id="1666" w:name="_Toc28475"/>
      <w:bookmarkStart w:id="1667" w:name="_Toc20333"/>
      <w:bookmarkStart w:id="1668" w:name="_Toc13798"/>
      <w:bookmarkStart w:id="1669" w:name="_Toc31305"/>
      <w:bookmarkStart w:id="1670" w:name="_Toc23191"/>
      <w:bookmarkStart w:id="1671" w:name="_Toc8597"/>
      <w:bookmarkStart w:id="1672" w:name="_Toc32700"/>
      <w:bookmarkStart w:id="1673" w:name="_Toc28838"/>
      <w:bookmarkStart w:id="1674" w:name="_Toc20139"/>
      <w:bookmarkStart w:id="1675" w:name="_Toc5198"/>
      <w:bookmarkStart w:id="1676" w:name="_Toc21193"/>
      <w:r>
        <w:rPr>
          <w:rFonts w:hint="eastAsia"/>
        </w:rPr>
        <w:t>（二）土方机械施工安全</w:t>
      </w:r>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p>
    <w:p w14:paraId="75B839BD">
      <w:pPr>
        <w:ind w:firstLine="560"/>
      </w:pPr>
      <w:r>
        <w:rPr>
          <w:rFonts w:hint="eastAsia"/>
        </w:rPr>
        <w:t>1、挖掘机作业</w:t>
      </w:r>
    </w:p>
    <w:p w14:paraId="4A89D2A6">
      <w:pPr>
        <w:ind w:firstLine="560"/>
      </w:pPr>
      <w:r>
        <w:rPr>
          <w:rFonts w:hint="eastAsia"/>
        </w:rPr>
        <w:t>作业时，应保持水平位置，行走机械予以制动；铲斗工作没结束时，不准旋转大臂和走车。进行装车作业时，铲斗应尽量接近车箱，但不得碰撞汽车的任何部位；汽车未停稳，司机未离开驾驶室时，不准装车；铲车装车升降时不能过猛。挖掘司机离开驾驶室时铲斗应停放落在地面上。挖掘机禁止用来起吊重物。在有地下管线的区域作业时，必须先用人工将地下管线探明并采取保护措施后，方准使用机械。</w:t>
      </w:r>
    </w:p>
    <w:p w14:paraId="6E9B84D1">
      <w:pPr>
        <w:ind w:firstLine="560"/>
      </w:pPr>
      <w:r>
        <w:rPr>
          <w:rFonts w:hint="eastAsia"/>
        </w:rPr>
        <w:t>2、推土机作业安全</w:t>
      </w:r>
    </w:p>
    <w:p w14:paraId="44E7A948">
      <w:pPr>
        <w:ind w:firstLine="560"/>
      </w:pPr>
      <w:r>
        <w:rPr>
          <w:rFonts w:hint="eastAsia"/>
        </w:rPr>
        <w:t>在斜坡上推土时，应先推土填平工作场地；坡道行驶时，要低档前进，并不得换档，也不准空档滑行；横向行驶坡度不得超过10°。沟槽边沿作业时，刀片不能超出沟槽边沿，并且要有专人指挥。在电杆附近推土时，电杆周围应保留一定的土堆，保证电杆的稳定。两台以上推土机在同一现场作业时，前后距离不得小于8m，左右距离不得小于1.5m。工作结束时，应将机械停放在平坦的安全的地方，放下刀片，锁好门窗。</w:t>
      </w:r>
    </w:p>
    <w:p w14:paraId="05C26444">
      <w:pPr>
        <w:ind w:firstLine="560"/>
      </w:pPr>
      <w:r>
        <w:rPr>
          <w:rFonts w:hint="eastAsia"/>
        </w:rPr>
        <w:t>3、压路机作业安全</w:t>
      </w:r>
    </w:p>
    <w:p w14:paraId="7A8FADDE">
      <w:pPr>
        <w:ind w:firstLine="560"/>
      </w:pPr>
      <w:r>
        <w:rPr>
          <w:rFonts w:hint="eastAsia"/>
        </w:rPr>
        <w:t>作业中，需要人工清除碾子上的粘物时，清理人员要站在两旁，禁止正面跟进；压路机工作时速不得大天5km/h。两台以上压路机在同一施工场地作业时，前后间距不得小于5m，左右不得小于1.5m。坡道上不得纵队行驶。作业中不得对其进行擦试维修。作业后应将压路机停放在平坦坚实的地方，不得停放在土路边缘及斜坡上或妨碍交通的地方。</w:t>
      </w:r>
    </w:p>
    <w:p w14:paraId="3BF70604">
      <w:pPr>
        <w:ind w:firstLine="560"/>
      </w:pPr>
      <w:r>
        <w:rPr>
          <w:rFonts w:hint="eastAsia"/>
        </w:rPr>
        <w:t>4、平地机作业安全</w:t>
      </w:r>
    </w:p>
    <w:p w14:paraId="777E565D">
      <w:pPr>
        <w:ind w:firstLine="560"/>
      </w:pPr>
      <w:r>
        <w:rPr>
          <w:rFonts w:hint="eastAsia"/>
        </w:rPr>
        <w:t>平地机行驶的前方不得有坚实障碍物和人员行走或站立。转弯或调头时应用最低速度，下坡时不得用空档滑行；行驶时必须将刮刀片升到最高位置，并将其斜放，两端不得超出后轮外侧。作业后应停放平坦安全的地方，并拉上制动器。</w:t>
      </w:r>
    </w:p>
    <w:p w14:paraId="26258659">
      <w:pPr>
        <w:ind w:firstLine="560"/>
      </w:pPr>
      <w:r>
        <w:rPr>
          <w:rFonts w:hint="eastAsia"/>
        </w:rPr>
        <w:t>5、装载、铲运机作业安全</w:t>
      </w:r>
    </w:p>
    <w:p w14:paraId="2355E2BC">
      <w:pPr>
        <w:ind w:firstLine="560"/>
      </w:pPr>
      <w:r>
        <w:rPr>
          <w:rFonts w:hint="eastAsia"/>
        </w:rPr>
        <w:t>作业时禁止任何人上下机械或传递物件，行驶时应用低速档，并不得进行铲斗升降和翻转动作，严禁用铲斗载人。两台以上机械在同一场地作业时，应保持小于5m的作业距离。上下坡道时应低速行驶，中途不得换档，行驶坡度不得大于6°。在坡道上不得进行维修保养作业，不得进行转弯、倒车和停车，车在坡上熄火时，应将铲斗落地，制动牢靠后，再起动行走。</w:t>
      </w:r>
    </w:p>
    <w:p w14:paraId="2C2BA34C">
      <w:pPr>
        <w:pStyle w:val="5"/>
        <w:spacing w:before="31" w:after="31"/>
        <w:ind w:firstLine="562"/>
      </w:pPr>
      <w:bookmarkStart w:id="1677" w:name="_Toc1786"/>
      <w:bookmarkStart w:id="1678" w:name="_Toc9681"/>
      <w:bookmarkStart w:id="1679" w:name="_Toc26106"/>
      <w:bookmarkStart w:id="1680" w:name="_Toc19366"/>
      <w:bookmarkStart w:id="1681" w:name="_Toc28012"/>
      <w:bookmarkStart w:id="1682" w:name="_Toc12841"/>
      <w:bookmarkStart w:id="1683" w:name="_Toc23475"/>
      <w:bookmarkStart w:id="1684" w:name="_Toc30171"/>
      <w:bookmarkStart w:id="1685" w:name="_Toc30153"/>
      <w:bookmarkStart w:id="1686" w:name="_Toc21378"/>
      <w:bookmarkStart w:id="1687" w:name="_Toc29676"/>
      <w:bookmarkStart w:id="1688" w:name="_Toc18435"/>
      <w:bookmarkStart w:id="1689" w:name="_Toc16388"/>
      <w:bookmarkStart w:id="1690" w:name="_Toc13329"/>
      <w:bookmarkStart w:id="1691" w:name="_Toc25858"/>
      <w:bookmarkStart w:id="1692" w:name="_Toc13127"/>
      <w:bookmarkStart w:id="1693" w:name="_Toc743"/>
      <w:bookmarkStart w:id="1694" w:name="_Toc2328"/>
      <w:bookmarkStart w:id="1695" w:name="_Toc1172"/>
      <w:bookmarkStart w:id="1696" w:name="_Toc16363"/>
      <w:bookmarkStart w:id="1697" w:name="_Toc6621"/>
      <w:bookmarkStart w:id="1698" w:name="_Toc12249"/>
      <w:bookmarkStart w:id="1699" w:name="_Toc29649"/>
      <w:bookmarkStart w:id="1700" w:name="_Toc6244"/>
      <w:bookmarkStart w:id="1701" w:name="_Toc22997"/>
      <w:bookmarkStart w:id="1702" w:name="_Toc22411"/>
      <w:bookmarkStart w:id="1703" w:name="_Toc19866"/>
      <w:bookmarkStart w:id="1704" w:name="_Toc20466"/>
      <w:bookmarkStart w:id="1705" w:name="_Toc14451"/>
      <w:bookmarkStart w:id="1706" w:name="_Toc16641"/>
      <w:bookmarkStart w:id="1707" w:name="_Toc29222"/>
      <w:bookmarkStart w:id="1708" w:name="_Toc32766"/>
      <w:bookmarkStart w:id="1709" w:name="_Toc11459"/>
      <w:bookmarkStart w:id="1710" w:name="_Toc28515"/>
      <w:bookmarkStart w:id="1711" w:name="_Toc24368"/>
      <w:bookmarkStart w:id="1712" w:name="_Toc2058"/>
      <w:bookmarkStart w:id="1713" w:name="_Toc7697"/>
      <w:bookmarkStart w:id="1714" w:name="_Toc31600"/>
      <w:bookmarkStart w:id="1715" w:name="_Toc20526"/>
      <w:bookmarkStart w:id="1716" w:name="_Toc11333"/>
      <w:bookmarkStart w:id="1717" w:name="_Toc16292"/>
      <w:bookmarkStart w:id="1718" w:name="_Toc28139"/>
      <w:bookmarkStart w:id="1719" w:name="_Toc19098"/>
      <w:bookmarkStart w:id="1720" w:name="_Toc6099"/>
      <w:bookmarkStart w:id="1721" w:name="_Toc32741"/>
      <w:bookmarkStart w:id="1722" w:name="_Toc16214"/>
      <w:bookmarkStart w:id="1723" w:name="_Toc25935"/>
      <w:bookmarkStart w:id="1724" w:name="_Toc12530"/>
      <w:bookmarkStart w:id="1725" w:name="_Toc22000"/>
      <w:bookmarkStart w:id="1726" w:name="_Toc12447"/>
      <w:bookmarkStart w:id="1727" w:name="_Toc13497"/>
      <w:bookmarkStart w:id="1728" w:name="_Toc9202"/>
      <w:bookmarkStart w:id="1729" w:name="_Toc13503"/>
      <w:bookmarkStart w:id="1730" w:name="_Toc26734"/>
      <w:bookmarkStart w:id="1731" w:name="_Toc6054"/>
      <w:bookmarkStart w:id="1732" w:name="_Toc18819"/>
      <w:bookmarkStart w:id="1733" w:name="_Toc21961"/>
      <w:bookmarkStart w:id="1734" w:name="_Toc14626"/>
      <w:bookmarkStart w:id="1735" w:name="_Toc12688"/>
      <w:bookmarkStart w:id="1736" w:name="_Toc20099"/>
      <w:bookmarkStart w:id="1737" w:name="_Toc2641"/>
      <w:r>
        <w:rPr>
          <w:rFonts w:hint="eastAsia"/>
        </w:rPr>
        <w:t>（三）吊装机械施工安全</w:t>
      </w:r>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p>
    <w:p w14:paraId="3711C246">
      <w:pPr>
        <w:ind w:firstLine="560"/>
      </w:pPr>
      <w:r>
        <w:rPr>
          <w:rFonts w:hint="eastAsia"/>
        </w:rPr>
        <w:t>起重机作业时，工作场地应平整、坚实，并有排水措施；起重回转半径范围内不得有障碍物（吊装作业与输电线路的最小距离。夜间作业要有充足的照明设备。</w:t>
      </w:r>
    </w:p>
    <w:p w14:paraId="7E2D40B8">
      <w:pPr>
        <w:ind w:firstLine="560"/>
      </w:pPr>
      <w:r>
        <w:rPr>
          <w:rFonts w:hint="eastAsia"/>
        </w:rPr>
        <w:t>起重机操作人员和信号指挥人员必须密切配合，指挥人员必须熟悉所指挥的起重机械的性能及被吊物的实际重；操作人员必须执行指挥人员的信号指挥。</w:t>
      </w:r>
    </w:p>
    <w:p w14:paraId="52933988">
      <w:pPr>
        <w:ind w:firstLine="560"/>
      </w:pPr>
      <w:r>
        <w:rPr>
          <w:rFonts w:hint="eastAsia"/>
        </w:rPr>
        <w:t>起重机械的变幅指示器、力矩限制器、行程限位开关等安全保护装置，必须齐全完备、灵敏可靠，不得随意调整和拆除，严禁用限位装置代替操纵机构进行操作。</w:t>
      </w:r>
    </w:p>
    <w:p w14:paraId="3E581D1D">
      <w:pPr>
        <w:ind w:firstLine="560"/>
      </w:pPr>
      <w:r>
        <w:rPr>
          <w:rFonts w:hint="eastAsia"/>
        </w:rPr>
        <w:t>起重作业时，重物下方不得有人员停留或通过；无论何种情况，严禁用起重机设备吊运人员。严禁斜拉、斜吊或起吊埋设地下和凝固在地面上的重物，现场浇筑的混凝土构件，必须全部松动脱离模板后才能进行起吊。起吊构件，吊挂时应平稳，应用卡环不得用挂钩。吊挂位置点要选在适当处或在标明的位置上，钢丝绳与被吊物的夹角应大于45°。</w:t>
      </w:r>
    </w:p>
    <w:p w14:paraId="16BAA07A">
      <w:pPr>
        <w:ind w:firstLine="560"/>
      </w:pPr>
      <w:r>
        <w:rPr>
          <w:rFonts w:hint="eastAsia"/>
        </w:rPr>
        <w:t>使用的钢丝绳必须有制造厂的质量合格证，钢丝绳的规格、直径、强度必须符合该型起重机的要求；卷筒上的钢丝绳应连接牢固，排列整齐，放出钢丝绳时，卷筒上必须保留三圈以上。钢丝绳不得打环、打结、弯折和有接头。</w:t>
      </w:r>
    </w:p>
    <w:p w14:paraId="1A4816D0">
      <w:pPr>
        <w:pStyle w:val="5"/>
        <w:spacing w:before="31" w:after="31"/>
        <w:ind w:firstLine="562"/>
      </w:pPr>
      <w:bookmarkStart w:id="1738" w:name="_Toc9064"/>
      <w:bookmarkStart w:id="1739" w:name="_Toc10750"/>
      <w:bookmarkStart w:id="1740" w:name="_Toc24389"/>
      <w:bookmarkStart w:id="1741" w:name="_Toc28705"/>
      <w:bookmarkStart w:id="1742" w:name="_Toc2845"/>
      <w:bookmarkStart w:id="1743" w:name="_Toc18853"/>
      <w:bookmarkStart w:id="1744" w:name="_Toc6446"/>
      <w:bookmarkStart w:id="1745" w:name="_Toc13085"/>
      <w:bookmarkStart w:id="1746" w:name="_Toc3665"/>
      <w:bookmarkStart w:id="1747" w:name="_Toc16645"/>
      <w:bookmarkStart w:id="1748" w:name="_Toc9791"/>
      <w:bookmarkStart w:id="1749" w:name="_Toc16056"/>
      <w:bookmarkStart w:id="1750" w:name="_Toc27784"/>
      <w:bookmarkStart w:id="1751" w:name="_Toc26424"/>
      <w:bookmarkStart w:id="1752" w:name="_Toc27412"/>
      <w:bookmarkStart w:id="1753" w:name="_Toc32471"/>
      <w:bookmarkStart w:id="1754" w:name="_Toc5738"/>
      <w:bookmarkStart w:id="1755" w:name="_Toc30591"/>
      <w:bookmarkStart w:id="1756" w:name="_Toc27751"/>
      <w:bookmarkStart w:id="1757" w:name="_Toc22810"/>
      <w:bookmarkStart w:id="1758" w:name="_Toc29450"/>
      <w:bookmarkStart w:id="1759" w:name="_Toc25389"/>
      <w:bookmarkStart w:id="1760" w:name="_Toc31659"/>
      <w:bookmarkStart w:id="1761" w:name="_Toc5768"/>
      <w:bookmarkStart w:id="1762" w:name="_Toc27140"/>
      <w:bookmarkStart w:id="1763" w:name="_Toc5391"/>
      <w:bookmarkStart w:id="1764" w:name="_Toc3366"/>
      <w:bookmarkStart w:id="1765" w:name="_Toc30990"/>
      <w:bookmarkStart w:id="1766" w:name="_Toc11405"/>
      <w:bookmarkStart w:id="1767" w:name="_Toc26013"/>
      <w:bookmarkStart w:id="1768" w:name="_Toc13425"/>
      <w:bookmarkStart w:id="1769" w:name="_Toc6819"/>
      <w:bookmarkStart w:id="1770" w:name="_Toc20781"/>
      <w:bookmarkStart w:id="1771" w:name="_Toc15998"/>
      <w:bookmarkStart w:id="1772" w:name="_Toc13953"/>
      <w:bookmarkStart w:id="1773" w:name="_Toc15347"/>
      <w:bookmarkStart w:id="1774" w:name="_Toc19311"/>
      <w:bookmarkStart w:id="1775" w:name="_Toc9445"/>
      <w:bookmarkStart w:id="1776" w:name="_Toc2981"/>
      <w:bookmarkStart w:id="1777" w:name="_Toc11309"/>
      <w:bookmarkStart w:id="1778" w:name="_Toc715"/>
      <w:bookmarkStart w:id="1779" w:name="_Toc18518"/>
      <w:bookmarkStart w:id="1780" w:name="_Toc14700"/>
      <w:bookmarkStart w:id="1781" w:name="_Toc19519"/>
      <w:bookmarkStart w:id="1782" w:name="_Toc11514"/>
      <w:bookmarkStart w:id="1783" w:name="_Toc16164"/>
      <w:bookmarkStart w:id="1784" w:name="_Toc24361"/>
      <w:bookmarkStart w:id="1785" w:name="_Toc19205"/>
      <w:bookmarkStart w:id="1786" w:name="_Toc24459"/>
      <w:bookmarkStart w:id="1787" w:name="_Toc23614"/>
      <w:bookmarkStart w:id="1788" w:name="_Toc31997"/>
      <w:bookmarkStart w:id="1789" w:name="_Toc18929"/>
      <w:bookmarkStart w:id="1790" w:name="_Toc31973"/>
      <w:bookmarkStart w:id="1791" w:name="_Toc2772"/>
      <w:bookmarkStart w:id="1792" w:name="_Toc4103"/>
      <w:bookmarkStart w:id="1793" w:name="_Toc15408"/>
      <w:bookmarkStart w:id="1794" w:name="_Toc2187"/>
      <w:bookmarkStart w:id="1795" w:name="_Toc16658"/>
      <w:bookmarkStart w:id="1796" w:name="_Toc25026"/>
      <w:bookmarkStart w:id="1797" w:name="_Toc1013"/>
      <w:bookmarkStart w:id="1798" w:name="_Toc11198"/>
      <w:bookmarkStart w:id="1799" w:name="_Toc10150"/>
      <w:bookmarkStart w:id="1800" w:name="_Toc14032"/>
      <w:r>
        <w:rPr>
          <w:rFonts w:hint="eastAsia"/>
        </w:rPr>
        <w:t>（四）加工预制场站的设备安全防护</w:t>
      </w:r>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p>
    <w:p w14:paraId="7CF22AB1">
      <w:pPr>
        <w:ind w:firstLine="560"/>
      </w:pPr>
      <w:r>
        <w:rPr>
          <w:rFonts w:hint="eastAsia"/>
        </w:rPr>
        <w:t>设备安装必须按照施工平面图和设备使用说明书进行。安装工作要有组织、有计划，防止发生意外事故。设备安装完毕，必须进行综合度运转。试运转时，要有厂方代理人、工程技术人员、安装人员、操作使用人员联合参加，并办理验收手续，方准正式投入使用。</w:t>
      </w:r>
    </w:p>
    <w:p w14:paraId="09DBDF8F">
      <w:pPr>
        <w:ind w:firstLine="560"/>
      </w:pPr>
      <w:r>
        <w:rPr>
          <w:rFonts w:hint="eastAsia"/>
        </w:rPr>
        <w:t>每个操作间应悬挂安全操作规程，操作人员必须严格按程序操作。每天工作前，操作人员要全面检查传动润滑、紧固、安全阀等安全装置，确认完好时方能上岗作业。</w:t>
      </w:r>
    </w:p>
    <w:p w14:paraId="74D33B6F">
      <w:pPr>
        <w:ind w:firstLine="560"/>
      </w:pPr>
      <w:r>
        <w:rPr>
          <w:rFonts w:hint="eastAsia"/>
        </w:rPr>
        <w:t>巡查和辅助人员工作必须穿戴合格的劳保用品，人体和工具严禁进入传动部位，如齿轮、皮带机、搅拌机、吸风口等。</w:t>
      </w:r>
    </w:p>
    <w:p w14:paraId="39CB4A15">
      <w:pPr>
        <w:ind w:firstLine="560"/>
      </w:pPr>
      <w:r>
        <w:rPr>
          <w:rFonts w:hint="eastAsia"/>
        </w:rPr>
        <w:t>作业中如发现故障需要检修时，必须切断电源，开关加锁，在有人监护的情况下进行；严禁边运转边检修，以免造成人身伤害。</w:t>
      </w:r>
    </w:p>
    <w:p w14:paraId="12780757">
      <w:pPr>
        <w:ind w:firstLine="560"/>
      </w:pPr>
      <w:r>
        <w:rPr>
          <w:rFonts w:hint="eastAsia"/>
        </w:rPr>
        <w:t>道路出口、易燃易爆物品、重要安全装置处要悬挂安全警告标志和完好消防器材。</w:t>
      </w:r>
    </w:p>
    <w:p w14:paraId="2DEAF870">
      <w:pPr>
        <w:ind w:firstLine="560"/>
      </w:pPr>
      <w:r>
        <w:rPr>
          <w:rFonts w:hint="eastAsia"/>
        </w:rPr>
        <w:t>大型混凝土构件模板拆除后，应立即采取防倾覆支撑措施，两侧每隔6～10m有一处可靠支撑。张拉梁板时，端头应有防护措施，作业人员应站在侧面监护仪表。</w:t>
      </w:r>
    </w:p>
    <w:p w14:paraId="179CB2E9">
      <w:pPr>
        <w:ind w:firstLine="560"/>
      </w:pPr>
      <w:r>
        <w:rPr>
          <w:rFonts w:hint="eastAsia"/>
        </w:rPr>
        <w:t>浇筑梁板混凝土时，作业人员站在工作平台上，平台临边要设护拦防护。</w:t>
      </w:r>
    </w:p>
    <w:p w14:paraId="2B9D9DD7">
      <w:pPr>
        <w:ind w:firstLine="560"/>
      </w:pPr>
      <w:r>
        <w:rPr>
          <w:rFonts w:hint="eastAsia"/>
        </w:rPr>
        <w:t>混凝土构件采用蒸气养护时，锅炉安装使用应符合《锅炉压力容器安全技术规范》；养护棚内工作时，要防止蒸气烫伤。</w:t>
      </w:r>
    </w:p>
    <w:p w14:paraId="039E727F">
      <w:pPr>
        <w:pStyle w:val="5"/>
        <w:spacing w:before="31" w:after="31"/>
        <w:ind w:firstLine="562"/>
      </w:pPr>
      <w:bookmarkStart w:id="1801" w:name="_Toc11467"/>
      <w:bookmarkStart w:id="1802" w:name="_Toc31377"/>
      <w:bookmarkStart w:id="1803" w:name="_Toc28024"/>
      <w:bookmarkStart w:id="1804" w:name="_Toc2201"/>
      <w:bookmarkStart w:id="1805" w:name="_Toc16953"/>
      <w:bookmarkStart w:id="1806" w:name="_Toc21334"/>
      <w:bookmarkStart w:id="1807" w:name="_Toc8951"/>
      <w:bookmarkStart w:id="1808" w:name="_Toc14044"/>
      <w:bookmarkStart w:id="1809" w:name="_Toc12918"/>
      <w:bookmarkStart w:id="1810" w:name="_Toc17339"/>
      <w:bookmarkStart w:id="1811" w:name="_Toc22811"/>
      <w:bookmarkStart w:id="1812" w:name="_Toc22654"/>
      <w:bookmarkStart w:id="1813" w:name="_Toc441"/>
      <w:bookmarkStart w:id="1814" w:name="_Toc30800"/>
      <w:bookmarkStart w:id="1815" w:name="_Toc27930"/>
      <w:bookmarkStart w:id="1816" w:name="_Toc30605"/>
      <w:bookmarkStart w:id="1817" w:name="_Toc12045"/>
      <w:bookmarkStart w:id="1818" w:name="_Toc26229"/>
      <w:bookmarkStart w:id="1819" w:name="_Toc12179"/>
      <w:bookmarkStart w:id="1820" w:name="_Toc30709"/>
      <w:bookmarkStart w:id="1821" w:name="_Toc22860"/>
      <w:bookmarkStart w:id="1822" w:name="_Toc7030"/>
      <w:bookmarkStart w:id="1823" w:name="_Toc11772"/>
      <w:bookmarkStart w:id="1824" w:name="_Toc4085"/>
      <w:bookmarkStart w:id="1825" w:name="_Toc23235"/>
      <w:bookmarkStart w:id="1826" w:name="_Toc28347"/>
      <w:bookmarkStart w:id="1827" w:name="_Toc15492"/>
      <w:bookmarkStart w:id="1828" w:name="_Toc6197"/>
      <w:bookmarkStart w:id="1829" w:name="_Toc21421"/>
      <w:bookmarkStart w:id="1830" w:name="_Toc7814"/>
      <w:bookmarkStart w:id="1831" w:name="_Toc27635"/>
      <w:bookmarkStart w:id="1832" w:name="_Toc4539"/>
      <w:bookmarkStart w:id="1833" w:name="_Toc25269"/>
      <w:bookmarkStart w:id="1834" w:name="_Toc27286"/>
      <w:bookmarkStart w:id="1835" w:name="_Toc29308"/>
      <w:bookmarkStart w:id="1836" w:name="_Toc25915"/>
      <w:bookmarkStart w:id="1837" w:name="_Toc24724"/>
      <w:bookmarkStart w:id="1838" w:name="_Toc9658"/>
      <w:bookmarkStart w:id="1839" w:name="_Toc15631"/>
      <w:bookmarkStart w:id="1840" w:name="_Toc17015"/>
      <w:bookmarkStart w:id="1841" w:name="_Toc5011"/>
      <w:bookmarkStart w:id="1842" w:name="_Toc6091"/>
      <w:bookmarkStart w:id="1843" w:name="_Toc31630"/>
      <w:bookmarkStart w:id="1844" w:name="_Toc6003"/>
      <w:bookmarkStart w:id="1845" w:name="_Toc7173"/>
      <w:bookmarkStart w:id="1846" w:name="_Toc23418"/>
      <w:bookmarkStart w:id="1847" w:name="_Toc7469"/>
      <w:bookmarkStart w:id="1848" w:name="_Toc3009"/>
      <w:bookmarkStart w:id="1849" w:name="_Toc27367"/>
      <w:bookmarkStart w:id="1850" w:name="_Toc21082"/>
      <w:bookmarkStart w:id="1851" w:name="_Toc4756"/>
      <w:bookmarkStart w:id="1852" w:name="_Toc14450"/>
      <w:bookmarkStart w:id="1853" w:name="_Toc4982"/>
      <w:bookmarkStart w:id="1854" w:name="_Toc6471"/>
      <w:bookmarkStart w:id="1855" w:name="_Toc2171"/>
      <w:bookmarkStart w:id="1856" w:name="_Toc31543"/>
      <w:bookmarkStart w:id="1857" w:name="_Toc717"/>
      <w:bookmarkStart w:id="1858" w:name="_Toc24888"/>
      <w:r>
        <w:rPr>
          <w:rFonts w:hint="eastAsia"/>
        </w:rPr>
        <w:t>（五）临时用电安全防护</w:t>
      </w:r>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p>
    <w:p w14:paraId="4024E1DE">
      <w:pPr>
        <w:pStyle w:val="18"/>
        <w:rPr>
          <w:lang w:val="en-US"/>
        </w:rPr>
      </w:pPr>
      <w:r>
        <w:rPr>
          <w:lang w:val="en-US" w:bidi="ar-SA"/>
        </w:rPr>
        <w:drawing>
          <wp:inline distT="0" distB="0" distL="114300" distR="114300">
            <wp:extent cx="4779010" cy="3292475"/>
            <wp:effectExtent l="0" t="0" r="2540" b="3175"/>
            <wp:docPr id="3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
                    <pic:cNvPicPr>
                      <a:picLocks noChangeAspect="1"/>
                    </pic:cNvPicPr>
                  </pic:nvPicPr>
                  <pic:blipFill>
                    <a:blip r:embed="rId10">
                      <a:grayscl/>
                    </a:blip>
                    <a:stretch>
                      <a:fillRect/>
                    </a:stretch>
                  </pic:blipFill>
                  <pic:spPr>
                    <a:xfrm>
                      <a:off x="0" y="0"/>
                      <a:ext cx="4779010" cy="3292475"/>
                    </a:xfrm>
                    <a:prstGeom prst="rect">
                      <a:avLst/>
                    </a:prstGeom>
                    <a:noFill/>
                    <a:ln>
                      <a:noFill/>
                    </a:ln>
                  </pic:spPr>
                </pic:pic>
              </a:graphicData>
            </a:graphic>
          </wp:inline>
        </w:drawing>
      </w:r>
    </w:p>
    <w:p w14:paraId="5341654E">
      <w:pPr>
        <w:ind w:firstLine="560"/>
      </w:pPr>
      <w:r>
        <w:rPr>
          <w:rFonts w:hint="eastAsia"/>
        </w:rPr>
        <w:t>1、临时用电必须符合当地供电部门的有关安全运行规程。</w:t>
      </w:r>
    </w:p>
    <w:p w14:paraId="2A376547">
      <w:pPr>
        <w:ind w:firstLine="560"/>
      </w:pPr>
      <w:r>
        <w:rPr>
          <w:rFonts w:hint="eastAsia"/>
        </w:rPr>
        <w:t>2、构件预制场、沥青混凝土搅拌站和电动设备集中使用的场所，应由技术人员编制临时用电施工组织设计，经技术负责人审核，主管部门批准后实施。</w:t>
      </w:r>
    </w:p>
    <w:p w14:paraId="0FE701D6">
      <w:pPr>
        <w:ind w:firstLine="560"/>
      </w:pPr>
      <w:r>
        <w:rPr>
          <w:rFonts w:hint="eastAsia"/>
        </w:rPr>
        <w:t>3、在路面设计高程范围内和其他施工现场施工时，施工设施最高处与外电架空线路垂直距离应不小于下表所示：</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08"/>
        <w:gridCol w:w="2638"/>
        <w:gridCol w:w="2801"/>
        <w:gridCol w:w="2733"/>
      </w:tblGrid>
      <w:tr w14:paraId="330BA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4" w:type="pct"/>
            <w:shd w:val="clear" w:color="auto" w:fill="auto"/>
          </w:tcPr>
          <w:p w14:paraId="28BCDDD2">
            <w:pPr>
              <w:ind w:firstLine="0" w:firstLineChars="0"/>
            </w:pPr>
            <w:r>
              <w:rPr>
                <w:rFonts w:hint="eastAsia"/>
              </w:rPr>
              <w:t>外电线路电压</w:t>
            </w:r>
          </w:p>
        </w:tc>
        <w:tc>
          <w:tcPr>
            <w:tcW w:w="1235" w:type="pct"/>
            <w:shd w:val="clear" w:color="auto" w:fill="auto"/>
          </w:tcPr>
          <w:p w14:paraId="7205E589">
            <w:pPr>
              <w:ind w:firstLine="840" w:firstLineChars="300"/>
            </w:pPr>
            <w:r>
              <w:rPr>
                <w:rFonts w:hint="eastAsia"/>
              </w:rPr>
              <w:t>1kv以下</w:t>
            </w:r>
          </w:p>
        </w:tc>
        <w:tc>
          <w:tcPr>
            <w:tcW w:w="1311" w:type="pct"/>
            <w:shd w:val="clear" w:color="auto" w:fill="auto"/>
          </w:tcPr>
          <w:p w14:paraId="28FC5F70">
            <w:pPr>
              <w:ind w:firstLine="840" w:firstLineChars="300"/>
            </w:pPr>
            <w:r>
              <w:rPr>
                <w:rFonts w:hint="eastAsia"/>
              </w:rPr>
              <w:t>1-10kv</w:t>
            </w:r>
          </w:p>
        </w:tc>
        <w:tc>
          <w:tcPr>
            <w:tcW w:w="1279" w:type="pct"/>
            <w:shd w:val="clear" w:color="auto" w:fill="auto"/>
          </w:tcPr>
          <w:p w14:paraId="2A79CBFB">
            <w:pPr>
              <w:ind w:firstLine="840" w:firstLineChars="300"/>
            </w:pPr>
            <w:r>
              <w:rPr>
                <w:rFonts w:hint="eastAsia"/>
              </w:rPr>
              <w:t>35kv</w:t>
            </w:r>
          </w:p>
        </w:tc>
      </w:tr>
      <w:tr w14:paraId="7B899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4" w:type="pct"/>
            <w:shd w:val="clear" w:color="auto" w:fill="auto"/>
          </w:tcPr>
          <w:p w14:paraId="7175CCCB">
            <w:pPr>
              <w:ind w:firstLine="0" w:firstLineChars="0"/>
            </w:pPr>
            <w:r>
              <w:rPr>
                <w:rFonts w:hint="eastAsia"/>
              </w:rPr>
              <w:t>最小垂直距离</w:t>
            </w:r>
          </w:p>
        </w:tc>
        <w:tc>
          <w:tcPr>
            <w:tcW w:w="1235" w:type="pct"/>
            <w:shd w:val="clear" w:color="auto" w:fill="auto"/>
          </w:tcPr>
          <w:p w14:paraId="5CDB89E6">
            <w:pPr>
              <w:ind w:firstLine="1120" w:firstLineChars="400"/>
            </w:pPr>
            <w:r>
              <w:rPr>
                <w:rFonts w:hint="eastAsia"/>
              </w:rPr>
              <w:t>6</w:t>
            </w:r>
          </w:p>
        </w:tc>
        <w:tc>
          <w:tcPr>
            <w:tcW w:w="1311" w:type="pct"/>
            <w:shd w:val="clear" w:color="auto" w:fill="auto"/>
          </w:tcPr>
          <w:p w14:paraId="6654318B">
            <w:pPr>
              <w:ind w:firstLine="1120" w:firstLineChars="400"/>
            </w:pPr>
            <w:r>
              <w:rPr>
                <w:rFonts w:hint="eastAsia"/>
              </w:rPr>
              <w:t>7</w:t>
            </w:r>
          </w:p>
        </w:tc>
        <w:tc>
          <w:tcPr>
            <w:tcW w:w="1279" w:type="pct"/>
            <w:shd w:val="clear" w:color="auto" w:fill="auto"/>
          </w:tcPr>
          <w:p w14:paraId="7282FB88">
            <w:pPr>
              <w:ind w:firstLine="1120" w:firstLineChars="400"/>
            </w:pPr>
            <w:r>
              <w:rPr>
                <w:rFonts w:hint="eastAsia"/>
              </w:rPr>
              <w:t>7</w:t>
            </w:r>
          </w:p>
        </w:tc>
      </w:tr>
    </w:tbl>
    <w:p w14:paraId="10C3158B">
      <w:pPr>
        <w:ind w:firstLine="560"/>
      </w:pPr>
      <w:r>
        <w:t>4、使用自备电源或与外电线路共用同一供电系统时，电气设备应根据当地要求作保护接零或作保护接地，不得一部分作保护接零，另一部分设备作保护接地。</w:t>
      </w:r>
    </w:p>
    <w:p w14:paraId="5D442902">
      <w:pPr>
        <w:ind w:firstLine="560"/>
      </w:pPr>
      <w:r>
        <w:t>5</w:t>
      </w:r>
      <w:r>
        <w:rPr>
          <w:rFonts w:hint="eastAsia"/>
        </w:rPr>
        <w:t>、</w:t>
      </w:r>
      <w:r>
        <w:t>移动式发电机供电的用电设备，其金属外壳或底座，应与发电机电源的接地装置有可靠的电气连接。</w:t>
      </w:r>
    </w:p>
    <w:p w14:paraId="137A7EC8">
      <w:pPr>
        <w:ind w:firstLine="560"/>
      </w:pPr>
      <w:r>
        <w:t>6、低压架空线性必须采用绝缘铜线或铝线，架空线必须设在专用电杆上，严禁架在树杆、脚手架上；施工现场的架空线最大弧垂距地不小于4m。</w:t>
      </w:r>
    </w:p>
    <w:p w14:paraId="0E7A3E44">
      <w:pPr>
        <w:ind w:firstLine="560"/>
      </w:pPr>
      <w:r>
        <w:t>7、电缆线沿地面敷设时,不得采用老化脱皮的电缆线,中间接头应牢固可靠,保持绝缘强度;不得承受拉力,过路处要穿管保护,电源端必须设漏电保护装置。</w:t>
      </w:r>
    </w:p>
    <w:p w14:paraId="089CAF10">
      <w:pPr>
        <w:ind w:firstLine="560"/>
      </w:pPr>
      <w:r>
        <w:t>8、构件预制场,沥青混凝土搅拌站等集中用电场所配电箱,开关要分开设置,并采用两级漏电保护装置;配电箱、开关箱必须安装牢固，电具齐全完好，注意防尘。</w:t>
      </w:r>
    </w:p>
    <w:p w14:paraId="42FC906B">
      <w:pPr>
        <w:ind w:firstLine="560"/>
      </w:pPr>
      <w:r>
        <w:t>9、必须坚持一机一闸用电和下班断电加锁的原则。</w:t>
      </w:r>
    </w:p>
    <w:p w14:paraId="150E10E9">
      <w:pPr>
        <w:ind w:firstLine="560"/>
      </w:pPr>
      <w:r>
        <w:t>10、手持电动工具和单相回路的照明开头箱内必须装设漏电保护器，照明灯具的金属壳必须做接零保护。</w:t>
      </w:r>
    </w:p>
    <w:p w14:paraId="5A6DFBB7">
      <w:pPr>
        <w:ind w:firstLine="560"/>
      </w:pPr>
      <w:r>
        <w:t>11、施工现场临时用电要定期进行检查，防雷保护、接地保护、变压器及绝缘强度，每季度测定一次；固定用电场所每月检查一次；移动式电动设备、潮湿环境和水下电器设备每天检查一次。对检查不合格的线路设备要及时维修或更换，严禁带故障运行。</w:t>
      </w:r>
    </w:p>
    <w:p w14:paraId="5DA731F1">
      <w:pPr>
        <w:ind w:firstLine="560"/>
      </w:pPr>
      <w:r>
        <w:br w:type="page"/>
      </w:r>
    </w:p>
    <w:p w14:paraId="11F97DCC">
      <w:pPr>
        <w:pStyle w:val="4"/>
        <w:spacing w:before="93" w:after="31"/>
      </w:pPr>
      <w:bookmarkStart w:id="1859" w:name="_Toc5992"/>
      <w:bookmarkStart w:id="1860" w:name="_Toc7618"/>
      <w:bookmarkStart w:id="1861" w:name="_Toc2930"/>
      <w:bookmarkStart w:id="1862" w:name="_Toc31713"/>
      <w:bookmarkStart w:id="1863" w:name="_Toc5413"/>
      <w:bookmarkStart w:id="1864" w:name="_Toc20675"/>
      <w:bookmarkStart w:id="1865" w:name="_Toc1441"/>
      <w:bookmarkStart w:id="1866" w:name="_Toc27238"/>
      <w:bookmarkStart w:id="1867" w:name="_Toc27812"/>
      <w:bookmarkStart w:id="1868" w:name="_Toc24252"/>
      <w:bookmarkStart w:id="1869" w:name="_Toc25505"/>
      <w:bookmarkStart w:id="1870" w:name="_Toc30096"/>
      <w:bookmarkStart w:id="1871" w:name="_Toc3305"/>
      <w:bookmarkStart w:id="1872" w:name="_Toc20108"/>
      <w:bookmarkStart w:id="1873" w:name="_Toc7186"/>
      <w:bookmarkStart w:id="1874" w:name="_Toc19394"/>
      <w:bookmarkStart w:id="1875" w:name="_Toc13174"/>
      <w:bookmarkStart w:id="1876" w:name="_Toc396"/>
      <w:bookmarkStart w:id="1877" w:name="_Toc2696"/>
      <w:bookmarkStart w:id="1878" w:name="_Toc28681"/>
      <w:bookmarkStart w:id="1879" w:name="_Toc18592"/>
      <w:bookmarkStart w:id="1880" w:name="_Toc14312"/>
      <w:bookmarkStart w:id="1881" w:name="_Toc4696"/>
      <w:bookmarkStart w:id="1882" w:name="_Toc7797"/>
      <w:bookmarkStart w:id="1883" w:name="_Toc18840"/>
      <w:bookmarkStart w:id="1884" w:name="_Toc5533"/>
      <w:bookmarkStart w:id="1885" w:name="_Toc25556"/>
      <w:bookmarkStart w:id="1886" w:name="_Toc28640"/>
      <w:bookmarkStart w:id="1887" w:name="_Toc6369"/>
      <w:bookmarkStart w:id="1888" w:name="_Toc1356"/>
      <w:bookmarkStart w:id="1889" w:name="_Toc11944"/>
      <w:bookmarkStart w:id="1890" w:name="_Toc18301"/>
      <w:bookmarkStart w:id="1891" w:name="_Toc5851"/>
      <w:bookmarkStart w:id="1892" w:name="_Toc31873"/>
      <w:bookmarkStart w:id="1893" w:name="_Toc4991"/>
      <w:bookmarkStart w:id="1894" w:name="_Toc17081"/>
      <w:bookmarkStart w:id="1895" w:name="_Toc14660"/>
      <w:bookmarkStart w:id="1896" w:name="_Toc8952"/>
      <w:bookmarkStart w:id="1897" w:name="_Toc23072"/>
      <w:bookmarkStart w:id="1898" w:name="_Toc23274"/>
      <w:bookmarkStart w:id="1899" w:name="_Toc8120"/>
      <w:bookmarkStart w:id="1900" w:name="_Toc25630"/>
      <w:bookmarkStart w:id="1901" w:name="_Toc24874"/>
      <w:bookmarkStart w:id="1902" w:name="_Toc6701"/>
      <w:bookmarkStart w:id="1903" w:name="_Toc2955"/>
      <w:bookmarkStart w:id="1904" w:name="_Toc4924"/>
      <w:bookmarkStart w:id="1905" w:name="_Toc23949"/>
      <w:bookmarkStart w:id="1906" w:name="_Toc9292"/>
      <w:bookmarkStart w:id="1907" w:name="_Toc17319"/>
      <w:bookmarkStart w:id="1908" w:name="_Toc14718"/>
      <w:bookmarkStart w:id="1909" w:name="_Toc28825"/>
      <w:bookmarkStart w:id="1910" w:name="_Toc30193"/>
      <w:bookmarkStart w:id="1911" w:name="_Toc21723"/>
      <w:bookmarkStart w:id="1912" w:name="_Toc7846"/>
      <w:bookmarkStart w:id="1913" w:name="_Toc21311"/>
      <w:r>
        <w:rPr>
          <w:rFonts w:hint="eastAsia"/>
        </w:rPr>
        <w:t>六、消防预防方案及处理预案</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p>
    <w:p w14:paraId="53EFD9FD">
      <w:pPr>
        <w:pStyle w:val="5"/>
        <w:spacing w:before="31" w:after="31"/>
        <w:ind w:firstLine="562"/>
      </w:pPr>
      <w:bookmarkStart w:id="1914" w:name="_Toc3706"/>
      <w:bookmarkStart w:id="1915" w:name="_Toc6923"/>
      <w:bookmarkStart w:id="1916" w:name="_Toc28834"/>
      <w:bookmarkStart w:id="1917" w:name="_Toc12493"/>
      <w:bookmarkStart w:id="1918" w:name="_Toc2595"/>
      <w:bookmarkStart w:id="1919" w:name="_Toc25842"/>
      <w:bookmarkStart w:id="1920" w:name="_Toc11495"/>
      <w:bookmarkStart w:id="1921" w:name="_Toc17136"/>
      <w:bookmarkStart w:id="1922" w:name="_Toc26353"/>
      <w:bookmarkStart w:id="1923" w:name="_Toc18463"/>
      <w:bookmarkStart w:id="1924" w:name="_Toc17631"/>
      <w:bookmarkStart w:id="1925" w:name="_Toc7220"/>
      <w:bookmarkStart w:id="1926" w:name="_Toc4811"/>
      <w:bookmarkStart w:id="1927" w:name="_Toc12233"/>
      <w:bookmarkStart w:id="1928" w:name="_Toc6137"/>
      <w:bookmarkStart w:id="1929" w:name="_Toc5499"/>
      <w:bookmarkStart w:id="1930" w:name="_Toc16510"/>
      <w:bookmarkStart w:id="1931" w:name="_Toc21894"/>
      <w:bookmarkStart w:id="1932" w:name="_Toc31881"/>
      <w:bookmarkStart w:id="1933" w:name="_Toc14170"/>
      <w:bookmarkStart w:id="1934" w:name="_Toc21476"/>
      <w:bookmarkStart w:id="1935" w:name="_Toc9519"/>
      <w:bookmarkStart w:id="1936" w:name="_Toc9565"/>
      <w:bookmarkStart w:id="1937" w:name="_Toc1480"/>
      <w:bookmarkStart w:id="1938" w:name="_Toc15377"/>
      <w:bookmarkStart w:id="1939" w:name="_Toc23620"/>
      <w:bookmarkStart w:id="1940" w:name="_Toc20730"/>
      <w:bookmarkStart w:id="1941" w:name="_Toc13440"/>
      <w:bookmarkStart w:id="1942" w:name="_Toc25698"/>
      <w:bookmarkStart w:id="1943" w:name="_Toc8434"/>
      <w:bookmarkStart w:id="1944" w:name="_Toc17143"/>
      <w:bookmarkStart w:id="1945" w:name="_Toc23466"/>
      <w:bookmarkStart w:id="1946" w:name="_Toc2159"/>
      <w:bookmarkStart w:id="1947" w:name="_Toc6041"/>
      <w:bookmarkStart w:id="1948" w:name="_Toc931"/>
      <w:bookmarkStart w:id="1949" w:name="_Toc14603"/>
      <w:bookmarkStart w:id="1950" w:name="_Toc21059"/>
      <w:bookmarkStart w:id="1951" w:name="_Toc6423"/>
      <w:bookmarkStart w:id="1952" w:name="_Toc24673"/>
      <w:bookmarkStart w:id="1953" w:name="_Toc8836"/>
      <w:bookmarkStart w:id="1954" w:name="_Toc29793"/>
      <w:bookmarkStart w:id="1955" w:name="_Toc14777"/>
      <w:bookmarkStart w:id="1956" w:name="_Toc27263"/>
      <w:bookmarkStart w:id="1957" w:name="_Toc29521"/>
      <w:bookmarkStart w:id="1958" w:name="_Toc21161"/>
      <w:bookmarkStart w:id="1959" w:name="_Toc26859"/>
      <w:bookmarkStart w:id="1960" w:name="_Toc30541"/>
      <w:bookmarkStart w:id="1961" w:name="_Toc30706"/>
      <w:bookmarkStart w:id="1962" w:name="_Toc19918"/>
      <w:bookmarkStart w:id="1963" w:name="_Toc24140"/>
      <w:r>
        <w:rPr>
          <w:rFonts w:hint="eastAsia"/>
        </w:rPr>
        <w:t>（一）</w:t>
      </w:r>
      <w:r>
        <w:t>施工现场消防方案</w:t>
      </w:r>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p>
    <w:p w14:paraId="5BCC273F">
      <w:pPr>
        <w:ind w:firstLine="560"/>
      </w:pPr>
      <w:r>
        <w:t>1）建立健全的各级防火责任制，凡进入本施工现场的施工队必须签订责任书，主管生产的领导负责工地消防安全工作。</w:t>
      </w:r>
    </w:p>
    <w:p w14:paraId="4D02D68C">
      <w:pPr>
        <w:ind w:firstLine="560"/>
      </w:pPr>
      <w:r>
        <w:t>2）施工现场的安全工作有现场安全员负责，义务消防队队员、电工、电气焊工要定期进行安全消防知识培训，并经常监督他们的工作。</w:t>
      </w:r>
    </w:p>
    <w:p w14:paraId="48251688">
      <w:pPr>
        <w:ind w:firstLine="560"/>
      </w:pPr>
      <w:r>
        <w:t>3）工地动用明火由项目安全员统一管理，其他人不得指定施工人员动用明火，现场看火员要严守职责。现场施工垃圾要及时清理、清运。</w:t>
      </w:r>
    </w:p>
    <w:p w14:paraId="60483BE0">
      <w:pPr>
        <w:ind w:firstLine="560"/>
      </w:pPr>
      <w:r>
        <w:t>4）对易燃易爆危险品、化学危险品和可燃液体、仓库等危险处设置醒目的防火标志警示牌，电气焊远离易燃、易爆液（气）体库房和作业区。</w:t>
      </w:r>
    </w:p>
    <w:p w14:paraId="0043B3A1">
      <w:pPr>
        <w:ind w:firstLine="560"/>
      </w:pPr>
      <w:r>
        <w:t>5）对易燃易爆危险品、化学危险品和可燃液体要严格管理，严格控制易燃、易爆液（气）体进入施工现场，进入现场的易燃、易爆液（气）体，做到分类存放，做好防火措施，对施工现场工作面和材料堆放场内的易燃可燃杂物要及时清理或运走、隔离或堆放在指定地点。</w:t>
      </w:r>
    </w:p>
    <w:p w14:paraId="15341D28">
      <w:pPr>
        <w:ind w:firstLine="560"/>
      </w:pPr>
      <w:r>
        <w:t>6）施工现场白天有专职安全员负责检查记录，夜间安排排责任心较强、思想好的同志值班巡逻，发现问题及时处理，处理不了的及时向领导汇报。</w:t>
      </w:r>
    </w:p>
    <w:p w14:paraId="6A3CE848">
      <w:pPr>
        <w:ind w:firstLine="560"/>
      </w:pPr>
      <w:r>
        <w:t>7）临时用电、临水设专人管理，并做好记录登记随时解决用电用水问题。</w:t>
      </w:r>
    </w:p>
    <w:p w14:paraId="2F0A0DC4">
      <w:pPr>
        <w:ind w:firstLine="560"/>
      </w:pPr>
      <w:r>
        <w:rPr>
          <w:rFonts w:hint="eastAsia"/>
        </w:rPr>
        <w:t>8）</w:t>
      </w:r>
      <w:r>
        <w:t>配备足够数量、种类的应急器材，做到定期检查，做好标识，保证应急器材安全有效。</w:t>
      </w:r>
    </w:p>
    <w:p w14:paraId="24C125CB">
      <w:pPr>
        <w:ind w:firstLine="560"/>
      </w:pPr>
      <w:r>
        <w:t>9）工地内禁止吸烟，不经许可不得动用明火。</w:t>
      </w:r>
    </w:p>
    <w:p w14:paraId="200DEF06">
      <w:pPr>
        <w:ind w:firstLine="560"/>
      </w:pPr>
      <w:r>
        <w:t>10）工地内消防设施设备周围3米内禁止堆放任何物品。</w:t>
      </w:r>
    </w:p>
    <w:p w14:paraId="2B920798">
      <w:pPr>
        <w:ind w:firstLine="560"/>
      </w:pPr>
      <w:r>
        <w:t>11）工地一旦失火，根据失火性质使用灭火器材进行火灾扑救和人员疏散。</w:t>
      </w:r>
    </w:p>
    <w:p w14:paraId="4218E555">
      <w:pPr>
        <w:pStyle w:val="5"/>
        <w:spacing w:before="31" w:after="31"/>
        <w:ind w:firstLine="562"/>
      </w:pPr>
      <w:bookmarkStart w:id="1964" w:name="_Toc4205"/>
      <w:bookmarkStart w:id="1965" w:name="_Toc7321"/>
      <w:bookmarkStart w:id="1966" w:name="_Toc7437"/>
      <w:bookmarkStart w:id="1967" w:name="_Toc15958"/>
      <w:bookmarkStart w:id="1968" w:name="_Toc26397"/>
      <w:bookmarkStart w:id="1969" w:name="_Toc9931"/>
      <w:bookmarkStart w:id="1970" w:name="_Toc1289"/>
      <w:bookmarkStart w:id="1971" w:name="_Toc13215"/>
      <w:bookmarkStart w:id="1972" w:name="_Toc6653"/>
      <w:bookmarkStart w:id="1973" w:name="_Toc12431"/>
      <w:bookmarkStart w:id="1974" w:name="_Toc24248"/>
      <w:bookmarkStart w:id="1975" w:name="_Toc22133"/>
      <w:bookmarkStart w:id="1976" w:name="_Toc25362"/>
      <w:bookmarkStart w:id="1977" w:name="_Toc13730"/>
      <w:bookmarkStart w:id="1978" w:name="_Toc8733"/>
      <w:bookmarkStart w:id="1979" w:name="_Toc21682"/>
      <w:bookmarkStart w:id="1980" w:name="_Toc16151"/>
      <w:bookmarkStart w:id="1981" w:name="_Toc8222"/>
      <w:bookmarkStart w:id="1982" w:name="_Toc29423"/>
      <w:bookmarkStart w:id="1983" w:name="_Toc12350"/>
      <w:bookmarkStart w:id="1984" w:name="_Toc8627"/>
      <w:bookmarkStart w:id="1985" w:name="_Toc9790"/>
      <w:bookmarkStart w:id="1986" w:name="_Toc19695"/>
      <w:bookmarkStart w:id="1987" w:name="_Toc23524"/>
      <w:bookmarkStart w:id="1988" w:name="_Toc1246"/>
      <w:bookmarkStart w:id="1989" w:name="_Toc5327"/>
      <w:bookmarkStart w:id="1990" w:name="_Toc7942"/>
      <w:bookmarkStart w:id="1991" w:name="_Toc2188"/>
      <w:bookmarkStart w:id="1992" w:name="_Toc14661"/>
      <w:bookmarkStart w:id="1993" w:name="_Toc1215"/>
      <w:bookmarkStart w:id="1994" w:name="_Toc30466"/>
      <w:bookmarkStart w:id="1995" w:name="_Toc1845"/>
      <w:bookmarkStart w:id="1996" w:name="_Toc16907"/>
      <w:bookmarkStart w:id="1997" w:name="_Toc10790"/>
      <w:bookmarkStart w:id="1998" w:name="_Toc27941"/>
      <w:bookmarkStart w:id="1999" w:name="_Toc15458"/>
      <w:bookmarkStart w:id="2000" w:name="_Toc18412"/>
      <w:bookmarkStart w:id="2001" w:name="_Toc7198"/>
      <w:bookmarkStart w:id="2002" w:name="_Toc6086"/>
      <w:bookmarkStart w:id="2003" w:name="_Toc14674"/>
      <w:bookmarkStart w:id="2004" w:name="_Toc18361"/>
      <w:bookmarkStart w:id="2005" w:name="_Toc20759"/>
      <w:bookmarkStart w:id="2006" w:name="_Toc21591"/>
      <w:bookmarkStart w:id="2007" w:name="_Toc13172"/>
      <w:bookmarkStart w:id="2008" w:name="_Toc3814"/>
      <w:bookmarkStart w:id="2009" w:name="_Toc5150"/>
      <w:bookmarkStart w:id="2010" w:name="_Toc65"/>
      <w:bookmarkStart w:id="2011" w:name="_Toc28173"/>
      <w:bookmarkStart w:id="2012" w:name="_Toc20032"/>
      <w:bookmarkStart w:id="2013" w:name="_Toc25657"/>
      <w:bookmarkStart w:id="2014" w:name="_Toc30616"/>
      <w:bookmarkStart w:id="2015" w:name="_Toc29116"/>
      <w:bookmarkStart w:id="2016" w:name="_Toc13144"/>
      <w:r>
        <w:rPr>
          <w:rFonts w:hint="eastAsia"/>
        </w:rPr>
        <w:t>（二）</w:t>
      </w:r>
      <w:r>
        <w:t>施工现场消防预案</w:t>
      </w:r>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p>
    <w:p w14:paraId="51821AF3">
      <w:pPr>
        <w:ind w:firstLine="560"/>
      </w:pPr>
      <w:r>
        <w:t>假如施工现场一旦失火，为使在扑火过程中，做到忙中不乱，将火灾损失尽量减少到最小程度，特作以下部署和要求：</w:t>
      </w:r>
    </w:p>
    <w:p w14:paraId="7848287F">
      <w:pPr>
        <w:ind w:firstLine="560"/>
      </w:pPr>
      <w:r>
        <w:t>1）任何单位和个人发生或发现火警事故，必须立即投入抢救，同时呼喊附近的人立即跑步前去报告项目领导。</w:t>
      </w:r>
    </w:p>
    <w:p w14:paraId="0A9FF449">
      <w:pPr>
        <w:ind w:firstLine="560"/>
      </w:pPr>
      <w:r>
        <w:t>2）现场所有人员，尤其是义务消防队员听见信号，要火速跑到着火地点，并且从不同地点带来消防器材，如：干粉灭火器、消防斧、钩、锹等。项目经理接到报告后，立即组织项目人员尤其是义务消防队员，开展灭火工作。</w:t>
      </w:r>
    </w:p>
    <w:p w14:paraId="2B6150B7">
      <w:pPr>
        <w:ind w:firstLine="560"/>
      </w:pPr>
      <w:r>
        <w:t>3）项目经理认为火警严重，应立即指派一人绕场一周，告知工地所有人员发生了火灾。是否要报“火警119”，由项目经理决定。要报119，应说清现场方位、何物起火、火势大小、接车地点等，由安全员拨打报警电话119，并率领门口保安人员火速畅通通道，在大门口迎接消防车。</w:t>
      </w:r>
    </w:p>
    <w:p w14:paraId="13B11289">
      <w:pPr>
        <w:ind w:firstLine="560"/>
      </w:pPr>
      <w:r>
        <w:t>4）现场指挥要根据着火性质，决定采用不同的方式组织义务消防队员进行灭火，如：电气着火，电气队要先断电，义务消防队员使用ABC干粉灭火器灭火；油类火灾，项目消防领导小组组员由使用沙子铺盖、ABC干粉灭火器灭火；木材火灾，义务消防队员开启消防栓使用消防水带灭火，在灭火过程中必须保证有三人同时抱住水枪，保证水枪稳定性顺利灭火。还要根据着火情况及着火区域，结合周围实际情况决定采取何种方式进行疏散和隔离，如：材料堆放区火灾，要及时组织义务消防队员将未失火木材搬离到安全区域；临时房屋火灾要及时组织义务消防队员将隔壁房屋拆掉，以免火灾蔓延。</w:t>
      </w:r>
    </w:p>
    <w:p w14:paraId="125DBAEF">
      <w:pPr>
        <w:ind w:firstLine="560"/>
      </w:pPr>
      <w:r>
        <w:t>5）发生火灾后工程管理部门组织义务消防队员进行现场人员疏散，并负责火灾后的现场保护。各施工队、班、组接到告知后，要听从指挥，有秩序的组织自己管理的人员撤离，忙中不乱，头脑清醒，避免发生二次伤害。</w:t>
      </w:r>
    </w:p>
    <w:p w14:paraId="3E7A5851">
      <w:pPr>
        <w:ind w:firstLine="560"/>
      </w:pPr>
      <w:r>
        <w:t>6）报警以后，项目经理立即指派两名消防队员，到进场必经</w:t>
      </w:r>
      <w:r>
        <w:rPr>
          <w:rFonts w:hint="eastAsia"/>
        </w:rPr>
        <w:t>道路</w:t>
      </w:r>
      <w:r>
        <w:t>指挥交通，迎接消防车辆。</w:t>
      </w:r>
    </w:p>
    <w:p w14:paraId="42C47493">
      <w:pPr>
        <w:ind w:firstLine="560"/>
      </w:pPr>
      <w:r>
        <w:t>7）保安立即敞开工地大门，项目经理指派人手疏通消防通道，打开消火栓。</w:t>
      </w:r>
    </w:p>
    <w:p w14:paraId="4EAF5D14">
      <w:pPr>
        <w:ind w:firstLine="560"/>
      </w:pPr>
      <w:r>
        <w:t>8）将消防车带进现场，向消防战士提供消火栓井的具体位置，协助消防官兵投入抢救工作。</w:t>
      </w:r>
    </w:p>
    <w:p w14:paraId="4B3D264C">
      <w:pPr>
        <w:ind w:firstLine="560"/>
      </w:pPr>
      <w:r>
        <w:t>9）协助扑灭余火，保护好火灾现场，搞好火灾事故调查。</w:t>
      </w:r>
    </w:p>
    <w:p w14:paraId="26A1A8AA">
      <w:pPr>
        <w:pStyle w:val="5"/>
        <w:spacing w:before="31" w:after="31"/>
        <w:ind w:firstLine="562"/>
      </w:pPr>
      <w:bookmarkStart w:id="2017" w:name="_Toc27662"/>
      <w:bookmarkStart w:id="2018" w:name="_Toc6758"/>
      <w:bookmarkStart w:id="2019" w:name="_Toc1523"/>
      <w:bookmarkStart w:id="2020" w:name="_Toc21457"/>
      <w:bookmarkStart w:id="2021" w:name="_Toc8202"/>
      <w:bookmarkStart w:id="2022" w:name="_Toc4967"/>
      <w:bookmarkStart w:id="2023" w:name="_Toc15851"/>
      <w:bookmarkStart w:id="2024" w:name="_Toc18199"/>
      <w:bookmarkStart w:id="2025" w:name="_Toc22950"/>
      <w:bookmarkStart w:id="2026" w:name="_Toc4123"/>
      <w:bookmarkStart w:id="2027" w:name="_Toc30326"/>
      <w:bookmarkStart w:id="2028" w:name="_Toc16981"/>
      <w:bookmarkStart w:id="2029" w:name="_Toc15984"/>
      <w:bookmarkStart w:id="2030" w:name="_Toc22023"/>
      <w:bookmarkStart w:id="2031" w:name="_Toc6935"/>
      <w:bookmarkStart w:id="2032" w:name="_Toc13436"/>
      <w:bookmarkStart w:id="2033" w:name="_Toc10133"/>
      <w:bookmarkStart w:id="2034" w:name="_Toc19147"/>
      <w:bookmarkStart w:id="2035" w:name="_Toc31886"/>
      <w:bookmarkStart w:id="2036" w:name="_Toc19398"/>
      <w:bookmarkStart w:id="2037" w:name="_Toc23257"/>
      <w:bookmarkStart w:id="2038" w:name="_Toc16547"/>
      <w:bookmarkStart w:id="2039" w:name="_Toc4760"/>
      <w:bookmarkStart w:id="2040" w:name="_Toc26545"/>
      <w:bookmarkStart w:id="2041" w:name="_Toc8071"/>
      <w:bookmarkStart w:id="2042" w:name="_Toc8327"/>
      <w:bookmarkStart w:id="2043" w:name="_Toc26333"/>
      <w:bookmarkStart w:id="2044" w:name="_Toc9010"/>
      <w:bookmarkStart w:id="2045" w:name="_Toc27895"/>
      <w:bookmarkStart w:id="2046" w:name="_Toc1692"/>
      <w:bookmarkStart w:id="2047" w:name="_Toc77"/>
      <w:bookmarkStart w:id="2048" w:name="_Toc9996"/>
      <w:bookmarkStart w:id="2049" w:name="_Toc23011"/>
      <w:bookmarkStart w:id="2050" w:name="_Toc4522"/>
      <w:bookmarkStart w:id="2051" w:name="_Toc3028"/>
      <w:bookmarkStart w:id="2052" w:name="_Toc18251"/>
      <w:bookmarkStart w:id="2053" w:name="_Toc22992"/>
      <w:bookmarkStart w:id="2054" w:name="_Toc11587"/>
      <w:bookmarkStart w:id="2055" w:name="_Toc8512"/>
      <w:bookmarkStart w:id="2056" w:name="_Toc12352"/>
      <w:bookmarkStart w:id="2057" w:name="_Toc27719"/>
      <w:bookmarkStart w:id="2058" w:name="_Toc29823"/>
      <w:bookmarkStart w:id="2059" w:name="_Toc19560"/>
      <w:bookmarkStart w:id="2060" w:name="_Toc19498"/>
      <w:bookmarkStart w:id="2061" w:name="_Toc30822"/>
      <w:bookmarkStart w:id="2062" w:name="_Toc18353"/>
      <w:bookmarkStart w:id="2063" w:name="_Toc25704"/>
      <w:bookmarkStart w:id="2064" w:name="_Toc29341"/>
      <w:bookmarkStart w:id="2065" w:name="_Toc5865"/>
      <w:bookmarkStart w:id="2066" w:name="_Toc18695"/>
      <w:r>
        <w:rPr>
          <w:rFonts w:hint="eastAsia"/>
        </w:rPr>
        <w:t>（三）</w:t>
      </w:r>
      <w:r>
        <w:t>项目消防领导小组管理制度</w:t>
      </w:r>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p>
    <w:p w14:paraId="0AD0C4F8">
      <w:pPr>
        <w:ind w:firstLine="560"/>
      </w:pPr>
      <w:r>
        <w:t>1）凡参加项目消防领导小组人员，必须具备良好的素质，工作上、思想上、作风上一定要过硬。</w:t>
      </w:r>
    </w:p>
    <w:p w14:paraId="791175CF">
      <w:pPr>
        <w:ind w:firstLine="560"/>
      </w:pPr>
      <w:r>
        <w:t>2）定时组织项目消防领导小组人员进行学习教育，掌握一定的法律消防知识，不断提高自我消防意识。</w:t>
      </w:r>
    </w:p>
    <w:p w14:paraId="19B83150">
      <w:pPr>
        <w:ind w:firstLine="560"/>
      </w:pPr>
      <w:r>
        <w:t>3）每周对现场的消防器材、设施进行检查，以便掌握现场上的消防设备情况。</w:t>
      </w:r>
    </w:p>
    <w:p w14:paraId="72FA2D88">
      <w:pPr>
        <w:ind w:firstLine="560"/>
      </w:pPr>
      <w:r>
        <w:t>4）每月要对各施工单位进行消防知识教育，贯彻国家有关法令法规，提高工人的消防意识。</w:t>
      </w:r>
    </w:p>
    <w:p w14:paraId="5DA09B83">
      <w:pPr>
        <w:pStyle w:val="5"/>
        <w:spacing w:before="31" w:after="31"/>
        <w:ind w:firstLine="562"/>
      </w:pPr>
      <w:bookmarkStart w:id="2067" w:name="_Toc18990"/>
      <w:bookmarkStart w:id="2068" w:name="_Toc1501"/>
      <w:bookmarkStart w:id="2069" w:name="_Toc3334"/>
      <w:bookmarkStart w:id="2070" w:name="_Toc24668"/>
      <w:bookmarkStart w:id="2071" w:name="_Toc21929"/>
      <w:bookmarkStart w:id="2072" w:name="_Toc24672"/>
      <w:bookmarkStart w:id="2073" w:name="_Toc26452"/>
      <w:bookmarkStart w:id="2074" w:name="_Toc20426"/>
      <w:bookmarkStart w:id="2075" w:name="_Toc12236"/>
      <w:bookmarkStart w:id="2076" w:name="_Toc20750"/>
      <w:bookmarkStart w:id="2077" w:name="_Toc24633"/>
      <w:bookmarkStart w:id="2078" w:name="_Toc18045"/>
      <w:bookmarkStart w:id="2079" w:name="_Toc13908"/>
      <w:bookmarkStart w:id="2080" w:name="_Toc15961"/>
      <w:bookmarkStart w:id="2081" w:name="_Toc23518"/>
      <w:bookmarkStart w:id="2082" w:name="_Toc4477"/>
      <w:bookmarkStart w:id="2083" w:name="_Toc5575"/>
      <w:bookmarkStart w:id="2084" w:name="_Toc19276"/>
      <w:bookmarkStart w:id="2085" w:name="_Toc24331"/>
      <w:bookmarkStart w:id="2086" w:name="_Toc287"/>
      <w:bookmarkStart w:id="2087" w:name="_Toc29310"/>
      <w:bookmarkStart w:id="2088" w:name="_Toc8332"/>
      <w:bookmarkStart w:id="2089" w:name="_Toc1015"/>
      <w:bookmarkStart w:id="2090" w:name="_Toc2636"/>
      <w:bookmarkStart w:id="2091" w:name="_Toc11853"/>
      <w:bookmarkStart w:id="2092" w:name="_Toc18201"/>
      <w:bookmarkStart w:id="2093" w:name="_Toc18817"/>
      <w:bookmarkStart w:id="2094" w:name="_Toc18852"/>
      <w:bookmarkStart w:id="2095" w:name="_Toc24041"/>
      <w:bookmarkStart w:id="2096" w:name="_Toc17345"/>
      <w:bookmarkStart w:id="2097" w:name="_Toc29916"/>
      <w:bookmarkStart w:id="2098" w:name="_Toc2661"/>
      <w:bookmarkStart w:id="2099" w:name="_Toc3959"/>
      <w:bookmarkStart w:id="2100" w:name="_Toc25522"/>
      <w:bookmarkStart w:id="2101" w:name="_Toc28529"/>
      <w:bookmarkStart w:id="2102" w:name="_Toc30424"/>
      <w:bookmarkStart w:id="2103" w:name="_Toc13256"/>
      <w:bookmarkStart w:id="2104" w:name="_Toc21167"/>
      <w:bookmarkStart w:id="2105" w:name="_Toc1648"/>
      <w:bookmarkStart w:id="2106" w:name="_Toc8094"/>
      <w:bookmarkStart w:id="2107" w:name="_Toc15465"/>
      <w:bookmarkStart w:id="2108" w:name="_Toc26756"/>
      <w:bookmarkStart w:id="2109" w:name="_Toc21312"/>
      <w:bookmarkStart w:id="2110" w:name="_Toc24968"/>
      <w:bookmarkStart w:id="2111" w:name="_Toc27737"/>
      <w:bookmarkStart w:id="2112" w:name="_Toc17040"/>
      <w:bookmarkStart w:id="2113" w:name="_Toc7810"/>
      <w:bookmarkStart w:id="2114" w:name="_Toc20161"/>
      <w:bookmarkStart w:id="2115" w:name="_Toc27838"/>
      <w:bookmarkStart w:id="2116" w:name="_Toc12021"/>
      <w:bookmarkStart w:id="2117" w:name="_Toc4576"/>
      <w:bookmarkStart w:id="2118" w:name="_Toc32685"/>
      <w:r>
        <w:rPr>
          <w:rFonts w:hint="eastAsia"/>
        </w:rPr>
        <w:t>（四）</w:t>
      </w:r>
      <w:r>
        <w:t>施工现场消防管理措施</w:t>
      </w:r>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p>
    <w:p w14:paraId="5126BEDD">
      <w:pPr>
        <w:ind w:firstLine="560"/>
      </w:pPr>
      <w:r>
        <w:t>1）施工现场要有严密的消防组织及足够的消防器材。</w:t>
      </w:r>
    </w:p>
    <w:p w14:paraId="6074D53D">
      <w:pPr>
        <w:ind w:firstLine="560"/>
      </w:pPr>
      <w:r>
        <w:t>2）现场消防通道要保持畅通，消防栓周围5米内不得堆放任何材料。</w:t>
      </w:r>
    </w:p>
    <w:p w14:paraId="20F6154A">
      <w:pPr>
        <w:ind w:firstLine="560"/>
      </w:pPr>
      <w:r>
        <w:t>3）易燃易爆物品不能存放再施工的楼房内，要设专门的库房存放。</w:t>
      </w:r>
    </w:p>
    <w:p w14:paraId="25636B7C">
      <w:pPr>
        <w:ind w:firstLine="560"/>
      </w:pPr>
      <w:r>
        <w:t>4）存放易燃易爆物品的库房必须有专人负责，库房应用非易燃材料搭设并放置灭火器材，库房不准使用超过60瓦的灯泡，灯头与物品应保持安全距离，库房内不准住人或做办公室等其他用途。</w:t>
      </w:r>
    </w:p>
    <w:p w14:paraId="2AF21F7E">
      <w:pPr>
        <w:ind w:firstLine="560"/>
      </w:pPr>
      <w:r>
        <w:t>5）现场的汽油、柴油、稀料等易燃易爆危险品要存放到专用库房内，防止起火。</w:t>
      </w:r>
    </w:p>
    <w:p w14:paraId="590966E2">
      <w:pPr>
        <w:ind w:firstLine="560"/>
      </w:pPr>
      <w:r>
        <w:t>6）电气焊工作业前必须对作业面及附近进行检查，发现有可燃物时应先进行处理，确保安全后方可进行做业，下班后要认真检查，确认没有火源存在切断电源后方可离开。</w:t>
      </w:r>
    </w:p>
    <w:p w14:paraId="08D71677">
      <w:pPr>
        <w:ind w:firstLine="560"/>
      </w:pPr>
      <w:r>
        <w:rPr>
          <w:rFonts w:hint="eastAsia"/>
        </w:rPr>
        <w:br w:type="page"/>
      </w:r>
    </w:p>
    <w:p w14:paraId="12AEEF75">
      <w:pPr>
        <w:pStyle w:val="4"/>
        <w:spacing w:before="93" w:after="31"/>
      </w:pPr>
      <w:bookmarkStart w:id="2119" w:name="_Toc20926"/>
      <w:bookmarkStart w:id="2120" w:name="_Toc16728"/>
      <w:bookmarkStart w:id="2121" w:name="_Toc7959"/>
      <w:bookmarkStart w:id="2122" w:name="_Toc28893"/>
      <w:bookmarkStart w:id="2123" w:name="_Toc24637"/>
      <w:bookmarkStart w:id="2124" w:name="_Toc17538"/>
      <w:bookmarkStart w:id="2125" w:name="_Toc6125"/>
      <w:bookmarkStart w:id="2126" w:name="_Toc2466"/>
      <w:bookmarkStart w:id="2127" w:name="_Toc14186"/>
      <w:bookmarkStart w:id="2128" w:name="_Toc13290"/>
      <w:bookmarkStart w:id="2129" w:name="_Toc5314"/>
      <w:bookmarkStart w:id="2130" w:name="_Toc10434"/>
      <w:bookmarkStart w:id="2131" w:name="_Toc24460"/>
      <w:bookmarkStart w:id="2132" w:name="_Toc10342"/>
      <w:bookmarkStart w:id="2133" w:name="_Toc32061"/>
      <w:bookmarkStart w:id="2134" w:name="_Toc27300"/>
      <w:bookmarkStart w:id="2135" w:name="_Toc28006"/>
      <w:bookmarkStart w:id="2136" w:name="_Toc19315"/>
      <w:bookmarkStart w:id="2137" w:name="_Toc20089"/>
      <w:bookmarkStart w:id="2138" w:name="_Toc2539"/>
      <w:bookmarkStart w:id="2139" w:name="_Toc1304"/>
      <w:bookmarkStart w:id="2140" w:name="_Toc16327"/>
      <w:bookmarkStart w:id="2141" w:name="_Toc3979"/>
      <w:bookmarkStart w:id="2142" w:name="_Toc21997"/>
      <w:bookmarkStart w:id="2143" w:name="_Toc8193"/>
      <w:bookmarkStart w:id="2144" w:name="_Toc23378"/>
      <w:bookmarkStart w:id="2145" w:name="_Toc18514"/>
      <w:bookmarkStart w:id="2146" w:name="_Toc15761"/>
      <w:bookmarkStart w:id="2147" w:name="_Toc5536"/>
      <w:bookmarkStart w:id="2148" w:name="_Toc26201"/>
      <w:bookmarkStart w:id="2149" w:name="_Toc5084"/>
      <w:bookmarkStart w:id="2150" w:name="_Toc4527"/>
      <w:bookmarkStart w:id="2151" w:name="_Toc26743"/>
      <w:bookmarkStart w:id="2152" w:name="_Toc5669"/>
      <w:bookmarkStart w:id="2153" w:name="_Toc27681"/>
      <w:bookmarkStart w:id="2154" w:name="_Toc10891"/>
      <w:bookmarkStart w:id="2155" w:name="_Toc2935"/>
      <w:bookmarkStart w:id="2156" w:name="_Toc1816"/>
      <w:bookmarkStart w:id="2157" w:name="_Toc22588"/>
      <w:bookmarkStart w:id="2158" w:name="_Toc4148"/>
      <w:bookmarkStart w:id="2159" w:name="_Toc15652"/>
      <w:bookmarkStart w:id="2160" w:name="_Toc24114"/>
      <w:bookmarkStart w:id="2161" w:name="_Toc22676"/>
      <w:bookmarkStart w:id="2162" w:name="_Toc27462"/>
      <w:bookmarkStart w:id="2163" w:name="_Toc12057"/>
      <w:bookmarkStart w:id="2164" w:name="_Toc30750"/>
      <w:bookmarkStart w:id="2165" w:name="_Toc23742"/>
      <w:bookmarkStart w:id="2166" w:name="_Toc21599"/>
      <w:bookmarkStart w:id="2167" w:name="_Toc4641"/>
      <w:bookmarkStart w:id="2168" w:name="_Toc25226"/>
      <w:bookmarkStart w:id="2169" w:name="_Toc2920"/>
      <w:bookmarkStart w:id="2170" w:name="_Toc11556"/>
      <w:bookmarkStart w:id="2171" w:name="_Toc20382"/>
      <w:r>
        <w:rPr>
          <w:rFonts w:hint="eastAsia"/>
        </w:rPr>
        <w:t>七、治安联防方案及处理预案</w:t>
      </w:r>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p>
    <w:p w14:paraId="7D2876FC">
      <w:pPr>
        <w:pStyle w:val="5"/>
        <w:spacing w:before="31" w:after="31"/>
        <w:ind w:firstLine="562"/>
      </w:pPr>
      <w:bookmarkStart w:id="2172" w:name="_Toc30136"/>
      <w:bookmarkStart w:id="2173" w:name="_Toc12034"/>
      <w:bookmarkStart w:id="2174" w:name="_Toc14047"/>
      <w:bookmarkStart w:id="2175" w:name="_Toc32487"/>
      <w:bookmarkStart w:id="2176" w:name="_Toc19558"/>
      <w:bookmarkStart w:id="2177" w:name="_Toc6703"/>
      <w:bookmarkStart w:id="2178" w:name="_Toc15075"/>
      <w:bookmarkStart w:id="2179" w:name="_Toc10966"/>
      <w:bookmarkStart w:id="2180" w:name="_Toc24030"/>
      <w:bookmarkStart w:id="2181" w:name="_Toc16955"/>
      <w:bookmarkStart w:id="2182" w:name="_Toc18366"/>
      <w:bookmarkStart w:id="2183" w:name="_Toc5421"/>
      <w:bookmarkStart w:id="2184" w:name="_Toc20246"/>
      <w:bookmarkStart w:id="2185" w:name="_Toc12444"/>
      <w:bookmarkStart w:id="2186" w:name="_Toc1946"/>
      <w:bookmarkStart w:id="2187" w:name="_Toc23998"/>
      <w:bookmarkStart w:id="2188" w:name="_Toc11072"/>
      <w:bookmarkStart w:id="2189" w:name="_Toc20021"/>
      <w:bookmarkStart w:id="2190" w:name="_Toc30006"/>
      <w:bookmarkStart w:id="2191" w:name="_Toc19632"/>
      <w:bookmarkStart w:id="2192" w:name="_Toc18324"/>
      <w:bookmarkStart w:id="2193" w:name="_Toc20243"/>
      <w:bookmarkStart w:id="2194" w:name="_Toc16957"/>
      <w:bookmarkStart w:id="2195" w:name="_Toc32123"/>
      <w:bookmarkStart w:id="2196" w:name="_Toc1009"/>
      <w:bookmarkStart w:id="2197" w:name="_Toc10807"/>
      <w:bookmarkStart w:id="2198" w:name="_Toc9405"/>
      <w:bookmarkStart w:id="2199" w:name="_Toc16309"/>
      <w:bookmarkStart w:id="2200" w:name="_Toc14091"/>
      <w:bookmarkStart w:id="2201" w:name="_Toc14058"/>
      <w:bookmarkStart w:id="2202" w:name="_Toc12384"/>
      <w:bookmarkStart w:id="2203" w:name="_Toc12293"/>
      <w:bookmarkStart w:id="2204" w:name="_Toc9092"/>
      <w:bookmarkStart w:id="2205" w:name="_Toc4094"/>
      <w:bookmarkStart w:id="2206" w:name="_Toc22363"/>
      <w:bookmarkStart w:id="2207" w:name="_Toc29213"/>
      <w:bookmarkStart w:id="2208" w:name="_Toc20745"/>
      <w:bookmarkStart w:id="2209" w:name="_Toc26125"/>
      <w:bookmarkStart w:id="2210" w:name="_Toc2195"/>
      <w:bookmarkStart w:id="2211" w:name="_Toc29810"/>
      <w:bookmarkStart w:id="2212" w:name="_Toc29246"/>
      <w:bookmarkStart w:id="2213" w:name="_Toc31325"/>
      <w:bookmarkStart w:id="2214" w:name="_Toc7583"/>
      <w:bookmarkStart w:id="2215" w:name="_Toc2787"/>
      <w:bookmarkStart w:id="2216" w:name="_Toc1052"/>
      <w:bookmarkStart w:id="2217" w:name="_Toc4286"/>
      <w:bookmarkStart w:id="2218" w:name="_Toc10168"/>
      <w:bookmarkStart w:id="2219" w:name="_Toc2091"/>
      <w:bookmarkStart w:id="2220" w:name="_Toc29386"/>
      <w:r>
        <w:rPr>
          <w:rFonts w:hint="eastAsia"/>
        </w:rPr>
        <w:t>（一）治安联防方案</w:t>
      </w:r>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p>
    <w:p w14:paraId="4914EDF8">
      <w:pPr>
        <w:ind w:firstLine="560"/>
      </w:pPr>
      <w:r>
        <w:rPr>
          <w:rFonts w:hint="eastAsia"/>
        </w:rPr>
        <w:t>为了加强施工现场的保卫工作，确保建设工程的顺利进行，根剧现场保卫工作基本标准的要求，结合本工地的实际情况，为预防各类盗窃、破坏案件的发生，特制定本工程的治安联防方案。</w:t>
      </w:r>
    </w:p>
    <w:p w14:paraId="028A189B">
      <w:pPr>
        <w:ind w:firstLine="560"/>
      </w:pPr>
      <w:r>
        <w:rPr>
          <w:rFonts w:hint="eastAsia"/>
        </w:rPr>
        <w:t>1）本工程设立治安联防保卫领导小组，由工程主管领导为组长，负责全面领导工作，安全员为副组长，组员有若干。</w:t>
      </w:r>
    </w:p>
    <w:p w14:paraId="789EC819">
      <w:pPr>
        <w:ind w:firstLine="560"/>
      </w:pPr>
      <w:r>
        <w:rPr>
          <w:rFonts w:hint="eastAsia"/>
        </w:rPr>
        <w:t>2）工地门卫以总包单位保安为主，对外来人员和进出车辆及所有物资进行登记。</w:t>
      </w:r>
    </w:p>
    <w:p w14:paraId="24A1F036">
      <w:pPr>
        <w:ind w:firstLine="560"/>
      </w:pPr>
      <w:r>
        <w:rPr>
          <w:rFonts w:hint="eastAsia"/>
        </w:rPr>
        <w:t>3）加强对外地民工的管理，摸清人员的底数，掌握每个人的思想动态，及时进行教育。</w:t>
      </w:r>
    </w:p>
    <w:p w14:paraId="0078A6C7">
      <w:pPr>
        <w:ind w:firstLine="560"/>
      </w:pPr>
      <w:r>
        <w:rPr>
          <w:rFonts w:hint="eastAsia"/>
        </w:rPr>
        <w:t>4）每月对职工进行一次治安教育，每月召开一次治保会，定期进行治安检查，并将会议检查整改记录存入资料内备查。</w:t>
      </w:r>
    </w:p>
    <w:p w14:paraId="2E846CEE">
      <w:pPr>
        <w:ind w:firstLine="560"/>
      </w:pPr>
      <w:r>
        <w:rPr>
          <w:rFonts w:hint="eastAsia"/>
        </w:rPr>
        <w:t>5）对易燃、易爆、有毒化学危险品设专库专管，非经单位领导人批准，任何人都不得动用。</w:t>
      </w:r>
    </w:p>
    <w:p w14:paraId="5037F72D">
      <w:pPr>
        <w:ind w:firstLine="560"/>
      </w:pPr>
      <w:r>
        <w:rPr>
          <w:rFonts w:hint="eastAsia"/>
        </w:rPr>
        <w:t>6）施工现场必须按照“谁主管，谁负责”的原则，确定项目主要领导干部负责保卫工作，建立保卫领导小组，签订保卫工作责任书。</w:t>
      </w:r>
    </w:p>
    <w:p w14:paraId="59468CE1">
      <w:pPr>
        <w:ind w:firstLine="560"/>
      </w:pPr>
      <w:r>
        <w:rPr>
          <w:rFonts w:hint="eastAsia"/>
        </w:rPr>
        <w:t>7）工具房、库房等易发案部位要指定专人管理，制定防范措施，防止发生盗窃案件。</w:t>
      </w:r>
    </w:p>
    <w:p w14:paraId="1CBF926A">
      <w:pPr>
        <w:ind w:firstLine="560"/>
      </w:pPr>
      <w:r>
        <w:rPr>
          <w:rFonts w:hint="eastAsia"/>
        </w:rPr>
        <w:t>8）做好成品保护工作，制定具体措施；严防被盗、破坏和治安灾害事故的发生。</w:t>
      </w:r>
    </w:p>
    <w:p w14:paraId="03408E74">
      <w:pPr>
        <w:ind w:firstLine="560"/>
      </w:pPr>
      <w:r>
        <w:rPr>
          <w:rFonts w:hint="eastAsia"/>
        </w:rPr>
        <w:t>9）施工现场发生各类案件和灾害事故，要立即报告并保护好现场，配合公安机关侦破。</w:t>
      </w:r>
    </w:p>
    <w:p w14:paraId="388BB348">
      <w:pPr>
        <w:pStyle w:val="5"/>
        <w:spacing w:before="31" w:after="31"/>
        <w:ind w:firstLine="562"/>
      </w:pPr>
      <w:bookmarkStart w:id="2221" w:name="_Toc27058"/>
      <w:bookmarkStart w:id="2222" w:name="_Toc26339"/>
      <w:bookmarkStart w:id="2223" w:name="_Toc1728"/>
      <w:bookmarkStart w:id="2224" w:name="_Toc24742"/>
      <w:bookmarkStart w:id="2225" w:name="_Toc4777"/>
      <w:bookmarkStart w:id="2226" w:name="_Toc30397"/>
      <w:bookmarkStart w:id="2227" w:name="_Toc5051"/>
      <w:bookmarkStart w:id="2228" w:name="_Toc4659"/>
      <w:bookmarkStart w:id="2229" w:name="_Toc18701"/>
      <w:bookmarkStart w:id="2230" w:name="_Toc15262"/>
      <w:bookmarkStart w:id="2231" w:name="_Toc2923"/>
      <w:bookmarkStart w:id="2232" w:name="_Toc23126"/>
      <w:bookmarkStart w:id="2233" w:name="_Toc3953"/>
      <w:bookmarkStart w:id="2234" w:name="_Toc26735"/>
      <w:bookmarkStart w:id="2235" w:name="_Toc2511"/>
      <w:bookmarkStart w:id="2236" w:name="_Toc10518"/>
      <w:bookmarkStart w:id="2237" w:name="_Toc2525"/>
      <w:bookmarkStart w:id="2238" w:name="_Toc14750"/>
      <w:bookmarkStart w:id="2239" w:name="_Toc17590"/>
      <w:bookmarkStart w:id="2240" w:name="_Toc24609"/>
      <w:bookmarkStart w:id="2241" w:name="_Toc17438"/>
      <w:bookmarkStart w:id="2242" w:name="_Toc12463"/>
      <w:bookmarkStart w:id="2243" w:name="_Toc27605"/>
      <w:bookmarkStart w:id="2244" w:name="_Toc3244"/>
      <w:bookmarkStart w:id="2245" w:name="_Toc30192"/>
      <w:bookmarkStart w:id="2246" w:name="_Toc16656"/>
      <w:bookmarkStart w:id="2247" w:name="_Toc26484"/>
      <w:bookmarkStart w:id="2248" w:name="_Toc7204"/>
      <w:bookmarkStart w:id="2249" w:name="_Toc16751"/>
      <w:bookmarkStart w:id="2250" w:name="_Toc24838"/>
      <w:bookmarkStart w:id="2251" w:name="_Toc13569"/>
      <w:bookmarkStart w:id="2252" w:name="_Toc16186"/>
      <w:bookmarkStart w:id="2253" w:name="_Toc10228"/>
      <w:bookmarkStart w:id="2254" w:name="_Toc30956"/>
      <w:bookmarkStart w:id="2255" w:name="_Toc6092"/>
      <w:bookmarkStart w:id="2256" w:name="_Toc14579"/>
      <w:bookmarkStart w:id="2257" w:name="_Toc30228"/>
      <w:bookmarkStart w:id="2258" w:name="_Toc13806"/>
      <w:bookmarkStart w:id="2259" w:name="_Toc28698"/>
      <w:bookmarkStart w:id="2260" w:name="_Toc22162"/>
      <w:bookmarkStart w:id="2261" w:name="_Toc30487"/>
      <w:bookmarkStart w:id="2262" w:name="_Toc23222"/>
      <w:bookmarkStart w:id="2263" w:name="_Toc21088"/>
      <w:bookmarkStart w:id="2264" w:name="_Toc5372"/>
      <w:bookmarkStart w:id="2265" w:name="_Toc30283"/>
      <w:bookmarkStart w:id="2266" w:name="_Toc21674"/>
      <w:bookmarkStart w:id="2267" w:name="_Toc17415"/>
      <w:bookmarkStart w:id="2268" w:name="_Toc8846"/>
      <w:bookmarkStart w:id="2269" w:name="_Toc26042"/>
      <w:bookmarkStart w:id="2270" w:name="_Toc921"/>
      <w:r>
        <w:rPr>
          <w:rFonts w:hint="eastAsia"/>
        </w:rPr>
        <w:t>（二）治安保卫制度</w:t>
      </w:r>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p>
    <w:p w14:paraId="05813342">
      <w:pPr>
        <w:ind w:firstLine="560"/>
      </w:pPr>
      <w:r>
        <w:rPr>
          <w:rFonts w:hint="eastAsia"/>
        </w:rPr>
        <w:t>1）贯彻落实上级公安机关制定的治安规章制度，项目经理部、施工单位齐抓共管，共同做好施工现场的治安保卫工作。</w:t>
      </w:r>
    </w:p>
    <w:p w14:paraId="3C48E01F">
      <w:pPr>
        <w:ind w:firstLine="560"/>
      </w:pPr>
      <w:r>
        <w:rPr>
          <w:rFonts w:hint="eastAsia"/>
        </w:rPr>
        <w:t>2）项目部要建立健全完善的治安保卫组织，由项目经理牵头定期开会分析组织检查、寻找漏洞、制定措施。</w:t>
      </w:r>
    </w:p>
    <w:p w14:paraId="72AEB782">
      <w:pPr>
        <w:ind w:firstLine="560"/>
      </w:pPr>
      <w:r>
        <w:rPr>
          <w:rFonts w:hint="eastAsia"/>
        </w:rPr>
        <w:t>3）制定切实可行的治安保卫制度，作到有章可循，重点部位重点人口形成文字档案，作到有据可查。</w:t>
      </w:r>
    </w:p>
    <w:p w14:paraId="48D023DD">
      <w:pPr>
        <w:ind w:firstLine="560"/>
      </w:pPr>
      <w:r>
        <w:rPr>
          <w:rFonts w:hint="eastAsia"/>
        </w:rPr>
        <w:t>4）项目部设立治安保卫值班制度，重大节假日重大活动期间主要领导要亲自值班。</w:t>
      </w:r>
    </w:p>
    <w:p w14:paraId="2B8B0C27">
      <w:pPr>
        <w:ind w:firstLine="560"/>
      </w:pPr>
      <w:r>
        <w:rPr>
          <w:rFonts w:hint="eastAsia"/>
        </w:rPr>
        <w:t>5）项目部、施工队、班组之间层层签订《治安包保责任书》，各自管好自家的门，管好自家的人。</w:t>
      </w:r>
    </w:p>
    <w:p w14:paraId="118A95CD">
      <w:pPr>
        <w:ind w:firstLine="560"/>
      </w:pPr>
      <w:r>
        <w:rPr>
          <w:rFonts w:hint="eastAsia"/>
        </w:rPr>
        <w:t>6）建立健全“两会一队”，发挥其职能及时解决问题，确保施工生产的顺利进行。</w:t>
      </w:r>
    </w:p>
    <w:p w14:paraId="5C968EA8">
      <w:pPr>
        <w:pStyle w:val="4"/>
        <w:spacing w:before="93" w:after="31"/>
      </w:pPr>
      <w:bookmarkStart w:id="2271" w:name="_Toc25952"/>
      <w:bookmarkStart w:id="2272" w:name="_Toc23340"/>
      <w:bookmarkStart w:id="2273" w:name="_Toc2778"/>
      <w:bookmarkStart w:id="2274" w:name="_Toc7891"/>
      <w:bookmarkStart w:id="2275" w:name="_Toc7207"/>
      <w:bookmarkStart w:id="2276" w:name="_Toc21948"/>
      <w:bookmarkStart w:id="2277" w:name="_Toc6093"/>
      <w:bookmarkStart w:id="2278" w:name="_Toc18315"/>
      <w:bookmarkStart w:id="2279" w:name="_Toc23961"/>
      <w:bookmarkStart w:id="2280" w:name="_Toc7329"/>
      <w:bookmarkStart w:id="2281" w:name="_Toc6867"/>
      <w:bookmarkStart w:id="2282" w:name="_Toc20241"/>
      <w:bookmarkStart w:id="2283" w:name="_Toc21740"/>
      <w:bookmarkStart w:id="2284" w:name="_Toc15326"/>
      <w:bookmarkStart w:id="2285" w:name="_Toc13846"/>
      <w:bookmarkStart w:id="2286" w:name="_Toc32517"/>
      <w:bookmarkStart w:id="2287" w:name="_Toc24920"/>
      <w:bookmarkStart w:id="2288" w:name="_Toc4533"/>
      <w:bookmarkStart w:id="2289" w:name="_Toc5861"/>
      <w:bookmarkStart w:id="2290" w:name="_Toc3286"/>
      <w:bookmarkStart w:id="2291" w:name="_Toc3607"/>
      <w:bookmarkStart w:id="2292" w:name="_Toc29604"/>
      <w:bookmarkStart w:id="2293" w:name="_Toc3117"/>
      <w:bookmarkStart w:id="2294" w:name="_Toc14585"/>
      <w:bookmarkStart w:id="2295" w:name="_Toc4137"/>
      <w:bookmarkStart w:id="2296" w:name="_Toc13801"/>
      <w:bookmarkStart w:id="2297" w:name="_Toc13450"/>
      <w:bookmarkStart w:id="2298" w:name="_Toc11618"/>
      <w:bookmarkStart w:id="2299" w:name="_Toc8665"/>
      <w:bookmarkStart w:id="2300" w:name="_Toc11988"/>
      <w:bookmarkStart w:id="2301" w:name="_Toc25486"/>
      <w:bookmarkStart w:id="2302" w:name="_Toc17418"/>
      <w:bookmarkStart w:id="2303" w:name="_Toc29781"/>
      <w:bookmarkStart w:id="2304" w:name="_Toc25233"/>
      <w:bookmarkStart w:id="2305" w:name="_Toc4452"/>
      <w:bookmarkStart w:id="2306" w:name="_Toc8187"/>
      <w:bookmarkStart w:id="2307" w:name="_Toc15501"/>
      <w:bookmarkStart w:id="2308" w:name="_Toc30473"/>
      <w:bookmarkStart w:id="2309" w:name="_Toc24221"/>
      <w:bookmarkStart w:id="2310" w:name="_Toc19392"/>
      <w:bookmarkStart w:id="2311" w:name="_Toc29226"/>
      <w:bookmarkStart w:id="2312" w:name="_Toc7259"/>
      <w:bookmarkStart w:id="2313" w:name="_Toc24033"/>
      <w:bookmarkStart w:id="2314" w:name="_Toc23162"/>
      <w:bookmarkStart w:id="2315" w:name="_Toc8366"/>
      <w:bookmarkStart w:id="2316" w:name="_Toc10308"/>
      <w:bookmarkStart w:id="2317" w:name="_Toc14570"/>
      <w:bookmarkStart w:id="2318" w:name="_Toc26879"/>
      <w:bookmarkStart w:id="2319" w:name="_Toc31203"/>
      <w:bookmarkStart w:id="2320" w:name="_Toc19890"/>
      <w:bookmarkStart w:id="2321" w:name="_Toc20378"/>
      <w:bookmarkStart w:id="2322" w:name="_Toc25363"/>
      <w:bookmarkStart w:id="2323" w:name="_Toc29733"/>
      <w:bookmarkStart w:id="2324" w:name="_Toc29243"/>
      <w:r>
        <w:rPr>
          <w:rFonts w:hint="eastAsia"/>
        </w:rPr>
        <w:t>八、施工现场伤亡事故预防方案及处理预案</w:t>
      </w:r>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p>
    <w:p w14:paraId="4AAC00EF">
      <w:pPr>
        <w:pStyle w:val="5"/>
        <w:spacing w:before="31" w:after="31"/>
        <w:ind w:firstLine="562"/>
      </w:pPr>
      <w:bookmarkStart w:id="2325" w:name="_Toc30555"/>
      <w:bookmarkStart w:id="2326" w:name="_Toc10722"/>
      <w:bookmarkStart w:id="2327" w:name="_Toc11639"/>
      <w:bookmarkStart w:id="2328" w:name="_Toc7966"/>
      <w:bookmarkStart w:id="2329" w:name="_Toc2459"/>
      <w:bookmarkStart w:id="2330" w:name="_Toc15588"/>
      <w:bookmarkStart w:id="2331" w:name="_Toc24940"/>
      <w:bookmarkStart w:id="2332" w:name="_Toc346"/>
      <w:bookmarkStart w:id="2333" w:name="_Toc8677"/>
      <w:bookmarkStart w:id="2334" w:name="_Toc7221"/>
      <w:bookmarkStart w:id="2335" w:name="_Toc18716"/>
      <w:bookmarkStart w:id="2336" w:name="_Toc20753"/>
      <w:bookmarkStart w:id="2337" w:name="_Toc1631"/>
      <w:bookmarkStart w:id="2338" w:name="_Toc24821"/>
      <w:bookmarkStart w:id="2339" w:name="_Toc21620"/>
      <w:bookmarkStart w:id="2340" w:name="_Toc16986"/>
      <w:bookmarkStart w:id="2341" w:name="_Toc6034"/>
      <w:bookmarkStart w:id="2342" w:name="_Toc25517"/>
      <w:bookmarkStart w:id="2343" w:name="_Toc14649"/>
      <w:bookmarkStart w:id="2344" w:name="_Toc2486"/>
      <w:bookmarkStart w:id="2345" w:name="_Toc7465"/>
      <w:bookmarkStart w:id="2346" w:name="_Toc17128"/>
      <w:bookmarkStart w:id="2347" w:name="_Toc30702"/>
      <w:bookmarkStart w:id="2348" w:name="_Toc1139"/>
      <w:bookmarkStart w:id="2349" w:name="_Toc2386"/>
      <w:bookmarkStart w:id="2350" w:name="_Toc26172"/>
      <w:bookmarkStart w:id="2351" w:name="_Toc25862"/>
      <w:bookmarkStart w:id="2352" w:name="_Toc16649"/>
      <w:bookmarkStart w:id="2353" w:name="_Toc26210"/>
      <w:bookmarkStart w:id="2354" w:name="_Toc29056"/>
      <w:bookmarkStart w:id="2355" w:name="_Toc18521"/>
      <w:bookmarkStart w:id="2356" w:name="_Toc3452"/>
      <w:bookmarkStart w:id="2357" w:name="_Toc6533"/>
      <w:bookmarkStart w:id="2358" w:name="_Toc15888"/>
      <w:bookmarkStart w:id="2359" w:name="_Toc1412"/>
      <w:bookmarkStart w:id="2360" w:name="_Toc1495"/>
      <w:bookmarkStart w:id="2361" w:name="_Toc26621"/>
      <w:bookmarkStart w:id="2362" w:name="_Toc6243"/>
      <w:bookmarkStart w:id="2363" w:name="_Toc11443"/>
      <w:bookmarkStart w:id="2364" w:name="_Toc9314"/>
      <w:bookmarkStart w:id="2365" w:name="_Toc12978"/>
      <w:bookmarkStart w:id="2366" w:name="_Toc16174"/>
      <w:bookmarkStart w:id="2367" w:name="_Toc23919"/>
      <w:bookmarkStart w:id="2368" w:name="_Toc18861"/>
      <w:bookmarkStart w:id="2369" w:name="_Toc20987"/>
      <w:bookmarkStart w:id="2370" w:name="_Toc18369"/>
      <w:bookmarkStart w:id="2371" w:name="_Toc27481"/>
      <w:bookmarkStart w:id="2372" w:name="_Toc21063"/>
      <w:bookmarkStart w:id="2373" w:name="_Toc31198"/>
      <w:bookmarkStart w:id="2374" w:name="_Toc14441"/>
      <w:bookmarkStart w:id="2375" w:name="_Toc30963"/>
      <w:r>
        <w:rPr>
          <w:rFonts w:hint="eastAsia"/>
        </w:rPr>
        <w:t>（一）预防施工现场伤亡事故方案</w:t>
      </w:r>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p>
    <w:p w14:paraId="09EABF59">
      <w:pPr>
        <w:ind w:firstLine="560"/>
      </w:pPr>
      <w:r>
        <w:rPr>
          <w:rFonts w:hint="eastAsia"/>
        </w:rPr>
        <w:t>1）为了确保安全，项目部完善了安全生产责任保证体系，分工合作、齐抓共管、各负其责，减少和杜绝事故隐患，消灭违章，消除因工伤亡事故的发生。</w:t>
      </w:r>
    </w:p>
    <w:p w14:paraId="11F7EF69">
      <w:pPr>
        <w:ind w:firstLine="560"/>
      </w:pPr>
      <w:r>
        <w:rPr>
          <w:rFonts w:hint="eastAsia"/>
        </w:rPr>
        <w:t>2）加强对项目全体员工施工队人员的安全法制教育、安全操作规程、技能教育、消防防火教育，提高全员的安全意识，熟悉和掌握安全操作规程。进入施工现场戴好安全帽，严禁吸烟，高空作业系好安全带。</w:t>
      </w:r>
    </w:p>
    <w:p w14:paraId="61EB73E3">
      <w:pPr>
        <w:ind w:firstLine="560"/>
      </w:pPr>
      <w:r>
        <w:rPr>
          <w:rFonts w:hint="eastAsia"/>
        </w:rPr>
        <w:t>3）加强安全检查，及时发现隐患及时防护，定人定位定时，责令整改复查，达到防范的目的,防护不到位禁止各类人员从事各种作业。</w:t>
      </w:r>
    </w:p>
    <w:p w14:paraId="46D5040F">
      <w:pPr>
        <w:ind w:firstLine="560"/>
      </w:pPr>
      <w:r>
        <w:rPr>
          <w:rFonts w:hint="eastAsia"/>
        </w:rPr>
        <w:t>4）加强防火、防煤气中毒、防触电。重点对电气焊工检查指导，严格动火手续，加强动火人员的消防知识、消防自救的能力。</w:t>
      </w:r>
    </w:p>
    <w:p w14:paraId="677F5269">
      <w:pPr>
        <w:ind w:firstLine="560"/>
      </w:pPr>
      <w:r>
        <w:rPr>
          <w:rFonts w:hint="eastAsia"/>
        </w:rPr>
        <w:t>5）加强机械管理，各种机械防护罩套，接地接零，小型手动电动工具插座、插头、漏保开关的管理，保证齐全有效，严禁出现无罩套、各种漏电保护不灵、无插头电线裸露的情况发生。</w:t>
      </w:r>
    </w:p>
    <w:p w14:paraId="69AAFE7B">
      <w:pPr>
        <w:ind w:firstLine="560"/>
      </w:pPr>
      <w:r>
        <w:rPr>
          <w:rFonts w:hint="eastAsia"/>
        </w:rPr>
        <w:t>6）加强对现场易燃易爆物品的管理，尤其是露天存放的物品有毒有害物品的管理及时回收，及时消除，佩带防护用具等保管人员要限额发料，剩余材料及时回收并分库存放，禁止与料具混放。</w:t>
      </w:r>
    </w:p>
    <w:p w14:paraId="5CABCD82">
      <w:pPr>
        <w:pStyle w:val="5"/>
        <w:spacing w:before="31" w:after="31"/>
        <w:ind w:firstLine="562"/>
      </w:pPr>
      <w:bookmarkStart w:id="2376" w:name="_Toc10440"/>
      <w:bookmarkStart w:id="2377" w:name="_Toc30946"/>
      <w:bookmarkStart w:id="2378" w:name="_Toc25563"/>
      <w:bookmarkStart w:id="2379" w:name="_Toc6905"/>
      <w:bookmarkStart w:id="2380" w:name="_Toc12873"/>
      <w:bookmarkStart w:id="2381" w:name="_Toc27634"/>
      <w:bookmarkStart w:id="2382" w:name="_Toc9331"/>
      <w:bookmarkStart w:id="2383" w:name="_Toc2126"/>
      <w:bookmarkStart w:id="2384" w:name="_Toc32214"/>
      <w:bookmarkStart w:id="2385" w:name="_Toc12960"/>
      <w:bookmarkStart w:id="2386" w:name="_Toc20363"/>
      <w:bookmarkStart w:id="2387" w:name="_Toc20834"/>
      <w:bookmarkStart w:id="2388" w:name="_Toc22452"/>
      <w:bookmarkStart w:id="2389" w:name="_Toc19639"/>
      <w:bookmarkStart w:id="2390" w:name="_Toc18184"/>
      <w:bookmarkStart w:id="2391" w:name="_Toc2054"/>
      <w:bookmarkStart w:id="2392" w:name="_Toc12737"/>
      <w:bookmarkStart w:id="2393" w:name="_Toc118"/>
      <w:bookmarkStart w:id="2394" w:name="_Toc2356"/>
      <w:bookmarkStart w:id="2395" w:name="_Toc30457"/>
      <w:bookmarkStart w:id="2396" w:name="_Toc22586"/>
      <w:bookmarkStart w:id="2397" w:name="_Toc30761"/>
      <w:bookmarkStart w:id="2398" w:name="_Toc3984"/>
      <w:bookmarkStart w:id="2399" w:name="_Toc14165"/>
      <w:bookmarkStart w:id="2400" w:name="_Toc4347"/>
      <w:bookmarkStart w:id="2401" w:name="_Toc17241"/>
      <w:bookmarkStart w:id="2402" w:name="_Toc7252"/>
      <w:bookmarkStart w:id="2403" w:name="_Toc11105"/>
      <w:bookmarkStart w:id="2404" w:name="_Toc10355"/>
      <w:bookmarkStart w:id="2405" w:name="_Toc21621"/>
      <w:bookmarkStart w:id="2406" w:name="_Toc31612"/>
      <w:bookmarkStart w:id="2407" w:name="_Toc23086"/>
      <w:bookmarkStart w:id="2408" w:name="_Toc14608"/>
      <w:bookmarkStart w:id="2409" w:name="_Toc13056"/>
      <w:bookmarkStart w:id="2410" w:name="_Toc5784"/>
      <w:bookmarkStart w:id="2411" w:name="_Toc17509"/>
      <w:bookmarkStart w:id="2412" w:name="_Toc28429"/>
      <w:bookmarkStart w:id="2413" w:name="_Toc9594"/>
      <w:bookmarkStart w:id="2414" w:name="_Toc17823"/>
      <w:bookmarkStart w:id="2415" w:name="_Toc31812"/>
      <w:bookmarkStart w:id="2416" w:name="_Toc27117"/>
      <w:bookmarkStart w:id="2417" w:name="_Toc4900"/>
      <w:bookmarkStart w:id="2418" w:name="_Toc1978"/>
      <w:bookmarkStart w:id="2419" w:name="_Toc318"/>
      <w:bookmarkStart w:id="2420" w:name="_Toc26086"/>
      <w:bookmarkStart w:id="2421" w:name="_Toc28582"/>
      <w:bookmarkStart w:id="2422" w:name="_Toc7615"/>
      <w:bookmarkStart w:id="2423" w:name="_Toc20452"/>
      <w:r>
        <w:rPr>
          <w:rFonts w:hint="eastAsia"/>
        </w:rPr>
        <w:t>（二）施工现场伤亡事故应急处理预案</w:t>
      </w:r>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p>
    <w:p w14:paraId="4DA2A2BB">
      <w:pPr>
        <w:ind w:firstLine="560"/>
      </w:pPr>
      <w:r>
        <w:rPr>
          <w:rFonts w:hint="eastAsia"/>
        </w:rPr>
        <w:t>为进一步搞好施工现场安全管理和安全保护工作，确保施工安全，尽量减少在突发事故时造成人员伤亡和财产的损失，特制定本预案：</w:t>
      </w:r>
    </w:p>
    <w:p w14:paraId="40711307">
      <w:pPr>
        <w:ind w:firstLine="560"/>
      </w:pPr>
      <w:r>
        <w:rPr>
          <w:rFonts w:hint="eastAsia"/>
        </w:rPr>
        <w:t>1）项目部成立以项目经理为组长的施工现场伤亡事故应急领导小组，全面负责施工现场施工范围内的事故应急响处理工作。</w:t>
      </w:r>
    </w:p>
    <w:p w14:paraId="30A39AA8">
      <w:pPr>
        <w:ind w:firstLine="560"/>
      </w:pPr>
      <w:r>
        <w:rPr>
          <w:rFonts w:hint="eastAsia"/>
        </w:rPr>
        <w:t>2）小组负责传达和贯彻有关法律、法规及其他要求的文件精神，定期或不定期对施工现场安全工作进行检查，督促各施工单位确实做好安全工作。</w:t>
      </w:r>
    </w:p>
    <w:p w14:paraId="2BC8BE1B">
      <w:pPr>
        <w:ind w:firstLine="560"/>
      </w:pPr>
      <w:r>
        <w:rPr>
          <w:rFonts w:hint="eastAsia"/>
        </w:rPr>
        <w:t>3）施工现场内一旦发生人员伤亡事故，最先发现人员要立即向项目经理报告，并同时带领现场应急领导小组成员，迅速赶赴出事地点，开展抢救工作，现场医务人员同时到场进行抢救。并按下列步骤进行处理：</w:t>
      </w:r>
    </w:p>
    <w:p w14:paraId="2AFDD479">
      <w:pPr>
        <w:ind w:firstLine="560"/>
      </w:pPr>
      <w:r>
        <w:rPr>
          <w:rFonts w:hint="eastAsia"/>
        </w:rPr>
        <w:t>（1）事故现场由项目经理统一指挥，所有应急小组成员一定要稳定情绪，沉着应战。</w:t>
      </w:r>
    </w:p>
    <w:p w14:paraId="4B99F70D">
      <w:pPr>
        <w:ind w:firstLine="560"/>
      </w:pPr>
      <w:r>
        <w:rPr>
          <w:rFonts w:hint="eastAsia"/>
        </w:rPr>
        <w:t>（2）施工现场事故应急领导小组成员，必须积极抢救受伤人员，明确分工，视事故情况，若事态严重，难以控制和处理时，专人负责拨打急救电话“120”，详细准确报告出事地点、单位、电话及事态情况，并在指定地点引导急救车辆；派专人保护事故现场、维护现场秩序，疏导人员迅速撤离，并保证救援通道的畅通，并向公司报案，向公安机关和当地劳动安全管理部门报告；同时要保护好出事现场，并制定可行措施，防止事故再次发生。</w:t>
      </w:r>
    </w:p>
    <w:p w14:paraId="25307AC4">
      <w:pPr>
        <w:ind w:firstLine="560"/>
      </w:pPr>
      <w:r>
        <w:rPr>
          <w:rFonts w:hint="eastAsia"/>
        </w:rPr>
        <w:t>（3）紧急情况下，调动项目部待命车辆及时将伤者送往医院救治，汽车司机保证车辆正常运转，随时待命护送。</w:t>
      </w:r>
    </w:p>
    <w:p w14:paraId="1D493D15">
      <w:pPr>
        <w:ind w:firstLine="560"/>
      </w:pPr>
      <w:r>
        <w:rPr>
          <w:rFonts w:hint="eastAsia"/>
        </w:rPr>
        <w:t>（4）材料室负责供应抢救、受灾物资。</w:t>
      </w:r>
    </w:p>
    <w:p w14:paraId="5EC1DF3A">
      <w:pPr>
        <w:ind w:firstLine="560"/>
      </w:pPr>
      <w:r>
        <w:rPr>
          <w:rFonts w:hint="eastAsia"/>
        </w:rPr>
        <w:t>4）积极配合公司事故调查小组的工作，认真查明事故原因，进行责任分析和认定，总结教训，再由项目工程部门和技术部门详细制定措施，杜绝类似事故的发生。</w:t>
      </w:r>
    </w:p>
    <w:p w14:paraId="3FABFCFB">
      <w:pPr>
        <w:ind w:firstLine="560"/>
      </w:pPr>
      <w:r>
        <w:rPr>
          <w:rFonts w:hint="eastAsia"/>
        </w:rPr>
        <w:t>5）协助公司事故善后工作小组工作，积极配合公司“事故调查小组”和“善后工作小组”的工作，查明事故原因，认真分析、总结教训，制定切实可行的措施，防止类似事故的再次发生，并妥善做好伤者家属的接待和善后处理安排工作。</w:t>
      </w:r>
    </w:p>
    <w:p w14:paraId="347182FB">
      <w:pPr>
        <w:ind w:firstLine="560"/>
      </w:pPr>
      <w:r>
        <w:rPr>
          <w:rFonts w:hint="eastAsia"/>
        </w:rPr>
        <w:t>6）夜间出现情况由项目部值班人员负责呼叫、救护并报告项目领导，做到及时抢救减小事故损失扩大的目的。同时负责保护现场及时报请上级有关部门调查处理，如实向上级反映事故经过，不得隐瞒和推脱，积极协助事故处理。</w:t>
      </w:r>
    </w:p>
    <w:p w14:paraId="60849FC9">
      <w:pPr>
        <w:pStyle w:val="4"/>
        <w:spacing w:before="93" w:after="31"/>
      </w:pPr>
      <w:bookmarkStart w:id="2424" w:name="_Toc27720"/>
      <w:bookmarkStart w:id="2425" w:name="_Toc14825"/>
      <w:bookmarkStart w:id="2426" w:name="_Toc32012"/>
      <w:bookmarkStart w:id="2427" w:name="_Toc16275"/>
      <w:bookmarkStart w:id="2428" w:name="_Toc24322"/>
      <w:bookmarkStart w:id="2429" w:name="_Toc2013"/>
      <w:bookmarkStart w:id="2430" w:name="_Toc7932"/>
      <w:bookmarkStart w:id="2431" w:name="_Toc30137"/>
      <w:bookmarkStart w:id="2432" w:name="_Toc4238"/>
      <w:bookmarkStart w:id="2433" w:name="_Toc25425"/>
      <w:bookmarkStart w:id="2434" w:name="_Toc20543"/>
      <w:bookmarkStart w:id="2435" w:name="_Toc25446"/>
      <w:bookmarkStart w:id="2436" w:name="_Toc20285"/>
      <w:bookmarkStart w:id="2437" w:name="_Toc26783"/>
      <w:bookmarkStart w:id="2438" w:name="_Toc17834"/>
      <w:bookmarkStart w:id="2439" w:name="_Toc26757"/>
      <w:bookmarkStart w:id="2440" w:name="_Toc4773"/>
      <w:bookmarkStart w:id="2441" w:name="_Toc27433"/>
      <w:bookmarkStart w:id="2442" w:name="_Toc29340"/>
      <w:bookmarkStart w:id="2443" w:name="_Toc11310"/>
      <w:bookmarkStart w:id="2444" w:name="_Toc25511"/>
      <w:bookmarkStart w:id="2445" w:name="_Toc13165"/>
      <w:bookmarkStart w:id="2446" w:name="_Toc11025"/>
      <w:bookmarkStart w:id="2447" w:name="_Toc16873"/>
      <w:bookmarkStart w:id="2448" w:name="_Toc7380"/>
      <w:bookmarkStart w:id="2449" w:name="_Toc10374"/>
      <w:bookmarkStart w:id="2450" w:name="_Toc28365"/>
      <w:bookmarkStart w:id="2451" w:name="_Toc28333"/>
      <w:bookmarkStart w:id="2452" w:name="_Toc27912"/>
      <w:bookmarkStart w:id="2453" w:name="_Toc3917"/>
      <w:bookmarkStart w:id="2454" w:name="_Toc3453"/>
      <w:bookmarkStart w:id="2455" w:name="_Toc4097"/>
      <w:bookmarkStart w:id="2456" w:name="_Toc795"/>
      <w:bookmarkStart w:id="2457" w:name="_Toc11616"/>
      <w:bookmarkStart w:id="2458" w:name="_Toc16671"/>
      <w:bookmarkStart w:id="2459" w:name="_Toc22116"/>
      <w:bookmarkStart w:id="2460" w:name="_Toc17414"/>
      <w:bookmarkStart w:id="2461" w:name="_Toc31573"/>
      <w:bookmarkStart w:id="2462" w:name="_Toc10716"/>
      <w:bookmarkStart w:id="2463" w:name="_Toc13087"/>
      <w:bookmarkStart w:id="2464" w:name="_Toc11836"/>
      <w:bookmarkStart w:id="2465" w:name="_Toc13651"/>
      <w:bookmarkStart w:id="2466" w:name="_Toc23893"/>
      <w:bookmarkStart w:id="2467" w:name="_Toc11167"/>
      <w:bookmarkStart w:id="2468" w:name="_Toc7683"/>
      <w:bookmarkStart w:id="2469" w:name="_Toc2750"/>
      <w:bookmarkStart w:id="2470" w:name="_Toc27916"/>
      <w:bookmarkStart w:id="2471" w:name="_Toc11899"/>
      <w:bookmarkStart w:id="2472" w:name="_Toc5302"/>
      <w:bookmarkStart w:id="2473" w:name="_Toc17645"/>
      <w:bookmarkStart w:id="2474" w:name="_Toc309"/>
      <w:bookmarkStart w:id="2475" w:name="_Toc13026"/>
      <w:bookmarkStart w:id="2476" w:name="_Toc21422"/>
      <w:r>
        <w:rPr>
          <w:rFonts w:hint="eastAsia"/>
        </w:rPr>
        <w:t>九、防雨、防雷、防火保证措施</w:t>
      </w:r>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p>
    <w:p w14:paraId="453AB8EF">
      <w:pPr>
        <w:pStyle w:val="5"/>
        <w:spacing w:before="31" w:after="31"/>
        <w:ind w:firstLine="562"/>
      </w:pPr>
      <w:bookmarkStart w:id="2477" w:name="_Toc14594"/>
      <w:bookmarkStart w:id="2478" w:name="_Toc18406"/>
      <w:bookmarkStart w:id="2479" w:name="_Toc7041"/>
      <w:bookmarkStart w:id="2480" w:name="_Toc2061"/>
      <w:bookmarkStart w:id="2481" w:name="_Toc19936"/>
      <w:bookmarkStart w:id="2482" w:name="_Toc22221"/>
      <w:bookmarkStart w:id="2483" w:name="_Toc16201"/>
      <w:bookmarkStart w:id="2484" w:name="_Toc28569"/>
      <w:bookmarkStart w:id="2485" w:name="_Toc19175"/>
      <w:bookmarkStart w:id="2486" w:name="_Toc20379"/>
      <w:bookmarkStart w:id="2487" w:name="_Toc16884"/>
      <w:bookmarkStart w:id="2488" w:name="_Toc9193"/>
      <w:bookmarkStart w:id="2489" w:name="_Toc20608"/>
      <w:bookmarkStart w:id="2490" w:name="_Toc4376"/>
      <w:bookmarkStart w:id="2491" w:name="_Toc32567"/>
      <w:bookmarkStart w:id="2492" w:name="_Toc415"/>
      <w:bookmarkStart w:id="2493" w:name="_Toc8170"/>
      <w:bookmarkStart w:id="2494" w:name="_Toc10412"/>
      <w:bookmarkStart w:id="2495" w:name="_Toc7428"/>
      <w:bookmarkStart w:id="2496" w:name="_Toc8801"/>
      <w:bookmarkStart w:id="2497" w:name="_Toc13792"/>
      <w:bookmarkStart w:id="2498" w:name="_Toc24419"/>
      <w:bookmarkStart w:id="2499" w:name="_Toc12994"/>
      <w:bookmarkStart w:id="2500" w:name="_Toc13670"/>
      <w:bookmarkStart w:id="2501" w:name="_Toc31664"/>
      <w:bookmarkStart w:id="2502" w:name="_Toc13179"/>
      <w:bookmarkStart w:id="2503" w:name="_Toc1785"/>
      <w:bookmarkStart w:id="2504" w:name="_Toc7624"/>
      <w:bookmarkStart w:id="2505" w:name="_Toc6892"/>
      <w:bookmarkStart w:id="2506" w:name="_Toc15102"/>
      <w:bookmarkStart w:id="2507" w:name="_Toc4080"/>
      <w:bookmarkStart w:id="2508" w:name="_Toc2074"/>
      <w:bookmarkStart w:id="2509" w:name="_Toc28999"/>
      <w:bookmarkStart w:id="2510" w:name="_Toc27526"/>
      <w:bookmarkStart w:id="2511" w:name="_Toc13078"/>
      <w:bookmarkStart w:id="2512" w:name="_Toc10555"/>
      <w:bookmarkStart w:id="2513" w:name="_Toc4658"/>
      <w:bookmarkStart w:id="2514" w:name="_Toc15048"/>
      <w:bookmarkStart w:id="2515" w:name="_Toc3517"/>
      <w:bookmarkStart w:id="2516" w:name="_Toc10391"/>
      <w:bookmarkStart w:id="2517" w:name="_Toc1509"/>
      <w:bookmarkStart w:id="2518" w:name="_Toc7550"/>
      <w:bookmarkStart w:id="2519" w:name="_Toc1691"/>
      <w:bookmarkStart w:id="2520" w:name="_Toc32098"/>
      <w:bookmarkStart w:id="2521" w:name="_Toc9599"/>
      <w:bookmarkStart w:id="2522" w:name="_Toc13072"/>
      <w:bookmarkStart w:id="2523" w:name="_Toc730"/>
      <w:r>
        <w:rPr>
          <w:rFonts w:hint="eastAsia"/>
        </w:rPr>
        <w:t>（一）雨季施工准备工作</w:t>
      </w:r>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574A73EF">
      <w:pPr>
        <w:ind w:firstLine="560"/>
      </w:pPr>
      <w:r>
        <w:rPr>
          <w:rFonts w:hint="eastAsia"/>
        </w:rPr>
        <w:t>成立防汛领导小组，制定防汛计划和雨季施工应急预案措。设天气预报员，负责收听和发布天气情况。</w:t>
      </w:r>
    </w:p>
    <w:p w14:paraId="6DBD0FE6">
      <w:pPr>
        <w:ind w:firstLine="560"/>
      </w:pPr>
      <w:r>
        <w:rPr>
          <w:rFonts w:hint="eastAsia"/>
        </w:rPr>
        <w:t>施工前，要认真组织有关人员分析雨季施工生产计划，根据雨季施工项目，编制雨季施工措施，所需材料要在雨季施工前准备好。</w:t>
      </w:r>
    </w:p>
    <w:p w14:paraId="5B5C7507">
      <w:pPr>
        <w:ind w:firstLine="560"/>
      </w:pPr>
      <w:r>
        <w:rPr>
          <w:rFonts w:hint="eastAsia"/>
        </w:rPr>
        <w:t>做好施工场地排水规划，按施工现场地势情况，在办公区周围、材料库、材料堆场、管沟附近挖好排水沟，并与外部排水沟连接，使雨水能及时汇入外部的雨水排水系统。易受雨水浸湿变质的材料、构配件应覆盖好或存入库中，并垫高摆放。</w:t>
      </w:r>
    </w:p>
    <w:p w14:paraId="52642442">
      <w:pPr>
        <w:ind w:firstLine="560"/>
      </w:pPr>
      <w:r>
        <w:rPr>
          <w:rFonts w:hint="eastAsia"/>
        </w:rPr>
        <w:t>现场管沟两旁设排水沟，保证不滑、不陷、不积水。清理现场障碍物，保持现场道路畅通。</w:t>
      </w:r>
    </w:p>
    <w:p w14:paraId="21506BD8">
      <w:pPr>
        <w:ind w:firstLine="560"/>
      </w:pPr>
      <w:r>
        <w:rPr>
          <w:rFonts w:hint="eastAsia"/>
        </w:rPr>
        <w:t>组织相关人员进行施工现场准备工作的全面检查，包括临时设施、临电、机械设备等项工作，对现场配电箱、闸箱、电缆临时支架等仔细检查，需加固的及时加固，缺盖、罩、门的及时补齐，确保用电安全。检查施工现场及生产生活基地的排水设施，疏通各种排水渠道，清理雨水排水口，保证雨天排水通畅。</w:t>
      </w:r>
    </w:p>
    <w:p w14:paraId="29BFEFB4">
      <w:pPr>
        <w:ind w:firstLine="560"/>
      </w:pPr>
      <w:r>
        <w:rPr>
          <w:rFonts w:hint="eastAsia"/>
        </w:rPr>
        <w:t>施工现场办公设施、仓库等临建设施要在雨季前进行全面检查，保证基础、道路不塌陷，房间不漏雨，场区不积水。</w:t>
      </w:r>
    </w:p>
    <w:p w14:paraId="629308A4">
      <w:pPr>
        <w:ind w:firstLine="560"/>
      </w:pPr>
      <w:r>
        <w:rPr>
          <w:rFonts w:hint="eastAsia"/>
        </w:rPr>
        <w:t>在雨季到来前，安全监督部门对避雷装置作一次全面检查，接地电阻一定要符合要求，确保防雷。</w:t>
      </w:r>
    </w:p>
    <w:p w14:paraId="1E983B16">
      <w:pPr>
        <w:ind w:firstLine="560"/>
      </w:pPr>
      <w:r>
        <w:rPr>
          <w:rFonts w:hint="eastAsia"/>
        </w:rPr>
        <w:t>施工现场孔洞要做好防雨措施，要采取措施防止被水浸泡。</w:t>
      </w:r>
    </w:p>
    <w:p w14:paraId="5F428573">
      <w:pPr>
        <w:ind w:firstLine="560"/>
      </w:pPr>
      <w:r>
        <w:rPr>
          <w:rFonts w:hint="eastAsia"/>
        </w:rPr>
        <w:t>室外电缆中间头、终端头制作要尽量选择晴朗无风的天气，敷设于潮湿场所的电线管路、管子连接处应做密封处理。</w:t>
      </w:r>
    </w:p>
    <w:p w14:paraId="7D86F0CF">
      <w:pPr>
        <w:ind w:firstLine="560"/>
      </w:pPr>
      <w:r>
        <w:rPr>
          <w:rFonts w:hint="eastAsia"/>
        </w:rPr>
        <w:t>回填土工作，在回填时应尽量避开下雨天，并采取一定的遮盖措施，防止发生塌陷事故。</w:t>
      </w:r>
    </w:p>
    <w:p w14:paraId="0D6C0AA5">
      <w:pPr>
        <w:ind w:firstLine="560"/>
      </w:pPr>
      <w:r>
        <w:rPr>
          <w:rFonts w:hint="eastAsia"/>
        </w:rPr>
        <w:t>防雨材料要有足够的储备，以保证工程的顺利进行。</w:t>
      </w:r>
    </w:p>
    <w:p w14:paraId="381AA1BC">
      <w:pPr>
        <w:ind w:firstLine="560"/>
      </w:pPr>
      <w:r>
        <w:rPr>
          <w:rFonts w:hint="eastAsia"/>
        </w:rPr>
        <w:t>雨季所需材料、设备和其他用品，如水泵、消防水带、草袋、塑料布、苫布等由材料部门提前准备，及时进行组织，水泵在使用前应进行检查，确保没有故障。</w:t>
      </w:r>
    </w:p>
    <w:p w14:paraId="4D586387">
      <w:pPr>
        <w:pStyle w:val="5"/>
        <w:spacing w:before="31" w:after="31"/>
        <w:ind w:firstLine="562"/>
      </w:pPr>
      <w:bookmarkStart w:id="2524" w:name="_Toc8390"/>
      <w:bookmarkStart w:id="2525" w:name="_Toc26412"/>
      <w:bookmarkStart w:id="2526" w:name="_Toc27422"/>
      <w:bookmarkStart w:id="2527" w:name="_Toc13323"/>
      <w:bookmarkStart w:id="2528" w:name="_Toc16894"/>
      <w:bookmarkStart w:id="2529" w:name="_Toc23160"/>
      <w:bookmarkStart w:id="2530" w:name="_Toc24700"/>
      <w:bookmarkStart w:id="2531" w:name="_Toc12861"/>
      <w:bookmarkStart w:id="2532" w:name="_Toc30214"/>
      <w:bookmarkStart w:id="2533" w:name="_Toc28162"/>
      <w:bookmarkStart w:id="2534" w:name="_Toc12437"/>
      <w:bookmarkStart w:id="2535" w:name="_Toc30918"/>
      <w:bookmarkStart w:id="2536" w:name="_Toc22070"/>
      <w:bookmarkStart w:id="2537" w:name="_Toc19490"/>
      <w:bookmarkStart w:id="2538" w:name="_Toc18717"/>
      <w:bookmarkStart w:id="2539" w:name="_Toc31462"/>
      <w:bookmarkStart w:id="2540" w:name="_Toc25498"/>
      <w:bookmarkStart w:id="2541" w:name="_Toc22246"/>
      <w:bookmarkStart w:id="2542" w:name="_Toc16227"/>
      <w:bookmarkStart w:id="2543" w:name="_Toc10280"/>
      <w:bookmarkStart w:id="2544" w:name="_Toc7410"/>
      <w:bookmarkStart w:id="2545" w:name="_Toc13419"/>
      <w:bookmarkStart w:id="2546" w:name="_Toc31454"/>
      <w:bookmarkStart w:id="2547" w:name="_Toc13743"/>
      <w:bookmarkStart w:id="2548" w:name="_Toc11756"/>
      <w:bookmarkStart w:id="2549" w:name="_Toc25209"/>
      <w:bookmarkStart w:id="2550" w:name="_Toc3726"/>
      <w:bookmarkStart w:id="2551" w:name="_Toc16310"/>
      <w:bookmarkStart w:id="2552" w:name="_Toc10421"/>
      <w:bookmarkStart w:id="2553" w:name="_Toc26910"/>
      <w:bookmarkStart w:id="2554" w:name="_Toc29562"/>
      <w:bookmarkStart w:id="2555" w:name="_Toc15568"/>
      <w:bookmarkStart w:id="2556" w:name="_Toc20041"/>
      <w:bookmarkStart w:id="2557" w:name="_Toc22703"/>
      <w:bookmarkStart w:id="2558" w:name="_Toc27401"/>
      <w:bookmarkStart w:id="2559" w:name="_Toc7438"/>
      <w:bookmarkStart w:id="2560" w:name="_Toc12498"/>
      <w:bookmarkStart w:id="2561" w:name="_Toc11369"/>
      <w:bookmarkStart w:id="2562" w:name="_Toc8786"/>
      <w:bookmarkStart w:id="2563" w:name="_Toc6198"/>
      <w:bookmarkStart w:id="2564" w:name="_Toc2092"/>
      <w:bookmarkStart w:id="2565" w:name="_Toc915"/>
      <w:bookmarkStart w:id="2566" w:name="_Toc23476"/>
      <w:bookmarkStart w:id="2567" w:name="_Toc13050"/>
      <w:bookmarkStart w:id="2568" w:name="_Toc9329"/>
      <w:bookmarkStart w:id="2569" w:name="_Toc26380"/>
      <w:r>
        <w:rPr>
          <w:rFonts w:hint="eastAsia"/>
        </w:rPr>
        <w:t>（二）雨季施工方案</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p>
    <w:p w14:paraId="788CEF45">
      <w:pPr>
        <w:ind w:firstLine="560"/>
      </w:pPr>
      <w:r>
        <w:t>1</w:t>
      </w:r>
      <w:r>
        <w:rPr>
          <w:rFonts w:hint="eastAsia"/>
        </w:rPr>
        <w:t>、雨季施工原则</w:t>
      </w:r>
    </w:p>
    <w:p w14:paraId="1771248A">
      <w:pPr>
        <w:pStyle w:val="18"/>
      </w:pPr>
      <w:r>
        <w:rPr>
          <w:lang w:val="en-US" w:bidi="ar-SA"/>
        </w:rPr>
        <w:drawing>
          <wp:inline distT="0" distB="0" distL="114300" distR="114300">
            <wp:extent cx="5269230" cy="3641725"/>
            <wp:effectExtent l="0" t="0" r="7620" b="0"/>
            <wp:docPr id="31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49"/>
                    <pic:cNvPicPr>
                      <a:picLocks noChangeAspect="1"/>
                    </pic:cNvPicPr>
                  </pic:nvPicPr>
                  <pic:blipFill>
                    <a:blip r:embed="rId11">
                      <a:grayscl/>
                    </a:blip>
                    <a:stretch>
                      <a:fillRect/>
                    </a:stretch>
                  </pic:blipFill>
                  <pic:spPr>
                    <a:xfrm>
                      <a:off x="0" y="0"/>
                      <a:ext cx="5269230" cy="3641725"/>
                    </a:xfrm>
                    <a:prstGeom prst="rect">
                      <a:avLst/>
                    </a:prstGeom>
                    <a:noFill/>
                    <a:ln>
                      <a:noFill/>
                    </a:ln>
                  </pic:spPr>
                </pic:pic>
              </a:graphicData>
            </a:graphic>
          </wp:inline>
        </w:drawing>
      </w:r>
    </w:p>
    <w:p w14:paraId="4233F2A6">
      <w:pPr>
        <w:pStyle w:val="18"/>
        <w:rPr>
          <w:u w:val="double"/>
          <w:lang w:val="en-US"/>
        </w:rPr>
      </w:pPr>
      <w:r>
        <w:rPr>
          <w:rFonts w:hint="eastAsia"/>
          <w:u w:val="double"/>
          <w:lang w:val="en-US"/>
        </w:rPr>
        <w:t>雨季安全检查</w:t>
      </w:r>
    </w:p>
    <w:p w14:paraId="1FBF8017">
      <w:pPr>
        <w:ind w:firstLine="560"/>
      </w:pPr>
      <w:r>
        <w:rPr>
          <w:rFonts w:hint="eastAsia"/>
        </w:rPr>
        <w:t>本工程施工周期基本上处于雨季中，施工任务繁重，为确保工程质量，搞好安全生产，保证各项计划指标任务的完成，必须从思想上、组织上、措施上、物资上尽早做好充分准备，做到思想落实、组织落实、措施落实、物资落实、汛期施工做到有备无患，雨季施工总的原则是</w:t>
      </w:r>
      <w:r>
        <w:t>“</w:t>
      </w:r>
      <w:r>
        <w:rPr>
          <w:rFonts w:hint="eastAsia"/>
        </w:rPr>
        <w:t>做好排水、挡水、防水工作</w:t>
      </w:r>
      <w:r>
        <w:t>”</w:t>
      </w:r>
      <w:r>
        <w:rPr>
          <w:rFonts w:hint="eastAsia"/>
        </w:rPr>
        <w:t>，总的要求是，小雨不间断施工，大雨期间暂停施工，大雨过后即可施工，暴雨过后不影响施工。</w:t>
      </w:r>
    </w:p>
    <w:p w14:paraId="31F2E835">
      <w:pPr>
        <w:ind w:firstLine="560"/>
      </w:pPr>
      <w:r>
        <w:t>2</w:t>
      </w:r>
      <w:r>
        <w:rPr>
          <w:rFonts w:hint="eastAsia"/>
        </w:rPr>
        <w:t>、施工准备</w:t>
      </w:r>
    </w:p>
    <w:p w14:paraId="414FC153">
      <w:pPr>
        <w:ind w:firstLine="560"/>
      </w:pPr>
      <w:r>
        <w:rPr>
          <w:rFonts w:hint="eastAsia"/>
        </w:rPr>
        <w:t>（</w:t>
      </w:r>
      <w:r>
        <w:t>1</w:t>
      </w:r>
      <w:r>
        <w:rPr>
          <w:rFonts w:hint="eastAsia"/>
        </w:rPr>
        <w:t>）组织准备</w:t>
      </w:r>
    </w:p>
    <w:p w14:paraId="34EBB1D1">
      <w:pPr>
        <w:ind w:firstLine="560"/>
      </w:pPr>
      <w:r>
        <w:rPr>
          <w:rFonts w:hint="eastAsia"/>
        </w:rPr>
        <w:t>为了保证在雨季施工期间，在发生大雨、暴雨天气等险情时，能够及时组织人员进行抢险救灾，成立雨季施工领导小组。</w:t>
      </w:r>
    </w:p>
    <w:p w14:paraId="4B5209E4">
      <w:pPr>
        <w:ind w:firstLine="560"/>
      </w:pPr>
      <w:r>
        <w:rPr>
          <w:rFonts w:hint="eastAsia"/>
        </w:rPr>
        <w:t>（2）材料准备</w:t>
      </w:r>
    </w:p>
    <w:p w14:paraId="060DF89E">
      <w:pPr>
        <w:ind w:firstLine="560"/>
      </w:pPr>
      <w:r>
        <w:rPr>
          <w:rFonts w:hint="eastAsia"/>
        </w:rPr>
        <w:t>雨衣雨裤、雨鞋、污水泵、塑料布、铁锹</w:t>
      </w:r>
    </w:p>
    <w:p w14:paraId="09085DF7">
      <w:pPr>
        <w:ind w:firstLine="560"/>
      </w:pPr>
      <w:r>
        <w:rPr>
          <w:rFonts w:hint="eastAsia"/>
        </w:rPr>
        <w:t>（</w:t>
      </w:r>
      <w:r>
        <w:t>3</w:t>
      </w:r>
      <w:r>
        <w:rPr>
          <w:rFonts w:hint="eastAsia"/>
        </w:rPr>
        <w:t>）技术准备</w:t>
      </w:r>
    </w:p>
    <w:p w14:paraId="731F924B">
      <w:pPr>
        <w:ind w:firstLine="560"/>
      </w:pPr>
      <w:r>
        <w:rPr>
          <w:rFonts w:hint="eastAsia"/>
        </w:rPr>
        <w:t>雨季到来之前，组织有关人员按照方案要求进行技术交底，提出雨施计划，为施工提供技术准备。</w:t>
      </w:r>
    </w:p>
    <w:p w14:paraId="1F22324F">
      <w:pPr>
        <w:ind w:firstLine="560"/>
      </w:pPr>
      <w:r>
        <w:rPr>
          <w:rFonts w:hint="eastAsia"/>
        </w:rPr>
        <w:t>（</w:t>
      </w:r>
      <w:r>
        <w:t>4</w:t>
      </w:r>
      <w:r>
        <w:rPr>
          <w:rFonts w:hint="eastAsia"/>
        </w:rPr>
        <w:t>）现场准备</w:t>
      </w:r>
    </w:p>
    <w:p w14:paraId="593FE0C0">
      <w:pPr>
        <w:ind w:firstLine="560"/>
      </w:pPr>
      <w:r>
        <w:rPr>
          <w:rFonts w:hint="eastAsia"/>
        </w:rPr>
        <w:t>雨季施工前，整理好施工现场。由于现场施工、运输破坏的现场排水坡度重新整好，清理施工现场的排水沟，保证排水畅通。检查场内外的排水设施，确保排水设备完好，以保证暴雨后能在较短的时间排出积水。</w:t>
      </w:r>
    </w:p>
    <w:p w14:paraId="63025A6A">
      <w:pPr>
        <w:ind w:firstLine="560"/>
      </w:pPr>
      <w:r>
        <w:rPr>
          <w:rFonts w:hint="eastAsia"/>
        </w:rPr>
        <w:t>施工现场道路进行硬化处理，做到路面坚实平整，不沉陷、不积水、行车不打滑、不颠簸。路边设置</w:t>
      </w:r>
      <w:r>
        <w:t>200</w:t>
      </w:r>
      <w:r>
        <w:rPr>
          <w:rFonts w:hint="eastAsia"/>
        </w:rPr>
        <w:t>㎜</w:t>
      </w:r>
      <w:r>
        <w:t>×300</w:t>
      </w:r>
      <w:r>
        <w:rPr>
          <w:rFonts w:hint="eastAsia"/>
        </w:rPr>
        <w:t>㎜的排水沟，沟底向道路雨水管方向设不小于</w:t>
      </w:r>
      <w:r>
        <w:t>5‰</w:t>
      </w:r>
      <w:r>
        <w:rPr>
          <w:rFonts w:hint="eastAsia"/>
        </w:rPr>
        <w:t>的流水坡度。雨水有组织排入道路雨水管网，防止地表水向土层渗漏影响边坡稳定。</w:t>
      </w:r>
    </w:p>
    <w:p w14:paraId="319CFE07">
      <w:pPr>
        <w:ind w:firstLine="560"/>
      </w:pPr>
      <w:r>
        <w:rPr>
          <w:rFonts w:hint="eastAsia"/>
        </w:rPr>
        <w:t>材料堆放场地进行夯实，并高于现场地面</w:t>
      </w:r>
      <w:r>
        <w:t>200mm</w:t>
      </w:r>
      <w:r>
        <w:rPr>
          <w:rFonts w:hint="eastAsia"/>
        </w:rPr>
        <w:t>，用垫木将材料架起，以免雨水浸泡。检查施工现场仓库、加工棚等的防雨情况，保证现场内棚库不渗漏。</w:t>
      </w:r>
    </w:p>
    <w:p w14:paraId="1844F31C">
      <w:pPr>
        <w:ind w:firstLine="560"/>
      </w:pPr>
      <w:r>
        <w:rPr>
          <w:rFonts w:hint="eastAsia"/>
        </w:rPr>
        <w:t>检查现场各种机具、设备的防雨设施，机电设备机座均垫高，不得直接放置在地面上，以免雨水浸泡。漏点接地保护装置应灵敏有效，雨季施工前检查线路的绝缘情况，做好记录，雨施期间定期检查。</w:t>
      </w:r>
    </w:p>
    <w:p w14:paraId="27F5D987">
      <w:pPr>
        <w:ind w:firstLine="560"/>
      </w:pPr>
      <w:r>
        <w:t>3</w:t>
      </w:r>
      <w:r>
        <w:rPr>
          <w:rFonts w:hint="eastAsia"/>
        </w:rPr>
        <w:t>、雨季施工技术措施</w:t>
      </w:r>
    </w:p>
    <w:p w14:paraId="7C72876B">
      <w:pPr>
        <w:ind w:firstLine="560"/>
      </w:pPr>
      <w:r>
        <w:rPr>
          <w:rFonts w:hint="eastAsia"/>
        </w:rPr>
        <w:t>（</w:t>
      </w:r>
      <w:r>
        <w:t>1</w:t>
      </w:r>
      <w:r>
        <w:rPr>
          <w:rFonts w:hint="eastAsia"/>
        </w:rPr>
        <w:t>）管沟防雨与排水</w:t>
      </w:r>
    </w:p>
    <w:p w14:paraId="659CC99F">
      <w:pPr>
        <w:ind w:firstLine="560"/>
      </w:pPr>
      <w:r>
        <w:rPr>
          <w:rFonts w:hint="eastAsia"/>
        </w:rPr>
        <w:t>在管沟的两端砌筑净尺寸</w:t>
      </w:r>
      <w:r>
        <w:t>500mm×500mm×500mm</w:t>
      </w:r>
      <w:r>
        <w:rPr>
          <w:rFonts w:hint="eastAsia"/>
        </w:rPr>
        <w:t>的集水坑，内侧抹灰，槽底操作面向集水坑方向设</w:t>
      </w:r>
      <w:r>
        <w:t>2‰</w:t>
      </w:r>
      <w:r>
        <w:rPr>
          <w:rFonts w:hint="eastAsia"/>
        </w:rPr>
        <w:t>的流水坡度，操作面严禁堆放材料、杂物影响排水通畅。下雨时配备水泵进行集水坑排水，并将水排到地面上的排水沟中。</w:t>
      </w:r>
    </w:p>
    <w:p w14:paraId="34A91B24">
      <w:pPr>
        <w:ind w:firstLine="560"/>
      </w:pPr>
      <w:r>
        <w:rPr>
          <w:rFonts w:hint="eastAsia"/>
        </w:rPr>
        <w:t>（</w:t>
      </w:r>
      <w:r>
        <w:t>2</w:t>
      </w:r>
      <w:r>
        <w:rPr>
          <w:rFonts w:hint="eastAsia"/>
        </w:rPr>
        <w:t>）砂堆场</w:t>
      </w:r>
    </w:p>
    <w:p w14:paraId="46F1A7BA">
      <w:pPr>
        <w:ind w:firstLine="560"/>
      </w:pPr>
      <w:r>
        <w:rPr>
          <w:rFonts w:hint="eastAsia"/>
        </w:rPr>
        <w:t>砂堆场要有良好的排水措施，防止下雨时泥土流入砂场内。采取防雨遮盖措施，防止下雨时石英砂淋雨受潮影响喷砂除锈效果。</w:t>
      </w:r>
    </w:p>
    <w:p w14:paraId="1215C71E">
      <w:pPr>
        <w:ind w:firstLine="560"/>
      </w:pPr>
      <w:r>
        <w:rPr>
          <w:rFonts w:hint="eastAsia"/>
        </w:rPr>
        <w:t>（</w:t>
      </w:r>
      <w:r>
        <w:t>3</w:t>
      </w:r>
      <w:r>
        <w:rPr>
          <w:rFonts w:hint="eastAsia"/>
        </w:rPr>
        <w:t>）管道安装</w:t>
      </w:r>
    </w:p>
    <w:p w14:paraId="78BCEEB7">
      <w:pPr>
        <w:ind w:firstLine="560"/>
      </w:pPr>
      <w:r>
        <w:rPr>
          <w:rFonts w:hint="eastAsia"/>
        </w:rPr>
        <w:t>下雨天气下无防护措施时，禁止进行管道安装作业。</w:t>
      </w:r>
    </w:p>
    <w:p w14:paraId="1EBC8007">
      <w:pPr>
        <w:ind w:firstLine="560"/>
      </w:pPr>
      <w:r>
        <w:rPr>
          <w:rFonts w:hint="eastAsia"/>
        </w:rPr>
        <w:t>（</w:t>
      </w:r>
      <w:r>
        <w:t>4</w:t>
      </w:r>
      <w:r>
        <w:rPr>
          <w:rFonts w:hint="eastAsia"/>
        </w:rPr>
        <w:t>）回填土施工</w:t>
      </w:r>
    </w:p>
    <w:p w14:paraId="40105AE6">
      <w:pPr>
        <w:ind w:firstLine="560"/>
      </w:pPr>
      <w:r>
        <w:rPr>
          <w:rFonts w:hint="eastAsia"/>
        </w:rPr>
        <w:t>回填土应连续进行，尽快完成。施工中注意雨情，雨前应及时夯完已填土层，并做成一定坡势，以利排除雨水。</w:t>
      </w:r>
    </w:p>
    <w:p w14:paraId="1C90EDA8">
      <w:pPr>
        <w:ind w:firstLine="560"/>
      </w:pPr>
      <w:r>
        <w:rPr>
          <w:rFonts w:hint="eastAsia"/>
        </w:rPr>
        <w:t>雨期土方回填施工应严格控制回填土的含水率，及时取样试验，将回填土的含水量控制在设计要求范围内，如含水量偏高，可采用翻松、晾晒或均匀掺入干土等措施；必要时应事先对土源加以覆盖，避免出现</w:t>
      </w:r>
      <w:r>
        <w:t>“</w:t>
      </w:r>
      <w:r>
        <w:rPr>
          <w:rFonts w:hint="eastAsia"/>
        </w:rPr>
        <w:t>橡皮土</w:t>
      </w:r>
      <w:r>
        <w:t>”</w:t>
      </w:r>
      <w:r>
        <w:rPr>
          <w:rFonts w:hint="eastAsia"/>
        </w:rPr>
        <w:t>。</w:t>
      </w:r>
    </w:p>
    <w:p w14:paraId="12348D0D">
      <w:pPr>
        <w:ind w:firstLine="560"/>
      </w:pPr>
      <w:r>
        <w:rPr>
          <w:rFonts w:hint="eastAsia"/>
        </w:rPr>
        <w:t>当回填土被雨水浸泡或出现</w:t>
      </w:r>
      <w:r>
        <w:t>“</w:t>
      </w:r>
      <w:r>
        <w:rPr>
          <w:rFonts w:hint="eastAsia"/>
        </w:rPr>
        <w:t>橡皮土</w:t>
      </w:r>
      <w:r>
        <w:t>”</w:t>
      </w:r>
      <w:r>
        <w:rPr>
          <w:rFonts w:hint="eastAsia"/>
        </w:rPr>
        <w:t>时，应挖出晾晒后重新回填。</w:t>
      </w:r>
    </w:p>
    <w:p w14:paraId="26128287">
      <w:pPr>
        <w:ind w:firstLine="560"/>
      </w:pPr>
      <w:r>
        <w:rPr>
          <w:rFonts w:hint="eastAsia"/>
        </w:rPr>
        <w:t>（</w:t>
      </w:r>
      <w:r>
        <w:t>6</w:t>
      </w:r>
      <w:r>
        <w:rPr>
          <w:rFonts w:hint="eastAsia"/>
        </w:rPr>
        <w:t>）钢筋工程</w:t>
      </w:r>
    </w:p>
    <w:p w14:paraId="394946F5">
      <w:pPr>
        <w:ind w:firstLine="560"/>
      </w:pPr>
      <w:r>
        <w:rPr>
          <w:rFonts w:hint="eastAsia"/>
        </w:rPr>
        <w:t>对加工好的钢筋要用塑料布覆盖，防止雨水对钢筋产生锈蚀，堆放钢筋用</w:t>
      </w:r>
      <w:r>
        <w:t>250mm</w:t>
      </w:r>
      <w:r>
        <w:rPr>
          <w:rFonts w:hint="eastAsia"/>
        </w:rPr>
        <w:t>高木方支垫，堆放地势高于周围地面，防止积水浸泡和泥土污染钢筋。</w:t>
      </w:r>
    </w:p>
    <w:p w14:paraId="606BA2AB">
      <w:pPr>
        <w:ind w:firstLine="560"/>
      </w:pPr>
      <w:r>
        <w:rPr>
          <w:rFonts w:hint="eastAsia"/>
        </w:rPr>
        <w:t>进现场的钢筋要堆码整齐，下雨时盖塑料布进行保护，加工钢筋尽量利用无雨天气进行。</w:t>
      </w:r>
    </w:p>
    <w:p w14:paraId="623ED2AD">
      <w:pPr>
        <w:ind w:firstLine="560"/>
      </w:pPr>
      <w:r>
        <w:rPr>
          <w:rFonts w:hint="eastAsia"/>
        </w:rPr>
        <w:t>（</w:t>
      </w:r>
      <w:r>
        <w:t>7</w:t>
      </w:r>
      <w:r>
        <w:rPr>
          <w:rFonts w:hint="eastAsia"/>
        </w:rPr>
        <w:t>）模板工程</w:t>
      </w:r>
    </w:p>
    <w:p w14:paraId="164D962C">
      <w:pPr>
        <w:ind w:firstLine="560"/>
      </w:pPr>
      <w:r>
        <w:rPr>
          <w:rFonts w:hint="eastAsia"/>
        </w:rPr>
        <w:t>模板存放场地应进行硬化处理，并设置排水坡度，将雨水及时排到排水沟内，防止场地内积水。</w:t>
      </w:r>
    </w:p>
    <w:p w14:paraId="10ED99DB">
      <w:pPr>
        <w:ind w:firstLine="560"/>
      </w:pPr>
      <w:r>
        <w:rPr>
          <w:rFonts w:hint="eastAsia"/>
        </w:rPr>
        <w:t>模板堆放其自稳角要符合要求（</w:t>
      </w:r>
      <w:r>
        <w:t>75</w:t>
      </w:r>
      <w:r>
        <w:rPr>
          <w:rFonts w:hint="eastAsia"/>
        </w:rPr>
        <w:t>～</w:t>
      </w:r>
      <w:r>
        <w:t>80°</w:t>
      </w:r>
      <w:r>
        <w:rPr>
          <w:rFonts w:hint="eastAsia"/>
        </w:rPr>
        <w:t>）</w:t>
      </w:r>
      <w:r>
        <w:t>,</w:t>
      </w:r>
      <w:r>
        <w:rPr>
          <w:rFonts w:hint="eastAsia"/>
        </w:rPr>
        <w:t>吊装、运输、装拆、存放，必须稳固可靠。模板安装就位后，应设专人负责将钢模板串联，接通地线，防止漏电伤人。</w:t>
      </w:r>
    </w:p>
    <w:p w14:paraId="00F1C51C">
      <w:pPr>
        <w:ind w:firstLine="560"/>
      </w:pPr>
      <w:r>
        <w:rPr>
          <w:rFonts w:hint="eastAsia"/>
        </w:rPr>
        <w:t>（</w:t>
      </w:r>
      <w:r>
        <w:t>8</w:t>
      </w:r>
      <w:r>
        <w:rPr>
          <w:rFonts w:hint="eastAsia"/>
        </w:rPr>
        <w:t>）混凝土工程</w:t>
      </w:r>
    </w:p>
    <w:p w14:paraId="11C2AB44">
      <w:pPr>
        <w:ind w:firstLine="560"/>
      </w:pPr>
      <w:r>
        <w:rPr>
          <w:rFonts w:hint="eastAsia"/>
        </w:rPr>
        <w:t>混凝土浇筑前应及时了解天气预报，尽量利用非雨天气组织施工。如果在混凝土浇筑过程中遇雨，应急时用塑料布或雨布遮盖，因工程抢工必须浇筑混凝土，应采取搭棚遮盖措施，并合理留设施工缝。</w:t>
      </w:r>
    </w:p>
    <w:p w14:paraId="7F321468">
      <w:pPr>
        <w:ind w:firstLine="560"/>
      </w:pPr>
      <w:r>
        <w:rPr>
          <w:rFonts w:hint="eastAsia"/>
        </w:rPr>
        <w:t>雨后接缝时应凿掉被雨水浸泡冲刷过的松散混凝土，继续浇筑混凝土时应按施工缝处理。</w:t>
      </w:r>
    </w:p>
    <w:p w14:paraId="0A999B16">
      <w:pPr>
        <w:ind w:firstLine="560"/>
      </w:pPr>
      <w:r>
        <w:rPr>
          <w:rFonts w:hint="eastAsia"/>
        </w:rPr>
        <w:t>混凝土浇筑后，未达到初凝如遇下雨应及时用塑料布遮盖，防止雨淋。</w:t>
      </w:r>
    </w:p>
    <w:p w14:paraId="63E2FD38">
      <w:pPr>
        <w:ind w:firstLine="560"/>
      </w:pPr>
      <w:r>
        <w:rPr>
          <w:rFonts w:hint="eastAsia"/>
        </w:rPr>
        <w:t>如果浇筑的混凝土在终凝前受到雨水冲刷或浸泡，使其表面遭到破坏，应将这部分混凝土及时砸至密实层，再进行修补处理。</w:t>
      </w:r>
    </w:p>
    <w:p w14:paraId="7BD33AF0">
      <w:pPr>
        <w:ind w:firstLine="560"/>
      </w:pPr>
      <w:r>
        <w:rPr>
          <w:rFonts w:hint="eastAsia"/>
        </w:rPr>
        <w:t>（</w:t>
      </w:r>
      <w:r>
        <w:t>9</w:t>
      </w:r>
      <w:r>
        <w:rPr>
          <w:rFonts w:hint="eastAsia"/>
        </w:rPr>
        <w:t>）砂浆搅拌</w:t>
      </w:r>
    </w:p>
    <w:p w14:paraId="358B72D4">
      <w:pPr>
        <w:ind w:firstLine="560"/>
      </w:pPr>
      <w:r>
        <w:rPr>
          <w:rFonts w:hint="eastAsia"/>
        </w:rPr>
        <w:t>水泥应入库存放，库内地面应砌筑高于室外地面</w:t>
      </w:r>
      <w:r>
        <w:t>300mm</w:t>
      </w:r>
      <w:r>
        <w:rPr>
          <w:rFonts w:hint="eastAsia"/>
        </w:rPr>
        <w:t>的砖地垄墙，在墙上铺脚手板，铺垫油毡，防止水泥受潮。水泥库四周要进行有效维护，并挖好排水沟，防止雨水流入库内。</w:t>
      </w:r>
    </w:p>
    <w:p w14:paraId="40D45D4E">
      <w:pPr>
        <w:ind w:firstLine="560"/>
      </w:pPr>
      <w:r>
        <w:rPr>
          <w:rFonts w:hint="eastAsia"/>
        </w:rPr>
        <w:t>砂石堆场要有良好的排水措施，防止下雨时泥土流入砂场内。</w:t>
      </w:r>
    </w:p>
    <w:p w14:paraId="7BFF8ACC">
      <w:pPr>
        <w:ind w:firstLine="560"/>
      </w:pPr>
      <w:r>
        <w:rPr>
          <w:rFonts w:hint="eastAsia"/>
        </w:rPr>
        <w:t>砂浆搅拌应集中，搅拌站应搭设防雨棚，运送砂浆的车辆要作防雨盖以防雨水进入砂浆内。</w:t>
      </w:r>
    </w:p>
    <w:p w14:paraId="05895232">
      <w:pPr>
        <w:ind w:firstLine="560"/>
      </w:pPr>
      <w:r>
        <w:t>4</w:t>
      </w:r>
      <w:r>
        <w:rPr>
          <w:rFonts w:hint="eastAsia"/>
        </w:rPr>
        <w:t>、雨天防雷</w:t>
      </w:r>
    </w:p>
    <w:p w14:paraId="5ACE7E57">
      <w:pPr>
        <w:ind w:firstLine="560"/>
      </w:pPr>
      <w:r>
        <w:rPr>
          <w:rFonts w:hint="eastAsia"/>
        </w:rPr>
        <w:t>雷雨天气应避免安排工作，防止雷电直接伤人。</w:t>
      </w:r>
    </w:p>
    <w:p w14:paraId="318ECEDF">
      <w:pPr>
        <w:ind w:firstLine="560"/>
      </w:pPr>
      <w:r>
        <w:t>5</w:t>
      </w:r>
      <w:r>
        <w:rPr>
          <w:rFonts w:hint="eastAsia"/>
        </w:rPr>
        <w:t>、机电设备防雨措施</w:t>
      </w:r>
    </w:p>
    <w:p w14:paraId="5BE31C85">
      <w:pPr>
        <w:ind w:firstLine="560"/>
      </w:pPr>
      <w:r>
        <w:rPr>
          <w:rFonts w:hint="eastAsia"/>
        </w:rPr>
        <w:t>在雨季到来之前，必须做好机电设备的防雨、防淹、防潮、防霉、防锈蚀、防漏电、防雷击等项措施，管好、用好施工现场机电设备，确保施工任务的顺利完成。</w:t>
      </w:r>
    </w:p>
    <w:p w14:paraId="598D3CA6">
      <w:pPr>
        <w:ind w:firstLine="560"/>
      </w:pPr>
      <w:r>
        <w:rPr>
          <w:rFonts w:hint="eastAsia"/>
        </w:rPr>
        <w:t>对露天放置的机电设备要防雨、防潮，对其机械螺栓、轴承部分要经常加油并转动以防锈蚀，所有机电设备都要严格执行</w:t>
      </w:r>
      <w:r>
        <w:t>“</w:t>
      </w:r>
      <w:r>
        <w:rPr>
          <w:rFonts w:hint="eastAsia"/>
        </w:rPr>
        <w:t>一机一闸一保护</w:t>
      </w:r>
      <w:r>
        <w:t>”</w:t>
      </w:r>
      <w:r>
        <w:rPr>
          <w:rFonts w:hint="eastAsia"/>
        </w:rPr>
        <w:t>制度，投入使用前必须做好保护电流的测试，严格控制在允许范围内。在现场的高处加装避雷针，施工现场的低压配电室应将进出线绝缘子铁脚与配</w:t>
      </w:r>
    </w:p>
    <w:p w14:paraId="54BAA666">
      <w:pPr>
        <w:ind w:firstLine="560"/>
      </w:pPr>
      <w:r>
        <w:rPr>
          <w:rFonts w:hint="eastAsia"/>
        </w:rPr>
        <w:t>电室的接地装置相连接，作防雷接地，以防雷电波侵入。</w:t>
      </w:r>
    </w:p>
    <w:p w14:paraId="46E4AC5F">
      <w:pPr>
        <w:ind w:firstLine="560"/>
      </w:pPr>
      <w:r>
        <w:rPr>
          <w:rFonts w:hint="eastAsia"/>
        </w:rPr>
        <w:t>在施工现场比较固定的机电设备（如焊机等）要搭设防雨棚或对电机加防雨罩，不允许用塑料布包裹。</w:t>
      </w:r>
    </w:p>
    <w:p w14:paraId="04FA53AB">
      <w:pPr>
        <w:ind w:firstLine="560"/>
      </w:pPr>
      <w:r>
        <w:rPr>
          <w:rFonts w:hint="eastAsia"/>
        </w:rPr>
        <w:t>对于变压器，避雷器的接地电阻值必须进行复测</w:t>
      </w:r>
      <w:r>
        <w:t>(</w:t>
      </w:r>
      <w:r>
        <w:rPr>
          <w:rFonts w:hint="eastAsia"/>
        </w:rPr>
        <w:t>电阻值不大于</w:t>
      </w:r>
      <w:r>
        <w:t>4</w:t>
      </w:r>
      <w:r>
        <w:rPr>
          <w:rFonts w:hint="eastAsia"/>
        </w:rPr>
        <w:t>欧姆</w:t>
      </w:r>
      <w:r>
        <w:t>)</w:t>
      </w:r>
      <w:r>
        <w:rPr>
          <w:rFonts w:hint="eastAsia"/>
        </w:rPr>
        <w:t>，不符合要求的必须及时处理。对于避雷器要作一次预防性试验。</w:t>
      </w:r>
    </w:p>
    <w:p w14:paraId="24AC156E">
      <w:pPr>
        <w:ind w:firstLine="560"/>
      </w:pPr>
      <w:r>
        <w:rPr>
          <w:rFonts w:hint="eastAsia"/>
        </w:rPr>
        <w:t>电气设备的使用、电气线路的架设必须严格按照临时用电措施执行。</w:t>
      </w:r>
    </w:p>
    <w:p w14:paraId="797356A9">
      <w:pPr>
        <w:ind w:firstLine="560"/>
      </w:pPr>
      <w:r>
        <w:rPr>
          <w:rFonts w:hint="eastAsia"/>
        </w:rPr>
        <w:t>各种机械的电器开关，要有防雨、防潮设施。</w:t>
      </w:r>
    </w:p>
    <w:p w14:paraId="7A6A635E">
      <w:pPr>
        <w:ind w:firstLine="560"/>
      </w:pPr>
      <w:r>
        <w:rPr>
          <w:rFonts w:hint="eastAsia"/>
        </w:rPr>
        <w:t>雨后对各种机电设备、临时线路等进行巡视检查，如发生倾斜、变形、下沉、漏电等迹象，应立即标志危险警示并及时修理加固，有严重危险的立即停电停工处理。</w:t>
      </w:r>
    </w:p>
    <w:p w14:paraId="03546480">
      <w:pPr>
        <w:ind w:firstLine="560"/>
      </w:pPr>
      <w:r>
        <w:rPr>
          <w:rFonts w:hint="eastAsia"/>
        </w:rPr>
        <w:t>施工现场的移动配电箱及施工机具全部使用绝缘防水线，用后应放回工地库房或加以遮盖防雨，不得放在露天淋雨，不得放在坑内，防止雨水浸泡、淹没。</w:t>
      </w:r>
    </w:p>
    <w:p w14:paraId="2A6EBF96">
      <w:pPr>
        <w:ind w:firstLine="560"/>
      </w:pPr>
      <w:r>
        <w:rPr>
          <w:rFonts w:hint="eastAsia"/>
        </w:rPr>
        <w:t>加强用电安全巡视，检查每台机器的接地接零是否正常，检查线路是否完好，若不符合要求，及时整改。</w:t>
      </w:r>
    </w:p>
    <w:p w14:paraId="063AD4E4">
      <w:pPr>
        <w:ind w:firstLine="560"/>
      </w:pPr>
      <w:r>
        <w:rPr>
          <w:rFonts w:hint="eastAsia"/>
        </w:rPr>
        <w:t>雨天作业，机械操作人员应戴绝缘手套、穿雨靴操作。</w:t>
      </w:r>
    </w:p>
    <w:p w14:paraId="2D0C39AF">
      <w:pPr>
        <w:pStyle w:val="5"/>
        <w:spacing w:before="31" w:after="31"/>
        <w:ind w:firstLine="562"/>
      </w:pPr>
      <w:bookmarkStart w:id="2570" w:name="_Toc17597"/>
      <w:bookmarkStart w:id="2571" w:name="_Toc23604"/>
      <w:bookmarkStart w:id="2572" w:name="_Toc12120"/>
      <w:bookmarkStart w:id="2573" w:name="_Toc12935"/>
      <w:bookmarkStart w:id="2574" w:name="_Toc21563"/>
      <w:bookmarkStart w:id="2575" w:name="_Toc30103"/>
      <w:bookmarkStart w:id="2576" w:name="_Toc31017"/>
      <w:bookmarkStart w:id="2577" w:name="_Toc15202"/>
      <w:bookmarkStart w:id="2578" w:name="_Toc10247"/>
      <w:bookmarkStart w:id="2579" w:name="_Toc25843"/>
      <w:bookmarkStart w:id="2580" w:name="_Toc25635"/>
      <w:bookmarkStart w:id="2581" w:name="_Toc13686"/>
      <w:bookmarkStart w:id="2582" w:name="_Toc9060"/>
      <w:bookmarkStart w:id="2583" w:name="_Toc30462"/>
      <w:bookmarkStart w:id="2584" w:name="_Toc6155"/>
      <w:bookmarkStart w:id="2585" w:name="_Toc17898"/>
      <w:bookmarkStart w:id="2586" w:name="_Toc3165"/>
      <w:bookmarkStart w:id="2587" w:name="_Toc1305"/>
      <w:bookmarkStart w:id="2588" w:name="_Toc16638"/>
      <w:bookmarkStart w:id="2589" w:name="_Toc3818"/>
      <w:bookmarkStart w:id="2590" w:name="_Toc20565"/>
      <w:bookmarkStart w:id="2591" w:name="_Toc18894"/>
      <w:bookmarkStart w:id="2592" w:name="_Toc31709"/>
      <w:bookmarkStart w:id="2593" w:name="_Toc12756"/>
      <w:bookmarkStart w:id="2594" w:name="_Toc6073"/>
      <w:bookmarkStart w:id="2595" w:name="_Toc1072"/>
      <w:bookmarkStart w:id="2596" w:name="_Toc9593"/>
      <w:bookmarkStart w:id="2597" w:name="_Toc4454"/>
      <w:bookmarkStart w:id="2598" w:name="_Toc11126"/>
      <w:bookmarkStart w:id="2599" w:name="_Toc7116"/>
      <w:bookmarkStart w:id="2600" w:name="_Toc25254"/>
      <w:bookmarkStart w:id="2601" w:name="_Toc19416"/>
      <w:bookmarkStart w:id="2602" w:name="_Toc17045"/>
      <w:bookmarkStart w:id="2603" w:name="_Toc28800"/>
      <w:bookmarkStart w:id="2604" w:name="_Toc8834"/>
      <w:bookmarkStart w:id="2605" w:name="_Toc21266"/>
      <w:bookmarkStart w:id="2606" w:name="_Toc394"/>
      <w:bookmarkStart w:id="2607" w:name="_Toc7293"/>
      <w:bookmarkStart w:id="2608" w:name="_Toc1794"/>
      <w:bookmarkStart w:id="2609" w:name="_Toc15778"/>
      <w:bookmarkStart w:id="2610" w:name="_Toc29880"/>
      <w:bookmarkStart w:id="2611" w:name="_Toc26442"/>
      <w:bookmarkStart w:id="2612" w:name="_Toc3598"/>
      <w:bookmarkStart w:id="2613" w:name="_Toc2235"/>
      <w:r>
        <w:rPr>
          <w:rFonts w:hint="eastAsia"/>
        </w:rPr>
        <w:t>（三）防雷措施</w:t>
      </w:r>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p>
    <w:p w14:paraId="37227B11">
      <w:pPr>
        <w:ind w:firstLine="560"/>
      </w:pPr>
      <w:r>
        <w:rPr>
          <w:rFonts w:hint="eastAsia"/>
        </w:rPr>
        <w:t>项目经理作为防雷灾害第一责任人，负责防雷安全工作，应建立各项防雷减灾管理规章，落实防雷设施的定期检测、雷雨后的检查和日常的维护。</w:t>
      </w:r>
    </w:p>
    <w:p w14:paraId="677A8443">
      <w:pPr>
        <w:ind w:firstLine="560"/>
      </w:pPr>
      <w:r>
        <w:rPr>
          <w:rFonts w:hint="eastAsia"/>
        </w:rPr>
        <w:t>组织职工学习防雷电知识，充分了解雷电的危害。</w:t>
      </w:r>
    </w:p>
    <w:p w14:paraId="6940F159">
      <w:pPr>
        <w:ind w:firstLine="560"/>
      </w:pPr>
      <w:r>
        <w:rPr>
          <w:rFonts w:hint="eastAsia"/>
        </w:rPr>
        <w:t>应及时将现场施工用的机电设备和金属材料接地，以防施工期间遭受雷击。</w:t>
      </w:r>
    </w:p>
    <w:p w14:paraId="4F7CF321">
      <w:pPr>
        <w:ind w:firstLine="560"/>
      </w:pPr>
      <w:r>
        <w:rPr>
          <w:rFonts w:hint="eastAsia"/>
        </w:rPr>
        <w:t>对办公区域和电力设备加装防雷保护。</w:t>
      </w:r>
    </w:p>
    <w:p w14:paraId="6DA89B6F">
      <w:pPr>
        <w:ind w:firstLine="560"/>
      </w:pPr>
      <w:r>
        <w:rPr>
          <w:rFonts w:hint="eastAsia"/>
        </w:rPr>
        <w:t>应随时将金属管道及电缆外皮在进入建筑物的进口处与接地连接，并应把电气设备的铁架及外壳接地。</w:t>
      </w:r>
    </w:p>
    <w:p w14:paraId="4501437F">
      <w:pPr>
        <w:ind w:firstLine="560"/>
      </w:pPr>
      <w:r>
        <w:rPr>
          <w:rFonts w:hint="eastAsia"/>
        </w:rPr>
        <w:t>雷雨发生时，施工人员应留在室内，并关好门窗，在室外工作的人应躲入建筑物内。切勿接触天线、水管、铁丝网、金属门窗、建筑物外墙，远离电线等带电设备或其它类似金属装置。在旷野无法躲入有防雷设施的建筑物内时，应远离树木和桅杆。</w:t>
      </w:r>
    </w:p>
    <w:p w14:paraId="465DEAED">
      <w:pPr>
        <w:ind w:firstLine="560"/>
      </w:pPr>
      <w:r>
        <w:rPr>
          <w:rFonts w:hint="eastAsia"/>
        </w:rPr>
        <w:t>雷灾发生时应及时上报，以便及时处理，避免再次雷击。</w:t>
      </w:r>
    </w:p>
    <w:p w14:paraId="09447853">
      <w:pPr>
        <w:pStyle w:val="5"/>
        <w:spacing w:before="31" w:after="31"/>
        <w:ind w:firstLine="562"/>
      </w:pPr>
      <w:bookmarkStart w:id="2614" w:name="_Toc8962"/>
      <w:bookmarkStart w:id="2615" w:name="_Toc8704"/>
      <w:bookmarkStart w:id="2616" w:name="_Toc11441"/>
      <w:bookmarkStart w:id="2617" w:name="_Toc26407"/>
      <w:bookmarkStart w:id="2618" w:name="_Toc17317"/>
      <w:bookmarkStart w:id="2619" w:name="_Toc28984"/>
      <w:bookmarkStart w:id="2620" w:name="_Toc31769"/>
      <w:bookmarkStart w:id="2621" w:name="_Toc13993"/>
      <w:bookmarkStart w:id="2622" w:name="_Toc21144"/>
      <w:bookmarkStart w:id="2623" w:name="_Toc5798"/>
      <w:bookmarkStart w:id="2624" w:name="_Toc5260"/>
      <w:bookmarkStart w:id="2625" w:name="_Toc25919"/>
      <w:bookmarkStart w:id="2626" w:name="_Toc4149"/>
      <w:bookmarkStart w:id="2627" w:name="_Toc5356"/>
      <w:bookmarkStart w:id="2628" w:name="_Toc28407"/>
      <w:bookmarkStart w:id="2629" w:name="_Toc10569"/>
      <w:bookmarkStart w:id="2630" w:name="_Toc1629"/>
      <w:bookmarkStart w:id="2631" w:name="_Toc3596"/>
      <w:bookmarkStart w:id="2632" w:name="_Toc19154"/>
      <w:bookmarkStart w:id="2633" w:name="_Toc13018"/>
      <w:bookmarkStart w:id="2634" w:name="_Toc20548"/>
      <w:bookmarkStart w:id="2635" w:name="_Toc17384"/>
      <w:bookmarkStart w:id="2636" w:name="_Toc7245"/>
      <w:bookmarkStart w:id="2637" w:name="_Toc4226"/>
      <w:bookmarkStart w:id="2638" w:name="_Toc31085"/>
      <w:bookmarkStart w:id="2639" w:name="_Toc31722"/>
      <w:bookmarkStart w:id="2640" w:name="_Toc12060"/>
      <w:bookmarkStart w:id="2641" w:name="_Toc6717"/>
      <w:bookmarkStart w:id="2642" w:name="_Toc19659"/>
      <w:bookmarkStart w:id="2643" w:name="_Toc26290"/>
      <w:bookmarkStart w:id="2644" w:name="_Toc1677"/>
      <w:bookmarkStart w:id="2645" w:name="_Toc25835"/>
      <w:bookmarkStart w:id="2646" w:name="_Toc6896"/>
      <w:bookmarkStart w:id="2647" w:name="_Toc18069"/>
      <w:bookmarkStart w:id="2648" w:name="_Toc28618"/>
      <w:bookmarkStart w:id="2649" w:name="_Toc4510"/>
      <w:bookmarkStart w:id="2650" w:name="_Toc17177"/>
      <w:bookmarkStart w:id="2651" w:name="_Toc3187"/>
      <w:bookmarkStart w:id="2652" w:name="_Toc10068"/>
      <w:bookmarkStart w:id="2653" w:name="_Toc29003"/>
      <w:bookmarkStart w:id="2654" w:name="_Toc24512"/>
      <w:bookmarkStart w:id="2655" w:name="_Toc14560"/>
      <w:bookmarkStart w:id="2656" w:name="_Toc3369"/>
      <w:bookmarkStart w:id="2657" w:name="_Toc30827"/>
      <w:bookmarkStart w:id="2658" w:name="_Toc28649"/>
      <w:bookmarkStart w:id="2659" w:name="_Toc15991"/>
      <w:bookmarkStart w:id="2660" w:name="_Toc19470"/>
      <w:bookmarkStart w:id="2661" w:name="_Toc24002"/>
      <w:bookmarkStart w:id="2662" w:name="_Toc20022"/>
      <w:bookmarkStart w:id="2663" w:name="_Toc22409"/>
      <w:r>
        <w:rPr>
          <w:rFonts w:hint="eastAsia"/>
        </w:rPr>
        <w:t>（四）防火消防措施</w:t>
      </w:r>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p>
    <w:p w14:paraId="4BDA0EE0">
      <w:pPr>
        <w:ind w:firstLine="560"/>
      </w:pPr>
      <w:r>
        <w:rPr>
          <w:rFonts w:hint="eastAsia"/>
        </w:rPr>
        <w:t>为了预防火灾的危害，保障工程的顺利施工，确保国家财产和人民生命财产的安全，根据《消防条理》和有关规定，结合工程施工中的特点，制定本制度。</w:t>
      </w:r>
    </w:p>
    <w:p w14:paraId="2622CCEF">
      <w:pPr>
        <w:ind w:firstLine="560"/>
      </w:pPr>
      <w:r>
        <w:t>1</w:t>
      </w:r>
      <w:r>
        <w:rPr>
          <w:rFonts w:hint="eastAsia"/>
        </w:rPr>
        <w:t>、工地成立以工程负责人为组长的防火领导小组，并建立有施工班组参加的义务消防队，负责贯彻执行消防法规，组织防火安全检查，整改火险隐患，组织抢救火灾和知道安全疏散，调查火警事故。</w:t>
      </w:r>
    </w:p>
    <w:p w14:paraId="2D175E81">
      <w:pPr>
        <w:ind w:firstLine="560"/>
      </w:pPr>
      <w:r>
        <w:t>2</w:t>
      </w:r>
      <w:r>
        <w:rPr>
          <w:rFonts w:hint="eastAsia"/>
        </w:rPr>
        <w:t>、在禁火区（仓库、临时住宅、配电房、办公室）设有明显防火标志，同时设置消防器材。</w:t>
      </w:r>
    </w:p>
    <w:p w14:paraId="774674D9">
      <w:pPr>
        <w:ind w:firstLine="560"/>
      </w:pPr>
      <w:r>
        <w:t>3</w:t>
      </w:r>
      <w:r>
        <w:rPr>
          <w:rFonts w:hint="eastAsia"/>
        </w:rPr>
        <w:t>、仓库周围不准对方易燃易爆物品，要求隔离单独堆放（如油类）。</w:t>
      </w:r>
    </w:p>
    <w:p w14:paraId="1F26FE8C">
      <w:pPr>
        <w:ind w:firstLine="560"/>
      </w:pPr>
      <w:r>
        <w:t>4</w:t>
      </w:r>
      <w:r>
        <w:rPr>
          <w:rFonts w:hint="eastAsia"/>
        </w:rPr>
        <w:t>、电气焊作业时，应做好防火措施，施工员应做好安全交底工作，严禁在焊割作业场所所贮放油类及其它易燃易爆物品。</w:t>
      </w:r>
    </w:p>
    <w:p w14:paraId="766075DF">
      <w:pPr>
        <w:ind w:firstLine="560"/>
      </w:pPr>
      <w:r>
        <w:t>5</w:t>
      </w:r>
      <w:r>
        <w:rPr>
          <w:rFonts w:hint="eastAsia"/>
        </w:rPr>
        <w:t>、不准乱拉搭电线，仓库只能使用</w:t>
      </w:r>
      <w:r>
        <w:t>40W</w:t>
      </w:r>
      <w:r>
        <w:rPr>
          <w:rFonts w:hint="eastAsia"/>
        </w:rPr>
        <w:t>以下灯泡，严禁使用电炉，明火作业与架空电线保持一定安全距离，明活作业应经批准后施工。</w:t>
      </w:r>
    </w:p>
    <w:p w14:paraId="1231A73B">
      <w:pPr>
        <w:ind w:firstLine="560"/>
      </w:pPr>
      <w:r>
        <w:t>6</w:t>
      </w:r>
      <w:r>
        <w:rPr>
          <w:rFonts w:hint="eastAsia"/>
        </w:rPr>
        <w:t>、木工场严禁烟火，认真及时做好木屑刨花的清理工作。</w:t>
      </w:r>
    </w:p>
    <w:p w14:paraId="35835BD8">
      <w:pPr>
        <w:ind w:firstLine="560"/>
      </w:pPr>
      <w:r>
        <w:t>7</w:t>
      </w:r>
      <w:r>
        <w:rPr>
          <w:rFonts w:hint="eastAsia"/>
        </w:rPr>
        <w:t>、各种电动机要经常维修保养，不要空载运转。</w:t>
      </w:r>
    </w:p>
    <w:p w14:paraId="6D43A4FA">
      <w:pPr>
        <w:pStyle w:val="4"/>
        <w:spacing w:before="93" w:after="31"/>
      </w:pPr>
      <w:bookmarkStart w:id="2664" w:name="_Toc32016"/>
      <w:bookmarkStart w:id="2665" w:name="_Toc10368"/>
      <w:bookmarkStart w:id="2666" w:name="_Toc2211"/>
      <w:bookmarkStart w:id="2667" w:name="_Toc16053"/>
      <w:bookmarkStart w:id="2668" w:name="_Toc28408"/>
      <w:bookmarkStart w:id="2669" w:name="_Toc9255"/>
      <w:bookmarkStart w:id="2670" w:name="_Toc25208"/>
      <w:bookmarkStart w:id="2671" w:name="_Toc12221"/>
      <w:bookmarkStart w:id="2672" w:name="_Toc16892"/>
      <w:bookmarkStart w:id="2673" w:name="_Toc21093"/>
      <w:bookmarkStart w:id="2674" w:name="_Toc6372"/>
      <w:bookmarkStart w:id="2675" w:name="_Toc25328"/>
      <w:bookmarkStart w:id="2676" w:name="_Toc24294"/>
      <w:bookmarkStart w:id="2677" w:name="_Toc24286"/>
      <w:bookmarkStart w:id="2678" w:name="_Toc30077"/>
      <w:bookmarkStart w:id="2679" w:name="_Toc15956"/>
      <w:bookmarkStart w:id="2680" w:name="_Toc28678"/>
      <w:bookmarkStart w:id="2681" w:name="_Toc32257"/>
      <w:bookmarkStart w:id="2682" w:name="_Toc28168"/>
      <w:bookmarkStart w:id="2683" w:name="_Toc20956"/>
      <w:bookmarkStart w:id="2684" w:name="_Toc507"/>
      <w:bookmarkStart w:id="2685" w:name="_Toc28788"/>
      <w:bookmarkStart w:id="2686" w:name="_Toc29178"/>
      <w:bookmarkStart w:id="2687" w:name="_Toc22558"/>
      <w:bookmarkStart w:id="2688" w:name="_Toc13148"/>
      <w:bookmarkStart w:id="2689" w:name="_Toc15401"/>
      <w:bookmarkStart w:id="2690" w:name="_Toc10842"/>
      <w:bookmarkStart w:id="2691" w:name="_Toc19046"/>
      <w:bookmarkStart w:id="2692" w:name="_Toc439"/>
      <w:bookmarkStart w:id="2693" w:name="_Toc27100"/>
      <w:bookmarkStart w:id="2694" w:name="_Toc601"/>
      <w:bookmarkStart w:id="2695" w:name="_Toc15155"/>
      <w:bookmarkStart w:id="2696" w:name="_Toc27347"/>
      <w:bookmarkStart w:id="2697" w:name="_Toc31552"/>
      <w:bookmarkStart w:id="2698" w:name="_Toc3485"/>
      <w:bookmarkStart w:id="2699" w:name="_Toc5029"/>
      <w:bookmarkStart w:id="2700" w:name="_Toc14921"/>
      <w:bookmarkStart w:id="2701" w:name="_Toc25901"/>
      <w:bookmarkStart w:id="2702" w:name="_Toc3031"/>
      <w:bookmarkStart w:id="2703" w:name="_Toc24372"/>
      <w:bookmarkStart w:id="2704" w:name="_Toc17983"/>
      <w:bookmarkStart w:id="2705" w:name="_Toc4471"/>
      <w:bookmarkStart w:id="2706" w:name="_Toc29300"/>
      <w:bookmarkStart w:id="2707" w:name="_Toc12157"/>
      <w:bookmarkStart w:id="2708" w:name="_Toc5187"/>
      <w:bookmarkStart w:id="2709" w:name="_Toc23368"/>
      <w:bookmarkStart w:id="2710" w:name="_Toc2384"/>
      <w:bookmarkStart w:id="2711" w:name="_Toc15270"/>
      <w:bookmarkStart w:id="2712" w:name="_Toc20055"/>
      <w:bookmarkStart w:id="2713" w:name="_Toc18053"/>
      <w:bookmarkStart w:id="2714" w:name="_Toc2522"/>
      <w:bookmarkStart w:id="2715" w:name="_Toc16073"/>
      <w:bookmarkStart w:id="2716" w:name="_Toc3263"/>
      <w:bookmarkStart w:id="2717" w:name="_Toc32353"/>
      <w:bookmarkStart w:id="2718" w:name="_Toc25160"/>
      <w:r>
        <w:rPr>
          <w:rFonts w:hint="eastAsia"/>
        </w:rPr>
        <w:t>十、安全事故应急救援</w:t>
      </w:r>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p>
    <w:p w14:paraId="542D781C">
      <w:pPr>
        <w:pStyle w:val="5"/>
        <w:spacing w:before="31" w:after="31"/>
        <w:ind w:firstLine="562"/>
      </w:pPr>
      <w:bookmarkStart w:id="2719" w:name="_Toc28554"/>
      <w:bookmarkStart w:id="2720" w:name="_Toc8206"/>
      <w:bookmarkStart w:id="2721" w:name="_Toc13462"/>
      <w:bookmarkStart w:id="2722" w:name="_Toc27880"/>
      <w:bookmarkStart w:id="2723" w:name="_Toc29399"/>
      <w:bookmarkStart w:id="2724" w:name="_Toc7338"/>
      <w:bookmarkStart w:id="2725" w:name="_Toc9307"/>
      <w:bookmarkStart w:id="2726" w:name="_Toc2376"/>
      <w:bookmarkStart w:id="2727" w:name="_Toc7254"/>
      <w:bookmarkStart w:id="2728" w:name="_Toc31079"/>
      <w:bookmarkStart w:id="2729" w:name="_Toc4236"/>
      <w:bookmarkStart w:id="2730" w:name="_Toc17882"/>
      <w:bookmarkStart w:id="2731" w:name="_Toc26755"/>
      <w:bookmarkStart w:id="2732" w:name="_Toc5009"/>
      <w:bookmarkStart w:id="2733" w:name="_Toc19768"/>
      <w:bookmarkStart w:id="2734" w:name="_Toc3573"/>
      <w:bookmarkStart w:id="2735" w:name="_Toc14879"/>
      <w:bookmarkStart w:id="2736" w:name="_Toc31793"/>
      <w:bookmarkStart w:id="2737" w:name="_Toc19153"/>
      <w:bookmarkStart w:id="2738" w:name="_Toc15573"/>
      <w:bookmarkStart w:id="2739" w:name="_Toc8445"/>
      <w:bookmarkStart w:id="2740" w:name="_Toc14524"/>
      <w:bookmarkStart w:id="2741" w:name="_Toc27145"/>
      <w:bookmarkStart w:id="2742" w:name="_Toc6488"/>
      <w:bookmarkStart w:id="2743" w:name="_Toc22999"/>
      <w:bookmarkStart w:id="2744" w:name="_Toc17780"/>
      <w:bookmarkStart w:id="2745" w:name="_Toc15014"/>
      <w:bookmarkStart w:id="2746" w:name="_Toc8387"/>
      <w:bookmarkStart w:id="2747" w:name="_Toc23545"/>
      <w:bookmarkStart w:id="2748" w:name="_Toc32674"/>
      <w:bookmarkStart w:id="2749" w:name="_Toc13579"/>
      <w:bookmarkStart w:id="2750" w:name="_Toc21443"/>
      <w:bookmarkStart w:id="2751" w:name="_Toc697"/>
      <w:bookmarkStart w:id="2752" w:name="_Toc1082"/>
      <w:bookmarkStart w:id="2753" w:name="_Toc17632"/>
      <w:bookmarkStart w:id="2754" w:name="_Toc23249"/>
      <w:bookmarkStart w:id="2755" w:name="_Toc18165"/>
      <w:bookmarkStart w:id="2756" w:name="_Toc5222"/>
      <w:bookmarkStart w:id="2757" w:name="_Toc16447"/>
      <w:bookmarkStart w:id="2758" w:name="_Toc7684"/>
      <w:bookmarkStart w:id="2759" w:name="_Toc3897"/>
      <w:bookmarkStart w:id="2760" w:name="_Toc7273"/>
      <w:bookmarkStart w:id="2761" w:name="_Toc1222"/>
      <w:bookmarkStart w:id="2762" w:name="_Toc12510"/>
      <w:bookmarkStart w:id="2763" w:name="_Toc15025"/>
      <w:bookmarkStart w:id="2764" w:name="_Toc7988"/>
      <w:bookmarkStart w:id="2765" w:name="_Toc30122"/>
      <w:bookmarkStart w:id="2766" w:name="_Toc10783"/>
      <w:bookmarkStart w:id="2767" w:name="_Toc22632"/>
      <w:bookmarkStart w:id="2768" w:name="_Toc13280"/>
      <w:r>
        <w:rPr>
          <w:rFonts w:hint="eastAsia"/>
        </w:rPr>
        <w:t>（一）事故应急救援的必要性</w:t>
      </w:r>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p>
    <w:p w14:paraId="76CCE826">
      <w:pPr>
        <w:ind w:firstLine="560"/>
      </w:pPr>
      <w:r>
        <w:rPr>
          <w:rFonts w:hint="eastAsia"/>
        </w:rPr>
        <w:t>通过应急救援预案的制定，总结以往本单位安全工作的经验教训，明确安全工作重点，提出预防事故的思路和方法，全面贯彻执行“安全第一，预防为主”安全生产方针。保证及时、有针对性地救援，对防止事故蔓延、扩大，减少人员伤亡、财产损失意义重大。</w:t>
      </w:r>
    </w:p>
    <w:p w14:paraId="38D4B806">
      <w:pPr>
        <w:pStyle w:val="5"/>
        <w:spacing w:before="31" w:after="31"/>
        <w:ind w:firstLine="562"/>
      </w:pPr>
      <w:bookmarkStart w:id="2769" w:name="_Toc8575"/>
      <w:bookmarkStart w:id="2770" w:name="_Toc13160"/>
      <w:bookmarkStart w:id="2771" w:name="_Toc15639"/>
      <w:bookmarkStart w:id="2772" w:name="_Toc20489"/>
      <w:bookmarkStart w:id="2773" w:name="_Toc1579"/>
      <w:bookmarkStart w:id="2774" w:name="_Toc19747"/>
      <w:bookmarkStart w:id="2775" w:name="_Toc3519"/>
      <w:bookmarkStart w:id="2776" w:name="_Toc25268"/>
      <w:bookmarkStart w:id="2777" w:name="_Toc1099"/>
      <w:bookmarkStart w:id="2778" w:name="_Toc425"/>
      <w:bookmarkStart w:id="2779" w:name="_Toc17049"/>
      <w:bookmarkStart w:id="2780" w:name="_Toc8373"/>
      <w:bookmarkStart w:id="2781" w:name="_Toc1581"/>
      <w:bookmarkStart w:id="2782" w:name="_Toc2232"/>
      <w:bookmarkStart w:id="2783" w:name="_Toc19509"/>
      <w:bookmarkStart w:id="2784" w:name="_Toc3974"/>
      <w:bookmarkStart w:id="2785" w:name="_Toc6679"/>
      <w:bookmarkStart w:id="2786" w:name="_Toc2463"/>
      <w:bookmarkStart w:id="2787" w:name="_Toc816"/>
      <w:bookmarkStart w:id="2788" w:name="_Toc31947"/>
      <w:bookmarkStart w:id="2789" w:name="_Toc1994"/>
      <w:bookmarkStart w:id="2790" w:name="_Toc22494"/>
      <w:bookmarkStart w:id="2791" w:name="_Toc28312"/>
      <w:bookmarkStart w:id="2792" w:name="_Toc18926"/>
      <w:bookmarkStart w:id="2793" w:name="_Toc26162"/>
      <w:bookmarkStart w:id="2794" w:name="_Toc20683"/>
      <w:bookmarkStart w:id="2795" w:name="_Toc8824"/>
      <w:bookmarkStart w:id="2796" w:name="_Toc17075"/>
      <w:bookmarkStart w:id="2797" w:name="_Toc26997"/>
      <w:bookmarkStart w:id="2798" w:name="_Toc1687"/>
      <w:bookmarkStart w:id="2799" w:name="_Toc7238"/>
      <w:bookmarkStart w:id="2800" w:name="_Toc25968"/>
      <w:bookmarkStart w:id="2801" w:name="_Toc29059"/>
      <w:bookmarkStart w:id="2802" w:name="_Toc31110"/>
      <w:bookmarkStart w:id="2803" w:name="_Toc15089"/>
      <w:bookmarkStart w:id="2804" w:name="_Toc12474"/>
      <w:bookmarkStart w:id="2805" w:name="_Toc16890"/>
      <w:bookmarkStart w:id="2806" w:name="_Toc32039"/>
      <w:bookmarkStart w:id="2807" w:name="_Toc30224"/>
      <w:bookmarkStart w:id="2808" w:name="_Toc12063"/>
      <w:bookmarkStart w:id="2809" w:name="_Toc10889"/>
      <w:bookmarkStart w:id="2810" w:name="_Toc14448"/>
      <w:bookmarkStart w:id="2811" w:name="_Toc7540"/>
      <w:bookmarkStart w:id="2812" w:name="_Toc28351"/>
      <w:bookmarkStart w:id="2813" w:name="_Toc8689"/>
      <w:bookmarkStart w:id="2814" w:name="_Toc8199"/>
      <w:r>
        <w:rPr>
          <w:rFonts w:hint="eastAsia"/>
        </w:rPr>
        <w:t>（二）应急救援的实施程序</w:t>
      </w:r>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p>
    <w:p w14:paraId="39A28F3A">
      <w:pPr>
        <w:ind w:firstLine="560"/>
      </w:pPr>
      <w:r>
        <w:rPr>
          <w:rFonts w:hint="eastAsia"/>
        </w:rPr>
        <w:t>当施工现场及其它与本项目部有关的工作场所发生人身伤害事故时，应按下列程序进行应急救援。</w:t>
      </w:r>
    </w:p>
    <w:p w14:paraId="233918EC">
      <w:pPr>
        <w:ind w:firstLine="560"/>
      </w:pPr>
      <w:r>
        <w:rPr>
          <w:rFonts w:hint="eastAsia"/>
        </w:rPr>
        <w:t>A、报警</w:t>
      </w:r>
    </w:p>
    <w:p w14:paraId="268B44A4">
      <w:pPr>
        <w:ind w:firstLine="560"/>
      </w:pPr>
      <w:r>
        <w:rPr>
          <w:rFonts w:hint="eastAsia"/>
        </w:rPr>
        <w:t>B、保护事故现场</w:t>
      </w:r>
    </w:p>
    <w:p w14:paraId="1C4DFD91">
      <w:pPr>
        <w:ind w:firstLine="560"/>
      </w:pPr>
      <w:r>
        <w:rPr>
          <w:rFonts w:hint="eastAsia"/>
        </w:rPr>
        <w:t>C、现场紧急救护和紧急救险</w:t>
      </w:r>
    </w:p>
    <w:p w14:paraId="031B5D1B">
      <w:pPr>
        <w:ind w:firstLine="560"/>
      </w:pPr>
      <w:r>
        <w:rPr>
          <w:rFonts w:hint="eastAsia"/>
        </w:rPr>
        <w:t>D、善后处理</w:t>
      </w:r>
    </w:p>
    <w:p w14:paraId="7001C5A7">
      <w:pPr>
        <w:ind w:firstLine="560"/>
      </w:pPr>
      <w:r>
        <w:rPr>
          <w:rFonts w:hint="eastAsia"/>
        </w:rPr>
        <w:t>及时报告应包括以下内容：事故发生的时间，地点，事故发生的简要经过、伤亡人数、直接经济损失的初步估计；事故发生后，项目分部必须迅速抢救伤员，同时派人严格保护事故现场。未经调查和记录的事故现场，不得任意变动。</w:t>
      </w:r>
    </w:p>
    <w:p w14:paraId="22FFCEAF">
      <w:pPr>
        <w:ind w:firstLine="560"/>
      </w:pPr>
      <w:r>
        <w:rPr>
          <w:rFonts w:hint="eastAsia"/>
        </w:rPr>
        <w:t>善后处理</w:t>
      </w:r>
    </w:p>
    <w:p w14:paraId="0AE6B946">
      <w:pPr>
        <w:ind w:firstLine="560"/>
      </w:pPr>
      <w:r>
        <w:rPr>
          <w:rFonts w:hint="eastAsia"/>
        </w:rPr>
        <w:t>事故发生后，事故单位在抢救或救险完毕，经事故调查组调查和记录安全事故现场后，应迅速安抚人心，分析事故发生原因，制定防范措施，并立即恢复正常生产秩序。</w:t>
      </w:r>
    </w:p>
    <w:p w14:paraId="32F58DF8">
      <w:pPr>
        <w:ind w:firstLine="560"/>
      </w:pPr>
      <w:r>
        <w:rPr>
          <w:rFonts w:hint="eastAsia"/>
        </w:rPr>
        <w:t>重点防火部位分布：材料库；办公区；施工现场。</w:t>
      </w:r>
    </w:p>
    <w:p w14:paraId="73AA4F76">
      <w:pPr>
        <w:ind w:firstLine="560"/>
      </w:pPr>
      <w:r>
        <w:rPr>
          <w:rFonts w:hint="eastAsia"/>
        </w:rPr>
        <w:t>以下物品需疏散与保护：</w:t>
      </w:r>
    </w:p>
    <w:p w14:paraId="0F5A6EBD">
      <w:pPr>
        <w:ind w:firstLine="560"/>
      </w:pPr>
      <w:r>
        <w:rPr>
          <w:rFonts w:hint="eastAsia"/>
        </w:rPr>
        <w:t>（1）易燃、易爆和有毒物品，以及承受较大压力的桶、罐等容器或设备。</w:t>
      </w:r>
    </w:p>
    <w:p w14:paraId="5AA4E25F">
      <w:pPr>
        <w:ind w:firstLine="560"/>
      </w:pPr>
      <w:r>
        <w:rPr>
          <w:rFonts w:hint="eastAsia"/>
        </w:rPr>
        <w:t>（2）妨碍救援行动的物资。</w:t>
      </w:r>
    </w:p>
    <w:p w14:paraId="289B6C18">
      <w:pPr>
        <w:ind w:firstLine="560"/>
      </w:pPr>
      <w:r>
        <w:rPr>
          <w:rFonts w:hint="eastAsia"/>
        </w:rPr>
        <w:t>（3）能够助长火势蔓延的物资。</w:t>
      </w:r>
    </w:p>
    <w:p w14:paraId="6E15B021">
      <w:pPr>
        <w:ind w:firstLine="560"/>
      </w:pPr>
      <w:r>
        <w:rPr>
          <w:rFonts w:hint="eastAsia"/>
        </w:rPr>
        <w:t>（4）图书、档案资料。</w:t>
      </w:r>
    </w:p>
    <w:p w14:paraId="6E11BFA4">
      <w:pPr>
        <w:pStyle w:val="5"/>
        <w:spacing w:before="31" w:after="31"/>
        <w:ind w:firstLine="562"/>
      </w:pPr>
      <w:bookmarkStart w:id="2815" w:name="_Toc11016"/>
      <w:bookmarkStart w:id="2816" w:name="_Toc11238"/>
      <w:bookmarkStart w:id="2817" w:name="_Toc6142"/>
      <w:bookmarkStart w:id="2818" w:name="_Toc7661"/>
      <w:bookmarkStart w:id="2819" w:name="_Toc31192"/>
      <w:bookmarkStart w:id="2820" w:name="_Toc19099"/>
      <w:bookmarkStart w:id="2821" w:name="_Toc9899"/>
      <w:bookmarkStart w:id="2822" w:name="_Toc14841"/>
      <w:bookmarkStart w:id="2823" w:name="_Toc29723"/>
      <w:bookmarkStart w:id="2824" w:name="_Toc24086"/>
      <w:bookmarkStart w:id="2825" w:name="_Toc13263"/>
      <w:bookmarkStart w:id="2826" w:name="_Toc19333"/>
      <w:bookmarkStart w:id="2827" w:name="_Toc25066"/>
      <w:bookmarkStart w:id="2828" w:name="_Toc25850"/>
      <w:bookmarkStart w:id="2829" w:name="_Toc21219"/>
      <w:bookmarkStart w:id="2830" w:name="_Toc282"/>
      <w:bookmarkStart w:id="2831" w:name="_Toc7021"/>
      <w:bookmarkStart w:id="2832" w:name="_Toc17475"/>
      <w:bookmarkStart w:id="2833" w:name="_Toc30667"/>
      <w:bookmarkStart w:id="2834" w:name="_Toc2149"/>
      <w:bookmarkStart w:id="2835" w:name="_Toc25296"/>
      <w:bookmarkStart w:id="2836" w:name="_Toc23312"/>
      <w:bookmarkStart w:id="2837" w:name="_Toc25516"/>
      <w:bookmarkStart w:id="2838" w:name="_Toc11000"/>
      <w:bookmarkStart w:id="2839" w:name="_Toc23180"/>
      <w:bookmarkStart w:id="2840" w:name="_Toc30461"/>
      <w:bookmarkStart w:id="2841" w:name="_Toc31685"/>
      <w:bookmarkStart w:id="2842" w:name="_Toc2259"/>
      <w:bookmarkStart w:id="2843" w:name="_Toc31620"/>
      <w:bookmarkStart w:id="2844" w:name="_Toc28657"/>
      <w:bookmarkStart w:id="2845" w:name="_Toc18267"/>
      <w:bookmarkStart w:id="2846" w:name="_Toc5424"/>
      <w:bookmarkStart w:id="2847" w:name="_Toc628"/>
      <w:bookmarkStart w:id="2848" w:name="_Toc17654"/>
      <w:bookmarkStart w:id="2849" w:name="_Toc23231"/>
      <w:bookmarkStart w:id="2850" w:name="_Toc5275"/>
      <w:bookmarkStart w:id="2851" w:name="_Toc21310"/>
      <w:bookmarkStart w:id="2852" w:name="_Toc13484"/>
      <w:bookmarkStart w:id="2853" w:name="_Toc3013"/>
      <w:bookmarkStart w:id="2854" w:name="_Toc3675"/>
      <w:bookmarkStart w:id="2855" w:name="_Toc27270"/>
      <w:bookmarkStart w:id="2856" w:name="_Toc27624"/>
      <w:bookmarkStart w:id="2857" w:name="_Toc25810"/>
      <w:bookmarkStart w:id="2858" w:name="_Toc4155"/>
      <w:bookmarkStart w:id="2859" w:name="_Toc23899"/>
      <w:bookmarkStart w:id="2860" w:name="_Toc12534"/>
      <w:bookmarkStart w:id="2861" w:name="_Toc29320"/>
      <w:bookmarkStart w:id="2862" w:name="_Toc29297"/>
      <w:bookmarkStart w:id="2863" w:name="_Toc15228"/>
      <w:bookmarkStart w:id="2864" w:name="_Toc15132"/>
      <w:bookmarkStart w:id="2865" w:name="_Toc18826"/>
      <w:r>
        <w:rPr>
          <w:rFonts w:hint="eastAsia"/>
        </w:rPr>
        <w:t>（三）防高空作业坠落应急预案</w:t>
      </w:r>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p>
    <w:p w14:paraId="08C9A205">
      <w:pPr>
        <w:ind w:firstLine="560"/>
      </w:pPr>
      <w:r>
        <w:rPr>
          <w:rFonts w:hint="eastAsia"/>
        </w:rPr>
        <w:t>目的：建立防高空作业坠落事故应急预案</w:t>
      </w:r>
    </w:p>
    <w:p w14:paraId="01517A4B">
      <w:pPr>
        <w:ind w:firstLine="560"/>
      </w:pPr>
      <w:r>
        <w:rPr>
          <w:rFonts w:hint="eastAsia"/>
        </w:rPr>
        <w:t>范围：适用于高空作业活动</w:t>
      </w:r>
    </w:p>
    <w:p w14:paraId="6AE70641">
      <w:pPr>
        <w:ind w:firstLine="560"/>
      </w:pPr>
      <w:r>
        <w:rPr>
          <w:rFonts w:hint="eastAsia"/>
        </w:rPr>
        <w:t>一、内容：</w:t>
      </w:r>
    </w:p>
    <w:p w14:paraId="3C263288">
      <w:pPr>
        <w:ind w:firstLine="560"/>
      </w:pPr>
      <w:r>
        <w:rPr>
          <w:rFonts w:hint="eastAsia"/>
        </w:rPr>
        <w:t>凡在离地面2米以上的地点进行的工作、都应视做高空作业。凡能在地面上预先做好的工作，都必须在地面上工作，尽量减少高处作业。高度超过1.5米时，必须使用安全带或采取其他可靠的安全措施。</w:t>
      </w:r>
    </w:p>
    <w:p w14:paraId="0B44E941">
      <w:pPr>
        <w:ind w:firstLine="560"/>
      </w:pPr>
      <w:r>
        <w:rPr>
          <w:rFonts w:hint="eastAsia"/>
        </w:rPr>
        <w:t>二、职责：</w:t>
      </w:r>
    </w:p>
    <w:p w14:paraId="443AD0B0">
      <w:pPr>
        <w:ind w:firstLine="560"/>
      </w:pPr>
      <w:r>
        <w:rPr>
          <w:rFonts w:hint="eastAsia"/>
        </w:rPr>
        <w:t>1、施工人员职责：</w:t>
      </w:r>
    </w:p>
    <w:p w14:paraId="7B2B1ABB">
      <w:pPr>
        <w:ind w:firstLine="560"/>
      </w:pPr>
      <w:r>
        <w:rPr>
          <w:rFonts w:hint="eastAsia"/>
        </w:rPr>
        <w:t>A、认真学习有关安全健康规程、规定、制度和措施，自觉遵章守纪，不违章作业。</w:t>
      </w:r>
    </w:p>
    <w:p w14:paraId="29D9FD8B">
      <w:pPr>
        <w:ind w:firstLine="560"/>
      </w:pPr>
      <w:r>
        <w:rPr>
          <w:rFonts w:hint="eastAsia"/>
        </w:rPr>
        <w:t>B、正确使用职业安全防护用品、用具，并在使用前进行可靠性检查。</w:t>
      </w:r>
    </w:p>
    <w:p w14:paraId="690DC88D">
      <w:pPr>
        <w:ind w:firstLine="560"/>
      </w:pPr>
      <w:r>
        <w:rPr>
          <w:rFonts w:hint="eastAsia"/>
        </w:rPr>
        <w:t>C、施工项目开工前，认真接受安全技术交底。</w:t>
      </w:r>
    </w:p>
    <w:p w14:paraId="78434C5A">
      <w:pPr>
        <w:ind w:firstLine="560"/>
      </w:pPr>
      <w:r>
        <w:rPr>
          <w:rFonts w:hint="eastAsia"/>
        </w:rPr>
        <w:t>D、作业前检查工作现场，做好安全防护措施，以确保不伤害他人，不被他人伤害。防高空作业坠落，自保为主，互保联动。</w:t>
      </w:r>
    </w:p>
    <w:p w14:paraId="72188D79">
      <w:pPr>
        <w:ind w:firstLine="560"/>
      </w:pPr>
      <w:r>
        <w:rPr>
          <w:rFonts w:hint="eastAsia"/>
        </w:rPr>
        <w:t>2、现场专职安全员职责：</w:t>
      </w:r>
    </w:p>
    <w:p w14:paraId="466A8FA0">
      <w:pPr>
        <w:ind w:firstLine="560"/>
      </w:pPr>
      <w:r>
        <w:rPr>
          <w:rFonts w:hint="eastAsia"/>
        </w:rPr>
        <w:t>A、监督、检查工地施工场所的安全文明施工状况和职工的作业行为。</w:t>
      </w:r>
    </w:p>
    <w:p w14:paraId="1DB4D863">
      <w:pPr>
        <w:ind w:firstLine="560"/>
      </w:pPr>
      <w:r>
        <w:rPr>
          <w:rFonts w:hint="eastAsia"/>
        </w:rPr>
        <w:t>有权制止违章作业和违章指挥；有权对违章者进行经济处罚；对严重危及人身安全的施工，有权指令先停止施工，并立即报告项目部领导研究处理。</w:t>
      </w:r>
    </w:p>
    <w:p w14:paraId="771BCE6A">
      <w:pPr>
        <w:ind w:firstLine="560"/>
      </w:pPr>
      <w:r>
        <w:rPr>
          <w:rFonts w:hint="eastAsia"/>
        </w:rPr>
        <w:t>B、参加本工地重要施工项目和危险性作业项目开工前的安全交底，并检查开工安全文明施工条件，监督安全施工措施的执行。</w:t>
      </w:r>
    </w:p>
    <w:p w14:paraId="20FD7CA3">
      <w:pPr>
        <w:ind w:firstLine="560"/>
      </w:pPr>
      <w:r>
        <w:rPr>
          <w:rFonts w:hint="eastAsia"/>
        </w:rPr>
        <w:t>Ｃ、参加工地安全工作例会和生产调度会，协助工地领导布置、检查、总结安全文明施工管理工作。</w:t>
      </w:r>
    </w:p>
    <w:p w14:paraId="65DF347B">
      <w:pPr>
        <w:ind w:firstLine="560"/>
      </w:pPr>
      <w:r>
        <w:rPr>
          <w:rFonts w:hint="eastAsia"/>
        </w:rPr>
        <w:t>Ｄ、协助工地领导布置与检查每周的安全日活动；监督检查班组每天的班会。</w:t>
      </w:r>
    </w:p>
    <w:p w14:paraId="55C11E44">
      <w:pPr>
        <w:ind w:firstLine="560"/>
      </w:pPr>
      <w:r>
        <w:rPr>
          <w:rFonts w:hint="eastAsia"/>
        </w:rPr>
        <w:t>Ｅ、对本工地施工现场和安全卫生责任区内文明施工、成品保护措施执行情况以及生活卫生的管理进行监督、检查。</w:t>
      </w:r>
    </w:p>
    <w:p w14:paraId="18E88FAF">
      <w:pPr>
        <w:ind w:firstLine="560"/>
      </w:pPr>
      <w:r>
        <w:rPr>
          <w:rFonts w:hint="eastAsia"/>
        </w:rPr>
        <w:t>Ｆ、负责本工地施工机械（机具）和车辆交通安全监督工作。</w:t>
      </w:r>
    </w:p>
    <w:p w14:paraId="3919F16B">
      <w:pPr>
        <w:ind w:firstLine="560"/>
      </w:pPr>
      <w:r>
        <w:rPr>
          <w:rFonts w:hint="eastAsia"/>
        </w:rPr>
        <w:t>G、负责本工地防火防爆安全监督工作。</w:t>
      </w:r>
    </w:p>
    <w:p w14:paraId="1CE849AE">
      <w:pPr>
        <w:ind w:firstLine="560"/>
      </w:pPr>
      <w:r>
        <w:rPr>
          <w:rFonts w:hint="eastAsia"/>
        </w:rPr>
        <w:t>H、督促并协助工地有关人员作好职业防护用品、用具和重要工器具的定期试验、鉴定工作。</w:t>
      </w:r>
    </w:p>
    <w:p w14:paraId="7F0BF9E1">
      <w:pPr>
        <w:ind w:firstLine="560"/>
      </w:pPr>
      <w:r>
        <w:rPr>
          <w:rFonts w:hint="eastAsia"/>
        </w:rPr>
        <w:t>I、组织开展安全健康宣传教育工作。负责对新职员进行第二级安全教育。</w:t>
      </w:r>
    </w:p>
    <w:p w14:paraId="393FC98C">
      <w:pPr>
        <w:ind w:firstLine="560"/>
      </w:pPr>
      <w:r>
        <w:rPr>
          <w:rFonts w:hint="eastAsia"/>
        </w:rPr>
        <w:t>J、参加工地安全大检查，对发现的问题，督促整改。</w:t>
      </w:r>
    </w:p>
    <w:p w14:paraId="546B95AB">
      <w:pPr>
        <w:ind w:firstLine="560"/>
      </w:pPr>
      <w:r>
        <w:rPr>
          <w:rFonts w:hint="eastAsia"/>
        </w:rPr>
        <w:t>K、负责对项目分部的安全工作进行监督、检查与指导。</w:t>
      </w:r>
    </w:p>
    <w:p w14:paraId="1A5EAA82">
      <w:pPr>
        <w:ind w:firstLine="560"/>
      </w:pPr>
      <w:r>
        <w:rPr>
          <w:rFonts w:hint="eastAsia"/>
        </w:rPr>
        <w:t>L、负责对班组安全文明施工进行考核与奖惩。</w:t>
      </w:r>
    </w:p>
    <w:p w14:paraId="2AB20935">
      <w:pPr>
        <w:pStyle w:val="5"/>
        <w:spacing w:before="31" w:after="31"/>
        <w:ind w:firstLine="562"/>
      </w:pPr>
      <w:bookmarkStart w:id="2866" w:name="_Toc21271"/>
      <w:bookmarkStart w:id="2867" w:name="_Toc18576"/>
      <w:bookmarkStart w:id="2868" w:name="_Toc24732"/>
      <w:bookmarkStart w:id="2869" w:name="_Toc10559"/>
      <w:bookmarkStart w:id="2870" w:name="_Toc24051"/>
      <w:bookmarkStart w:id="2871" w:name="_Toc19164"/>
      <w:bookmarkStart w:id="2872" w:name="_Toc16879"/>
      <w:bookmarkStart w:id="2873" w:name="_Toc13357"/>
      <w:bookmarkStart w:id="2874" w:name="_Toc20163"/>
      <w:bookmarkStart w:id="2875" w:name="_Toc31806"/>
      <w:bookmarkStart w:id="2876" w:name="_Toc10389"/>
      <w:bookmarkStart w:id="2877" w:name="_Toc16594"/>
      <w:bookmarkStart w:id="2878" w:name="_Toc17008"/>
      <w:bookmarkStart w:id="2879" w:name="_Toc32357"/>
      <w:bookmarkStart w:id="2880" w:name="_Toc27615"/>
      <w:bookmarkStart w:id="2881" w:name="_Toc10777"/>
      <w:bookmarkStart w:id="2882" w:name="_Toc18286"/>
      <w:bookmarkStart w:id="2883" w:name="_Toc1854"/>
      <w:bookmarkStart w:id="2884" w:name="_Toc8513"/>
      <w:bookmarkStart w:id="2885" w:name="_Toc25764"/>
      <w:bookmarkStart w:id="2886" w:name="_Toc27452"/>
      <w:bookmarkStart w:id="2887" w:name="_Toc11668"/>
      <w:bookmarkStart w:id="2888" w:name="_Toc23712"/>
      <w:bookmarkStart w:id="2889" w:name="_Toc13815"/>
      <w:bookmarkStart w:id="2890" w:name="_Toc21570"/>
      <w:bookmarkStart w:id="2891" w:name="_Toc15819"/>
      <w:bookmarkStart w:id="2892" w:name="_Toc5038"/>
      <w:bookmarkStart w:id="2893" w:name="_Toc24486"/>
      <w:bookmarkStart w:id="2894" w:name="_Toc22651"/>
      <w:bookmarkStart w:id="2895" w:name="_Toc10688"/>
      <w:bookmarkStart w:id="2896" w:name="_Toc10186"/>
      <w:bookmarkStart w:id="2897" w:name="_Toc20488"/>
      <w:bookmarkStart w:id="2898" w:name="_Toc12590"/>
      <w:bookmarkStart w:id="2899" w:name="_Toc556"/>
      <w:bookmarkStart w:id="2900" w:name="_Toc24959"/>
      <w:bookmarkStart w:id="2901" w:name="_Toc27474"/>
      <w:bookmarkStart w:id="2902" w:name="_Toc1115"/>
      <w:bookmarkStart w:id="2903" w:name="_Toc20504"/>
      <w:bookmarkStart w:id="2904" w:name="_Toc1050"/>
      <w:bookmarkStart w:id="2905" w:name="_Toc6497"/>
      <w:bookmarkStart w:id="2906" w:name="_Toc3565"/>
      <w:bookmarkStart w:id="2907" w:name="_Toc20832"/>
      <w:bookmarkStart w:id="2908" w:name="_Toc31446"/>
      <w:bookmarkStart w:id="2909" w:name="_Toc21168"/>
      <w:bookmarkStart w:id="2910" w:name="_Toc28773"/>
      <w:bookmarkStart w:id="2911" w:name="_Toc12812"/>
      <w:bookmarkStart w:id="2912" w:name="_Toc3575"/>
      <w:bookmarkStart w:id="2913" w:name="_Toc21765"/>
      <w:r>
        <w:rPr>
          <w:rFonts w:hint="eastAsia"/>
        </w:rPr>
        <w:t>（四）紧急救护</w:t>
      </w:r>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p>
    <w:p w14:paraId="0B5CD45B">
      <w:pPr>
        <w:ind w:firstLine="560"/>
      </w:pPr>
      <w:r>
        <w:rPr>
          <w:rFonts w:hint="eastAsia"/>
        </w:rPr>
        <w:t>一通则：</w:t>
      </w:r>
    </w:p>
    <w:p w14:paraId="14E5B583">
      <w:pPr>
        <w:ind w:firstLine="560"/>
      </w:pPr>
      <w:r>
        <w:rPr>
          <w:rFonts w:hint="eastAsia"/>
        </w:rPr>
        <w:t>1、高空作业坠落发生后，现场采取积极措施保护伤员生命，减轻伤情，并根据伤情需要迅速联系医疗部门救治，急救的成功条件是动作快、操作正确，拖延和操作失误都会导致伤员伤情加重或死亡。</w:t>
      </w:r>
    </w:p>
    <w:p w14:paraId="7A1094FB">
      <w:pPr>
        <w:ind w:firstLine="560"/>
      </w:pPr>
      <w:r>
        <w:rPr>
          <w:rFonts w:hint="eastAsia"/>
        </w:rPr>
        <w:t>2、现场工作人员都应定期进行培训，学会紧急救护法、心肺复苏法、会止血、会包扎、会转移搬运伤员、会处理急救外伤。</w:t>
      </w:r>
    </w:p>
    <w:p w14:paraId="7CEE80EC">
      <w:pPr>
        <w:ind w:firstLine="560"/>
      </w:pPr>
      <w:r>
        <w:rPr>
          <w:rFonts w:hint="eastAsia"/>
        </w:rPr>
        <w:t>二急救法：</w:t>
      </w:r>
    </w:p>
    <w:p w14:paraId="10D06CAC">
      <w:pPr>
        <w:ind w:firstLine="560"/>
      </w:pPr>
      <w:r>
        <w:rPr>
          <w:rFonts w:hint="eastAsia"/>
        </w:rPr>
        <w:t>1、坠落伤员急救必须分秒必争，立即就地迅速用心肺复苏法进行抢救，并坚持不断地进行同时及早与医疗部门联系，争取医务人员接替救治，在医务人员未接替救治前不应放弃现场抢救。</w:t>
      </w:r>
    </w:p>
    <w:p w14:paraId="2AF43A3F">
      <w:pPr>
        <w:ind w:firstLine="560"/>
      </w:pPr>
      <w:r>
        <w:rPr>
          <w:rFonts w:hint="eastAsia"/>
        </w:rPr>
        <w:t>2、坠落伤员如神志清醒者，应使其就地躺平、严密观察，暂时不要站立或走动。</w:t>
      </w:r>
    </w:p>
    <w:p w14:paraId="523C9B2A">
      <w:pPr>
        <w:pStyle w:val="5"/>
        <w:spacing w:before="31" w:after="31"/>
        <w:ind w:firstLine="562"/>
      </w:pPr>
      <w:bookmarkStart w:id="2914" w:name="_Toc10080"/>
      <w:bookmarkStart w:id="2915" w:name="_Toc29501"/>
      <w:bookmarkStart w:id="2916" w:name="_Toc18963"/>
      <w:bookmarkStart w:id="2917" w:name="_Toc25888"/>
      <w:bookmarkStart w:id="2918" w:name="_Toc7705"/>
      <w:bookmarkStart w:id="2919" w:name="_Toc5966"/>
      <w:bookmarkStart w:id="2920" w:name="_Toc23851"/>
      <w:bookmarkStart w:id="2921" w:name="_Toc19348"/>
      <w:bookmarkStart w:id="2922" w:name="_Toc24842"/>
      <w:bookmarkStart w:id="2923" w:name="_Toc30221"/>
      <w:bookmarkStart w:id="2924" w:name="_Toc6367"/>
      <w:bookmarkStart w:id="2925" w:name="_Toc30266"/>
      <w:bookmarkStart w:id="2926" w:name="_Toc21106"/>
      <w:bookmarkStart w:id="2927" w:name="_Toc28050"/>
      <w:bookmarkStart w:id="2928" w:name="_Toc6031"/>
      <w:bookmarkStart w:id="2929" w:name="_Toc3481"/>
      <w:bookmarkStart w:id="2930" w:name="_Toc24052"/>
      <w:bookmarkStart w:id="2931" w:name="_Toc30654"/>
      <w:bookmarkStart w:id="2932" w:name="_Toc30674"/>
      <w:bookmarkStart w:id="2933" w:name="_Toc1576"/>
      <w:bookmarkStart w:id="2934" w:name="_Toc18609"/>
      <w:bookmarkStart w:id="2935" w:name="_Toc7999"/>
      <w:bookmarkStart w:id="2936" w:name="_Toc23867"/>
      <w:bookmarkStart w:id="2937" w:name="_Toc17621"/>
      <w:bookmarkStart w:id="2938" w:name="_Toc29245"/>
      <w:bookmarkStart w:id="2939" w:name="_Toc18742"/>
      <w:bookmarkStart w:id="2940" w:name="_Toc20901"/>
      <w:bookmarkStart w:id="2941" w:name="_Toc14887"/>
      <w:bookmarkStart w:id="2942" w:name="_Toc5294"/>
      <w:bookmarkStart w:id="2943" w:name="_Toc2440"/>
      <w:bookmarkStart w:id="2944" w:name="_Toc25946"/>
      <w:bookmarkStart w:id="2945" w:name="_Toc7562"/>
      <w:bookmarkStart w:id="2946" w:name="_Toc4729"/>
      <w:bookmarkStart w:id="2947" w:name="_Toc16636"/>
      <w:bookmarkStart w:id="2948" w:name="_Toc992"/>
      <w:bookmarkStart w:id="2949" w:name="_Toc19032"/>
      <w:bookmarkStart w:id="2950" w:name="_Toc7662"/>
      <w:bookmarkStart w:id="2951" w:name="_Toc18456"/>
      <w:bookmarkStart w:id="2952" w:name="_Toc5214"/>
      <w:bookmarkStart w:id="2953" w:name="_Toc22772"/>
      <w:bookmarkStart w:id="2954" w:name="_Toc16489"/>
      <w:bookmarkStart w:id="2955" w:name="_Toc14133"/>
      <w:bookmarkStart w:id="2956" w:name="_Toc32462"/>
      <w:bookmarkStart w:id="2957" w:name="_Toc23260"/>
      <w:bookmarkStart w:id="2958" w:name="_Toc29097"/>
      <w:bookmarkStart w:id="2959" w:name="_Toc16800"/>
      <w:bookmarkStart w:id="2960" w:name="_Toc12947"/>
      <w:bookmarkStart w:id="2961" w:name="_Toc9357"/>
      <w:bookmarkStart w:id="2962" w:name="_Toc24973"/>
      <w:bookmarkStart w:id="2963" w:name="_Toc7440"/>
      <w:r>
        <w:rPr>
          <w:rFonts w:hint="eastAsia"/>
        </w:rPr>
        <w:t>（五）食物中毒应急预案</w:t>
      </w:r>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p>
    <w:p w14:paraId="3B28BFFF">
      <w:pPr>
        <w:ind w:firstLine="560"/>
      </w:pPr>
      <w:r>
        <w:rPr>
          <w:rFonts w:hint="eastAsia"/>
        </w:rPr>
        <w:t>范围：本预案适用于项目部场所、施工现场有可能发生的食物中毒紧急情况。</w:t>
      </w:r>
    </w:p>
    <w:p w14:paraId="76D29C1C">
      <w:pPr>
        <w:ind w:firstLine="560"/>
      </w:pPr>
      <w:r>
        <w:rPr>
          <w:rFonts w:hint="eastAsia"/>
        </w:rPr>
        <w:t>内容：</w:t>
      </w:r>
    </w:p>
    <w:p w14:paraId="44781267">
      <w:pPr>
        <w:ind w:firstLine="560"/>
      </w:pPr>
      <w:r>
        <w:rPr>
          <w:rFonts w:hint="eastAsia"/>
        </w:rPr>
        <w:t>一、施工现场成立应急响应小组，下设应急小分队，明确通讯联络方法。</w:t>
      </w:r>
    </w:p>
    <w:p w14:paraId="62CFD3F2">
      <w:pPr>
        <w:ind w:firstLine="560"/>
      </w:pPr>
      <w:r>
        <w:rPr>
          <w:rFonts w:hint="eastAsia"/>
        </w:rPr>
        <w:t>二、现场发生食物中毒情况时，最初发现者立即报告现场负责人或项目经理，做好现场保护工作，并立即组织人员进行抢救，采取有效措施，控制事态的扩大。</w:t>
      </w:r>
    </w:p>
    <w:p w14:paraId="4674BACF">
      <w:pPr>
        <w:ind w:firstLine="560"/>
      </w:pPr>
      <w:r>
        <w:rPr>
          <w:rFonts w:hint="eastAsia"/>
        </w:rPr>
        <w:t>同时立即停止食堂一切活动，并向公司领导及本市卫生防疫部门报告，保留造成食源性疾病，食物中毒或可能导致食源疾病，食物中毒的食品及其原料，工具，设备和现场，配合卫生行政部门进行调查，按卫生行政部门的要求如实提供有关材料和样品，落实卫生行政部门要求采取的其他措施，对涉嫌刑事犯罪的事件报当地公安部门调查取证。项目经理负责事件（故）发生时人力、物力的全面协调与调配，负责与上级主管部门及各有关部门的联络。</w:t>
      </w:r>
    </w:p>
    <w:p w14:paraId="5B6E1AD1">
      <w:pPr>
        <w:ind w:firstLine="560"/>
      </w:pPr>
      <w:r>
        <w:rPr>
          <w:rFonts w:hint="eastAsia"/>
        </w:rPr>
        <w:t>三、施工前项目部按照《职业健康安全》建立职工食堂，确保职工饮食卫生，杜绝食源疾病和食物中毒，项目部配备常规急救药品，并定期更换过期药品。食物中毒事件突发性强、不可预知性大，一旦发生，如抢救不及时、措施不得当，国家财产、人民生命安全将受到极大损失与威胁。因此，施工现场必须采取预防为主，积极控制处理突发食物中毒事件的原则。</w:t>
      </w:r>
    </w:p>
    <w:p w14:paraId="48E7FCCA">
      <w:pPr>
        <w:pStyle w:val="5"/>
        <w:spacing w:before="31" w:after="31"/>
        <w:ind w:firstLine="562"/>
      </w:pPr>
      <w:bookmarkStart w:id="2964" w:name="_Toc25512"/>
      <w:bookmarkStart w:id="2965" w:name="_Toc9808"/>
      <w:bookmarkStart w:id="2966" w:name="_Toc15032"/>
      <w:bookmarkStart w:id="2967" w:name="_Toc2859"/>
      <w:bookmarkStart w:id="2968" w:name="_Toc2408"/>
      <w:bookmarkStart w:id="2969" w:name="_Toc1411"/>
      <w:bookmarkStart w:id="2970" w:name="_Toc7122"/>
      <w:bookmarkStart w:id="2971" w:name="_Toc16673"/>
      <w:bookmarkStart w:id="2972" w:name="_Toc128"/>
      <w:bookmarkStart w:id="2973" w:name="_Toc3482"/>
      <w:bookmarkStart w:id="2974" w:name="_Toc15653"/>
      <w:bookmarkStart w:id="2975" w:name="_Toc25725"/>
      <w:bookmarkStart w:id="2976" w:name="_Toc19729"/>
      <w:bookmarkStart w:id="2977" w:name="_Toc16128"/>
      <w:bookmarkStart w:id="2978" w:name="_Toc7950"/>
      <w:bookmarkStart w:id="2979" w:name="_Toc29984"/>
      <w:bookmarkStart w:id="2980" w:name="_Toc14550"/>
      <w:bookmarkStart w:id="2981" w:name="_Toc27767"/>
      <w:bookmarkStart w:id="2982" w:name="_Toc30747"/>
      <w:bookmarkStart w:id="2983" w:name="_Toc19298"/>
      <w:bookmarkStart w:id="2984" w:name="_Toc30076"/>
      <w:bookmarkStart w:id="2985" w:name="_Toc24435"/>
      <w:bookmarkStart w:id="2986" w:name="_Toc537"/>
      <w:bookmarkStart w:id="2987" w:name="_Toc2574"/>
      <w:bookmarkStart w:id="2988" w:name="_Toc10074"/>
      <w:bookmarkStart w:id="2989" w:name="_Toc30926"/>
      <w:bookmarkStart w:id="2990" w:name="_Toc23771"/>
      <w:bookmarkStart w:id="2991" w:name="_Toc15882"/>
      <w:bookmarkStart w:id="2992" w:name="_Toc9845"/>
      <w:bookmarkStart w:id="2993" w:name="_Toc14187"/>
      <w:bookmarkStart w:id="2994" w:name="_Toc8480"/>
      <w:bookmarkStart w:id="2995" w:name="_Toc17431"/>
      <w:bookmarkStart w:id="2996" w:name="_Toc12711"/>
      <w:bookmarkStart w:id="2997" w:name="_Toc2018"/>
      <w:bookmarkStart w:id="2998" w:name="_Toc5331"/>
      <w:bookmarkStart w:id="2999" w:name="_Toc23995"/>
      <w:bookmarkStart w:id="3000" w:name="_Toc39"/>
      <w:bookmarkStart w:id="3001" w:name="_Toc26630"/>
      <w:bookmarkStart w:id="3002" w:name="_Toc8610"/>
      <w:bookmarkStart w:id="3003" w:name="_Toc1841"/>
      <w:bookmarkStart w:id="3004" w:name="_Toc3944"/>
      <w:bookmarkStart w:id="3005" w:name="_Toc8035"/>
      <w:bookmarkStart w:id="3006" w:name="_Toc24836"/>
      <w:bookmarkStart w:id="3007" w:name="_Toc4401"/>
      <w:bookmarkStart w:id="3008" w:name="_Toc9084"/>
      <w:bookmarkStart w:id="3009" w:name="_Toc31972"/>
      <w:bookmarkStart w:id="3010" w:name="_Toc1406"/>
      <w:bookmarkStart w:id="3011" w:name="_Toc14648"/>
      <w:bookmarkStart w:id="3012" w:name="_Toc14933"/>
      <w:bookmarkStart w:id="3013" w:name="_Toc10768"/>
      <w:r>
        <w:rPr>
          <w:rFonts w:hint="eastAsia"/>
        </w:rPr>
        <w:t>（六）火灾爆炸应急准备和响应预案</w:t>
      </w:r>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p>
    <w:p w14:paraId="0D23D4AD">
      <w:pPr>
        <w:ind w:firstLine="560"/>
      </w:pPr>
      <w:r>
        <w:rPr>
          <w:rFonts w:hint="eastAsia"/>
        </w:rPr>
        <w:t>（一）发生潜在的事故的物质和场所</w:t>
      </w:r>
    </w:p>
    <w:p w14:paraId="52033E35">
      <w:pPr>
        <w:ind w:firstLine="560"/>
      </w:pPr>
      <w:r>
        <w:rPr>
          <w:rFonts w:hint="eastAsia"/>
        </w:rPr>
        <w:t>油漆、油料和气瓶等具有一定危害性，由于使用维护不当或违反安全操作规程，容易引起火灾和爆炸。</w:t>
      </w:r>
    </w:p>
    <w:p w14:paraId="05396815">
      <w:pPr>
        <w:ind w:firstLine="560"/>
      </w:pPr>
      <w:r>
        <w:rPr>
          <w:rFonts w:hint="eastAsia"/>
        </w:rPr>
        <w:t>（二）发生潜在的事故的原因和相应的预防措施</w:t>
      </w:r>
    </w:p>
    <w:p w14:paraId="3CD9FFFA">
      <w:pPr>
        <w:ind w:firstLine="560"/>
      </w:pPr>
      <w:r>
        <w:rPr>
          <w:rFonts w:hint="eastAsia"/>
        </w:rPr>
        <w:t>发生潜在的事故原因</w:t>
      </w:r>
    </w:p>
    <w:p w14:paraId="4D62B4C8">
      <w:pPr>
        <w:ind w:firstLine="560"/>
      </w:pPr>
      <w:r>
        <w:rPr>
          <w:rFonts w:hint="eastAsia"/>
        </w:rPr>
        <w:t>1、设备主要原件不合理。</w:t>
      </w:r>
    </w:p>
    <w:p w14:paraId="1904DDAF">
      <w:pPr>
        <w:ind w:firstLine="560"/>
      </w:pPr>
      <w:r>
        <w:rPr>
          <w:rFonts w:hint="eastAsia"/>
        </w:rPr>
        <w:t>2、安全装置及附件设计不符合要求。</w:t>
      </w:r>
    </w:p>
    <w:p w14:paraId="6B026C7F">
      <w:pPr>
        <w:ind w:firstLine="560"/>
      </w:pPr>
      <w:r>
        <w:rPr>
          <w:rFonts w:hint="eastAsia"/>
        </w:rPr>
        <w:t>3、使用不当造成设备强度降低而破裂。</w:t>
      </w:r>
    </w:p>
    <w:p w14:paraId="3C8224F2">
      <w:pPr>
        <w:ind w:firstLine="560"/>
      </w:pPr>
      <w:r>
        <w:rPr>
          <w:rFonts w:hint="eastAsia"/>
        </w:rPr>
        <w:t>4、油漆、油料存放不符合要求。</w:t>
      </w:r>
    </w:p>
    <w:p w14:paraId="0A629155">
      <w:pPr>
        <w:ind w:firstLine="560"/>
      </w:pPr>
      <w:r>
        <w:rPr>
          <w:rFonts w:hint="eastAsia"/>
        </w:rPr>
        <w:t>发生潜在的事故的预防措施</w:t>
      </w:r>
    </w:p>
    <w:p w14:paraId="69C59045">
      <w:pPr>
        <w:ind w:firstLine="560"/>
      </w:pPr>
      <w:r>
        <w:rPr>
          <w:rFonts w:hint="eastAsia"/>
        </w:rPr>
        <w:t>1、各类油漆和其他易燃、有毒材料，应存放在专用库房内，不得于其他材料混放，挥发性油料应装放密闭容器内，妥善保管。</w:t>
      </w:r>
    </w:p>
    <w:p w14:paraId="3BE9B511">
      <w:pPr>
        <w:ind w:firstLine="560"/>
      </w:pPr>
      <w:r>
        <w:rPr>
          <w:rFonts w:hint="eastAsia"/>
        </w:rPr>
        <w:t>2、库房应通风良好，不准住人，并设置消防器材和“严禁烟火”明显标志。库房与其他建筑物应保持一定的安全距离。</w:t>
      </w:r>
    </w:p>
    <w:p w14:paraId="3D89FA50">
      <w:pPr>
        <w:ind w:firstLine="560"/>
      </w:pPr>
      <w:r>
        <w:rPr>
          <w:rFonts w:hint="eastAsia"/>
        </w:rPr>
        <w:t>3、使用煤油、汽油、等调配油料，戴好防护用品，严禁吸烟。</w:t>
      </w:r>
    </w:p>
    <w:p w14:paraId="736C83ED">
      <w:pPr>
        <w:ind w:firstLine="560"/>
      </w:pPr>
      <w:r>
        <w:rPr>
          <w:rFonts w:hint="eastAsia"/>
        </w:rPr>
        <w:t>4、沾染油漆的棉纱、破布、油纸等废物，应存放在有盖的金属容器内，及处理。</w:t>
      </w:r>
    </w:p>
    <w:p w14:paraId="578021CA">
      <w:pPr>
        <w:ind w:firstLine="560"/>
      </w:pPr>
      <w:r>
        <w:rPr>
          <w:rFonts w:hint="eastAsia"/>
        </w:rPr>
        <w:t>5、不同类的气瓶，瓶与瓶之间不小于5米，气瓶与明火距离不小于10米，当不能满足安全距离要求时应有隔离防护措施。</w:t>
      </w:r>
    </w:p>
    <w:p w14:paraId="0B315A59">
      <w:pPr>
        <w:ind w:firstLine="560"/>
      </w:pPr>
      <w:r>
        <w:rPr>
          <w:rFonts w:hint="eastAsia"/>
        </w:rPr>
        <w:t>6、乙炔瓶不应平放</w:t>
      </w:r>
    </w:p>
    <w:p w14:paraId="5D19482C">
      <w:pPr>
        <w:ind w:firstLine="560"/>
      </w:pPr>
      <w:r>
        <w:rPr>
          <w:rFonts w:hint="eastAsia"/>
        </w:rPr>
        <w:t>7、乙炔瓶瓶体温度，不准超过40度，夏季应防爆晒，冬季解冻用温水。</w:t>
      </w:r>
    </w:p>
    <w:p w14:paraId="53D84FD3">
      <w:pPr>
        <w:ind w:firstLine="560"/>
      </w:pPr>
      <w:r>
        <w:rPr>
          <w:rFonts w:hint="eastAsia"/>
        </w:rPr>
        <w:t>8、存放区应配备灭火器材。</w:t>
      </w:r>
    </w:p>
    <w:p w14:paraId="4586CCA1">
      <w:pPr>
        <w:ind w:firstLine="560"/>
      </w:pPr>
      <w:r>
        <w:rPr>
          <w:rFonts w:hint="eastAsia"/>
        </w:rPr>
        <w:t>（三）应急对策</w:t>
      </w:r>
    </w:p>
    <w:p w14:paraId="249E4F14">
      <w:pPr>
        <w:ind w:firstLine="560"/>
      </w:pPr>
      <w:r>
        <w:rPr>
          <w:rFonts w:hint="eastAsia"/>
        </w:rPr>
        <w:t>当现场发现紧急事故，发现人应立即采取措施及时报警，疏散人员，报告领导，并有向消防、医院等部门救援。</w:t>
      </w:r>
    </w:p>
    <w:p w14:paraId="70C119A1">
      <w:pPr>
        <w:pStyle w:val="4"/>
        <w:spacing w:before="93" w:after="31"/>
      </w:pPr>
      <w:bookmarkStart w:id="3014" w:name="_Toc26451"/>
      <w:bookmarkStart w:id="3015" w:name="_Toc16416"/>
      <w:bookmarkStart w:id="3016" w:name="_Toc23439"/>
      <w:bookmarkStart w:id="3017" w:name="_Toc24268"/>
      <w:bookmarkStart w:id="3018" w:name="_Toc13715"/>
      <w:bookmarkStart w:id="3019" w:name="_Toc29765"/>
      <w:bookmarkStart w:id="3020" w:name="_Toc22400"/>
      <w:bookmarkStart w:id="3021" w:name="_Toc9893"/>
      <w:bookmarkStart w:id="3022" w:name="_Toc19075"/>
      <w:bookmarkStart w:id="3023" w:name="_Toc4046"/>
      <w:bookmarkStart w:id="3024" w:name="_Toc14346"/>
      <w:bookmarkStart w:id="3025" w:name="_Toc4792"/>
      <w:bookmarkStart w:id="3026" w:name="_Toc8185"/>
      <w:bookmarkStart w:id="3027" w:name="_Toc49"/>
      <w:bookmarkStart w:id="3028" w:name="_Toc7167"/>
      <w:bookmarkStart w:id="3029" w:name="_Toc231"/>
      <w:bookmarkStart w:id="3030" w:name="_Toc16181"/>
      <w:bookmarkStart w:id="3031" w:name="_Toc20155"/>
      <w:bookmarkStart w:id="3032" w:name="_Toc662"/>
      <w:bookmarkStart w:id="3033" w:name="_Toc10195"/>
      <w:bookmarkStart w:id="3034" w:name="_Toc11184"/>
      <w:bookmarkStart w:id="3035" w:name="_Toc12912"/>
      <w:bookmarkStart w:id="3036" w:name="_Toc13858"/>
      <w:bookmarkStart w:id="3037" w:name="_Toc15602"/>
      <w:bookmarkStart w:id="3038" w:name="_Toc11625"/>
      <w:bookmarkStart w:id="3039" w:name="_Toc19072"/>
      <w:bookmarkStart w:id="3040" w:name="_Toc7375"/>
      <w:bookmarkStart w:id="3041" w:name="_Toc12842"/>
      <w:bookmarkStart w:id="3042" w:name="_Toc20622"/>
      <w:bookmarkStart w:id="3043" w:name="_Toc25809"/>
      <w:bookmarkStart w:id="3044" w:name="_Toc25773"/>
      <w:bookmarkStart w:id="3045" w:name="_Toc688"/>
      <w:bookmarkStart w:id="3046" w:name="_Toc6045"/>
      <w:bookmarkStart w:id="3047" w:name="_Toc7025"/>
      <w:bookmarkStart w:id="3048" w:name="_Toc11622"/>
      <w:bookmarkStart w:id="3049" w:name="_Toc28143"/>
      <w:bookmarkStart w:id="3050" w:name="_Toc14308"/>
      <w:bookmarkStart w:id="3051" w:name="_Toc30829"/>
      <w:bookmarkStart w:id="3052" w:name="_Toc8320"/>
      <w:bookmarkStart w:id="3053" w:name="_Toc10206"/>
      <w:bookmarkStart w:id="3054" w:name="_Toc6839"/>
      <w:bookmarkStart w:id="3055" w:name="_Toc2964"/>
      <w:bookmarkStart w:id="3056" w:name="_Toc26608"/>
      <w:bookmarkStart w:id="3057" w:name="_Toc15280"/>
      <w:bookmarkStart w:id="3058" w:name="_Toc28631"/>
      <w:bookmarkStart w:id="3059" w:name="_Toc21079"/>
      <w:bookmarkStart w:id="3060" w:name="_Toc5972"/>
      <w:bookmarkStart w:id="3061" w:name="_Toc27677"/>
      <w:bookmarkStart w:id="3062" w:name="_Toc21187"/>
      <w:bookmarkStart w:id="3063" w:name="_Toc20736"/>
      <w:bookmarkStart w:id="3064" w:name="_Toc8543"/>
      <w:bookmarkStart w:id="3065" w:name="_Toc14935"/>
      <w:bookmarkStart w:id="3066" w:name="_Toc6763"/>
      <w:bookmarkStart w:id="3067" w:name="_Toc8273"/>
      <w:bookmarkStart w:id="3068" w:name="_Toc10274"/>
      <w:bookmarkStart w:id="3069" w:name="_Toc15743"/>
      <w:bookmarkStart w:id="3070" w:name="_Toc29090"/>
      <w:bookmarkStart w:id="3071" w:name="_Toc17874"/>
      <w:bookmarkStart w:id="3072" w:name="_Toc9860"/>
      <w:bookmarkStart w:id="3073" w:name="_Toc2395"/>
      <w:bookmarkStart w:id="3074" w:name="_Toc14314"/>
      <w:r>
        <w:rPr>
          <w:rFonts w:hint="eastAsia"/>
        </w:rPr>
        <w:t>十一、</w:t>
      </w:r>
      <w:r>
        <w:t>文明施工的管理体系与措施</w:t>
      </w:r>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p>
    <w:p w14:paraId="04CD8137">
      <w:pPr>
        <w:pStyle w:val="5"/>
        <w:spacing w:before="31" w:after="31"/>
        <w:ind w:firstLine="562"/>
      </w:pPr>
      <w:bookmarkStart w:id="3075" w:name="_Toc19029"/>
      <w:bookmarkStart w:id="3076" w:name="_Toc26553"/>
      <w:bookmarkStart w:id="3077" w:name="_Toc4835"/>
      <w:bookmarkStart w:id="3078" w:name="_Toc2892"/>
      <w:bookmarkStart w:id="3079" w:name="_Toc32561"/>
      <w:bookmarkStart w:id="3080" w:name="_Toc22332"/>
      <w:bookmarkStart w:id="3081" w:name="_Toc23236"/>
      <w:bookmarkStart w:id="3082" w:name="_Toc15732"/>
      <w:bookmarkStart w:id="3083" w:name="_Toc16532"/>
      <w:bookmarkStart w:id="3084" w:name="_Toc1277"/>
      <w:bookmarkStart w:id="3085" w:name="_Toc24943"/>
      <w:bookmarkStart w:id="3086" w:name="_Toc8867"/>
      <w:bookmarkStart w:id="3087" w:name="_Toc16846"/>
      <w:bookmarkStart w:id="3088" w:name="_Toc3477"/>
      <w:bookmarkStart w:id="3089" w:name="_Toc27185"/>
      <w:bookmarkStart w:id="3090" w:name="_Toc7105"/>
      <w:bookmarkStart w:id="3091" w:name="_Toc28684"/>
      <w:bookmarkStart w:id="3092" w:name="_Toc24913"/>
      <w:bookmarkStart w:id="3093" w:name="_Toc32136"/>
      <w:bookmarkStart w:id="3094" w:name="_Toc22510"/>
      <w:bookmarkStart w:id="3095" w:name="_Toc15478"/>
      <w:bookmarkStart w:id="3096" w:name="_Toc11127"/>
      <w:bookmarkStart w:id="3097" w:name="_Toc19013"/>
      <w:bookmarkStart w:id="3098" w:name="_Toc16344"/>
      <w:bookmarkStart w:id="3099" w:name="_Toc7309"/>
      <w:bookmarkStart w:id="3100" w:name="_Toc27097"/>
      <w:bookmarkStart w:id="3101" w:name="_Toc27434"/>
      <w:bookmarkStart w:id="3102" w:name="_Toc26193"/>
      <w:bookmarkStart w:id="3103" w:name="_Toc27308"/>
      <w:bookmarkStart w:id="3104" w:name="_Toc12389"/>
      <w:bookmarkStart w:id="3105" w:name="_Toc1071"/>
      <w:bookmarkStart w:id="3106" w:name="_Toc8153"/>
      <w:bookmarkStart w:id="3107" w:name="_Toc25101"/>
      <w:bookmarkStart w:id="3108" w:name="_Toc29846"/>
      <w:bookmarkStart w:id="3109" w:name="_Toc18311"/>
      <w:bookmarkStart w:id="3110" w:name="_Toc6489"/>
      <w:bookmarkStart w:id="3111" w:name="_Toc20381"/>
      <w:bookmarkStart w:id="3112" w:name="_Toc10301"/>
      <w:bookmarkStart w:id="3113" w:name="_Toc3159"/>
      <w:bookmarkStart w:id="3114" w:name="_Toc3732"/>
      <w:bookmarkStart w:id="3115" w:name="_Toc23056"/>
      <w:bookmarkStart w:id="3116" w:name="_Toc23276"/>
      <w:bookmarkStart w:id="3117" w:name="_Toc28829"/>
      <w:bookmarkStart w:id="3118" w:name="_Toc12094"/>
      <w:bookmarkStart w:id="3119" w:name="_Toc26245"/>
      <w:bookmarkStart w:id="3120" w:name="_Toc31290"/>
      <w:bookmarkStart w:id="3121" w:name="_Toc12347"/>
      <w:bookmarkStart w:id="3122" w:name="_Toc12991"/>
      <w:bookmarkStart w:id="3123" w:name="_Toc710"/>
      <w:bookmarkStart w:id="3124" w:name="_Toc9771"/>
      <w:bookmarkStart w:id="3125" w:name="_Toc22678"/>
      <w:bookmarkStart w:id="3126" w:name="_Toc11240"/>
      <w:bookmarkStart w:id="3127" w:name="_Toc270"/>
      <w:r>
        <w:rPr>
          <w:rFonts w:hint="eastAsia"/>
        </w:rPr>
        <w:t>（一）</w:t>
      </w:r>
      <w:r>
        <w:t>文明施工</w:t>
      </w:r>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p>
    <w:p w14:paraId="68BC4862">
      <w:pPr>
        <w:ind w:firstLine="560"/>
      </w:pPr>
      <w:r>
        <w:t>文明施工是施工企业管理的永恒主题。在本工程的施工建设过程中，我单位将认真执行《国家建设工程安全文明生产管理规定》，严格按《施工企业安全文明施工考核标准》建立健全安全保障体系和安全监督体系，坚持实施全过程安全目标管理。</w:t>
      </w:r>
    </w:p>
    <w:p w14:paraId="76F029BD">
      <w:pPr>
        <w:ind w:firstLine="560"/>
      </w:pPr>
      <w:r>
        <w:t>通过以往工程施工的实践，我单位充分认识到文明施工在项目管理中的重要作用。一是文明施工改变施工现场面貌，改善职工劳动条件，提高工作效率，始终保持良好的精神状态。</w:t>
      </w:r>
    </w:p>
    <w:p w14:paraId="61D96DA1">
      <w:pPr>
        <w:ind w:firstLine="560"/>
      </w:pPr>
      <w:r>
        <w:t>文明施工不仅可以促质量，保安全，而且能够提高经济效益；文明施工注重规范，各项目施工管理工作较严谨，减少了工、料、机无效投入的浪费；文明施工讲究工艺，开挖规范，控制严格，超挖较少，减少了大量原材料的消耗。</w:t>
      </w:r>
    </w:p>
    <w:p w14:paraId="12731C3F">
      <w:pPr>
        <w:ind w:firstLine="560"/>
      </w:pPr>
      <w:r>
        <w:t>文明施工可以提高工程项目管理水平，促进企业施工水平发展，增强企业竞争能力，逐步和国际接轨，尽快实现企业管理现代化。</w:t>
      </w:r>
    </w:p>
    <w:p w14:paraId="022FECE2">
      <w:pPr>
        <w:ind w:firstLine="560"/>
      </w:pPr>
      <w:r>
        <w:t>具体措施如下：</w:t>
      </w:r>
    </w:p>
    <w:p w14:paraId="3DDAD2C7">
      <w:pPr>
        <w:ind w:firstLine="560"/>
      </w:pPr>
      <w:r>
        <w:t>（1）建立及健全安全文明生产保证体系和安全文明生产监督体系。由项目经理、总工、安全工程师、各施工作业队负责人、专职安检员组成项目部安全文明生产管理委员会。项目经理是安全文明的第一责任人，项目部设安全管理委员会，专职安全文明生产管理，并配备数量足够的安全工程师和专职安全员。</w:t>
      </w:r>
    </w:p>
    <w:p w14:paraId="56BF8C71">
      <w:pPr>
        <w:ind w:firstLine="560"/>
      </w:pPr>
      <w:r>
        <w:t>（2）结合本项目的施工特点和项目部的实际情况，制订切实可行的安全管理制度和规定，并在执行过程中不断完善。</w:t>
      </w:r>
    </w:p>
    <w:p w14:paraId="38BBCC0B">
      <w:pPr>
        <w:ind w:firstLine="560"/>
      </w:pPr>
      <w:r>
        <w:t>（3）在工程开工前制订一份详细的施工安全措施报送业主，并在实施过程中认真执行。</w:t>
      </w:r>
    </w:p>
    <w:p w14:paraId="4D82FCB1">
      <w:pPr>
        <w:ind w:firstLine="560"/>
      </w:pPr>
      <w:r>
        <w:t>（4）根据国家颁布的各项安全规程，结合本项目的特点，及时编印一套适合于本工程的安全防护规程手册。本项目的所有进场人员均需通过本手册的学习与考试，考试不合格者一律不准上岗。</w:t>
      </w:r>
    </w:p>
    <w:p w14:paraId="70C95E7C">
      <w:pPr>
        <w:ind w:firstLine="560"/>
      </w:pPr>
      <w:r>
        <w:t>（5）实施安全文明生产目标管理。项目部与部门和作业队，作业队与班组层层签订安全文明生产责任书，一年一次考核，奖惩及时兑现。</w:t>
      </w:r>
    </w:p>
    <w:p w14:paraId="30D4B65B">
      <w:pPr>
        <w:ind w:firstLine="560"/>
      </w:pPr>
      <w:r>
        <w:t>（6）坚持在计划、布置、检查、总结、评比生产的同时，计划、布置、检查、总结、评比安全文明生产工作。</w:t>
      </w:r>
    </w:p>
    <w:p w14:paraId="2F0FCB4D">
      <w:pPr>
        <w:ind w:firstLine="560"/>
      </w:pPr>
      <w:r>
        <w:t>（7）经常性地认真开展三级安全教育和技术培训，转岗轮训，保证特殊工种人员持证上岗。</w:t>
      </w:r>
    </w:p>
    <w:p w14:paraId="7803CEEC">
      <w:pPr>
        <w:ind w:firstLine="560"/>
      </w:pPr>
      <w:r>
        <w:t>（8）严格现场安全管理。项目部每周进行一次安全检查，及时整改安全隐患，不断完善和规范安全防护设施。</w:t>
      </w:r>
    </w:p>
    <w:p w14:paraId="64879B26">
      <w:pPr>
        <w:ind w:firstLine="560"/>
      </w:pPr>
      <w:r>
        <w:t>（9）认真做好本标范围内各施工区、各车间、道路等的夜间照明工作，保证夜间施工安全。</w:t>
      </w:r>
    </w:p>
    <w:p w14:paraId="0A0EBCF4">
      <w:pPr>
        <w:ind w:firstLine="560"/>
      </w:pPr>
      <w:r>
        <w:t>（10）做好电器设备和建筑物的防雷、接地设计与安装工作，并定期进行检查，确保系统防雷安全。</w:t>
      </w:r>
    </w:p>
    <w:p w14:paraId="6B0744ED">
      <w:pPr>
        <w:ind w:firstLine="560"/>
      </w:pPr>
      <w:r>
        <w:t>（11）施工现场的炸药、雷管和油料等特殊材料的存放、运输等严格遵守国家和本工地的有关规定。</w:t>
      </w:r>
    </w:p>
    <w:p w14:paraId="05575B35">
      <w:pPr>
        <w:ind w:firstLine="560"/>
      </w:pPr>
      <w:r>
        <w:t>（12）严格遵守《爆破安全规程》。从爆破人员的资质管理与安全教育和民用爆炸品的管理到爆破作业的全过程，都将建立健全的管理制度，并严格执行。爆破作业现场设专人指挥，并根据技术要求，设置明确的安全警戒区和数量足够的专门警戒人员。</w:t>
      </w:r>
    </w:p>
    <w:p w14:paraId="066723AC">
      <w:pPr>
        <w:ind w:firstLine="560"/>
      </w:pPr>
      <w:r>
        <w:t>（13）认真贯彻执行《消防法》，配备专业消防队伍，结合工程特点认真编制消防措施计划，并报监理工程师审批。在施工现场，仓库、生活区、修理车间等配置适量的消防和灭火设备器材并明确责任人，定期进行检查保养，确保本标消防安全。</w:t>
      </w:r>
    </w:p>
    <w:p w14:paraId="467413DB">
      <w:pPr>
        <w:ind w:firstLine="560"/>
      </w:pPr>
      <w:r>
        <w:t>（14）对于危险作业或操作，设立专门安全监督岗，在危险地点附近设置醒目的标志，提醒工作人员注意。</w:t>
      </w:r>
    </w:p>
    <w:p w14:paraId="4438743F">
      <w:pPr>
        <w:ind w:firstLine="560"/>
      </w:pPr>
      <w:r>
        <w:t>（15）每个月举行一次有项目经理、项目部总工、主管生产副经理、工程部、物供部、质安部、安全工程师、作业队负责人、专兼职安全员等参加的安全文明生产工作会，检查安全文明生产情况，讨论决定安全文明生产的重大事项。</w:t>
      </w:r>
    </w:p>
    <w:p w14:paraId="110FC612">
      <w:pPr>
        <w:pStyle w:val="5"/>
        <w:spacing w:before="31" w:after="31"/>
        <w:ind w:firstLine="562"/>
      </w:pPr>
      <w:bookmarkStart w:id="3128" w:name="_Toc31871"/>
      <w:bookmarkStart w:id="3129" w:name="_Toc10268"/>
      <w:bookmarkStart w:id="3130" w:name="_Toc30628"/>
      <w:bookmarkStart w:id="3131" w:name="_Toc18260"/>
      <w:bookmarkStart w:id="3132" w:name="_Toc31075"/>
      <w:bookmarkStart w:id="3133" w:name="_Toc5610"/>
      <w:bookmarkStart w:id="3134" w:name="_Toc31762"/>
      <w:bookmarkStart w:id="3135" w:name="_Toc30912"/>
      <w:bookmarkStart w:id="3136" w:name="_Toc1397"/>
      <w:bookmarkStart w:id="3137" w:name="_Toc19489"/>
      <w:bookmarkStart w:id="3138" w:name="_Toc31074"/>
      <w:bookmarkStart w:id="3139" w:name="_Toc23721"/>
      <w:bookmarkStart w:id="3140" w:name="_Toc3761"/>
      <w:bookmarkStart w:id="3141" w:name="_Toc32522"/>
      <w:bookmarkStart w:id="3142" w:name="_Toc26239"/>
      <w:bookmarkStart w:id="3143" w:name="_Toc20944"/>
      <w:bookmarkStart w:id="3144" w:name="_Toc21050"/>
      <w:bookmarkStart w:id="3145" w:name="_Toc7858"/>
      <w:bookmarkStart w:id="3146" w:name="_Toc2647"/>
      <w:bookmarkStart w:id="3147" w:name="_Toc29102"/>
      <w:bookmarkStart w:id="3148" w:name="_Toc24228"/>
      <w:bookmarkStart w:id="3149" w:name="_Toc10606"/>
      <w:bookmarkStart w:id="3150" w:name="_Toc20005"/>
      <w:bookmarkStart w:id="3151" w:name="_Toc28761"/>
      <w:bookmarkStart w:id="3152" w:name="_Toc965"/>
      <w:bookmarkStart w:id="3153" w:name="_Toc6100"/>
      <w:bookmarkStart w:id="3154" w:name="_Toc30357"/>
      <w:bookmarkStart w:id="3155" w:name="_Toc30256"/>
      <w:bookmarkStart w:id="3156" w:name="_Toc20979"/>
      <w:bookmarkStart w:id="3157" w:name="_Toc16484"/>
      <w:bookmarkStart w:id="3158" w:name="_Toc24871"/>
      <w:bookmarkStart w:id="3159" w:name="_Toc17950"/>
      <w:bookmarkStart w:id="3160" w:name="_Toc11613"/>
      <w:bookmarkStart w:id="3161" w:name="_Toc26679"/>
      <w:bookmarkStart w:id="3162" w:name="_Toc12014"/>
      <w:bookmarkStart w:id="3163" w:name="_Toc30432"/>
      <w:bookmarkStart w:id="3164" w:name="_Toc12201"/>
      <w:bookmarkStart w:id="3165" w:name="_Toc229"/>
      <w:bookmarkStart w:id="3166" w:name="_Toc15397"/>
      <w:bookmarkStart w:id="3167" w:name="_Toc15811"/>
      <w:bookmarkStart w:id="3168" w:name="_Toc16359"/>
      <w:bookmarkStart w:id="3169" w:name="_Toc2748"/>
      <w:bookmarkStart w:id="3170" w:name="_Toc15372"/>
      <w:bookmarkStart w:id="3171" w:name="_Toc31245"/>
      <w:bookmarkStart w:id="3172" w:name="_Toc23270"/>
      <w:bookmarkStart w:id="3173" w:name="_Toc19520"/>
      <w:bookmarkStart w:id="3174" w:name="_Toc13164"/>
      <w:bookmarkStart w:id="3175" w:name="_Toc12944"/>
      <w:bookmarkStart w:id="3176" w:name="_Toc15251"/>
      <w:bookmarkStart w:id="3177" w:name="_Toc12495"/>
      <w:bookmarkStart w:id="3178" w:name="_Toc10185"/>
      <w:bookmarkStart w:id="3179" w:name="_Toc27106"/>
      <w:bookmarkStart w:id="3180" w:name="_Toc4895"/>
      <w:bookmarkStart w:id="3181" w:name="_Toc30284"/>
      <w:bookmarkStart w:id="3182" w:name="_Toc24762"/>
      <w:bookmarkStart w:id="3183" w:name="_Toc21928"/>
      <w:r>
        <w:rPr>
          <w:rFonts w:hint="eastAsia"/>
        </w:rPr>
        <w:t>（二）</w:t>
      </w:r>
      <w:r>
        <w:t>文明施工管理条例</w:t>
      </w:r>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p>
    <w:p w14:paraId="5F60CAEF">
      <w:pPr>
        <w:ind w:firstLine="560"/>
      </w:pPr>
      <w:r>
        <w:t>（一）为了认真贯彻公司“三合一”管理体系，经公司研究决定，制定并实施下列管理条例,即执行。</w:t>
      </w:r>
    </w:p>
    <w:p w14:paraId="7970CB2C">
      <w:pPr>
        <w:ind w:firstLine="560"/>
      </w:pPr>
      <w:r>
        <w:t>（二）工人在工地现场有违反以下一项者，罚款50元，一次违反两项者罚款50元；一次违反三项以上者，罚款200元或当场辞退。</w:t>
      </w:r>
    </w:p>
    <w:p w14:paraId="69F883E4">
      <w:pPr>
        <w:ind w:firstLine="560"/>
      </w:pPr>
      <w:r>
        <w:t>1、工现场不佩戴安全帽；</w:t>
      </w:r>
    </w:p>
    <w:p w14:paraId="3C3B19E8">
      <w:pPr>
        <w:ind w:firstLine="560"/>
      </w:pPr>
      <w:r>
        <w:t>2、已发放工作服而不穿工作服；</w:t>
      </w:r>
    </w:p>
    <w:p w14:paraId="2D198A1B">
      <w:pPr>
        <w:ind w:firstLine="560"/>
      </w:pPr>
      <w:r>
        <w:t>3、赤脚或穿拖鞋、高跟鞋</w:t>
      </w:r>
    </w:p>
    <w:p w14:paraId="630D9425">
      <w:pPr>
        <w:ind w:firstLine="560"/>
      </w:pPr>
      <w:r>
        <w:t>4、赤裸上身、穿短裤；</w:t>
      </w:r>
    </w:p>
    <w:p w14:paraId="5C745843">
      <w:pPr>
        <w:ind w:firstLine="560"/>
      </w:pPr>
      <w:r>
        <w:t>5、在禁烟区吸烟；</w:t>
      </w:r>
    </w:p>
    <w:p w14:paraId="70811D02">
      <w:pPr>
        <w:ind w:firstLine="560"/>
      </w:pPr>
      <w:r>
        <w:t>6、高处乱扔垃圾、物品；</w:t>
      </w:r>
    </w:p>
    <w:p w14:paraId="09827C5D">
      <w:pPr>
        <w:ind w:firstLine="560"/>
      </w:pPr>
      <w:r>
        <w:t>7、饮酒后进入施工现场；</w:t>
      </w:r>
    </w:p>
    <w:p w14:paraId="31586E1A">
      <w:pPr>
        <w:ind w:firstLine="560"/>
      </w:pPr>
      <w:r>
        <w:t>8、带小孩进入施工现场；</w:t>
      </w:r>
    </w:p>
    <w:p w14:paraId="425856E1">
      <w:pPr>
        <w:ind w:firstLine="560"/>
      </w:pPr>
      <w:r>
        <w:t>9、按工种要求需配备灭火器施工操作，而不带灭火器；</w:t>
      </w:r>
    </w:p>
    <w:p w14:paraId="28D6E1D2">
      <w:pPr>
        <w:ind w:firstLine="560"/>
      </w:pPr>
      <w:r>
        <w:t>10、乱涂、乱写、乱画；</w:t>
      </w:r>
    </w:p>
    <w:p w14:paraId="1B215014">
      <w:pPr>
        <w:ind w:firstLine="560"/>
      </w:pPr>
      <w:r>
        <w:t>11、追逐、打闹或一般性的吵骂；</w:t>
      </w:r>
    </w:p>
    <w:p w14:paraId="7436EF1E">
      <w:pPr>
        <w:ind w:firstLine="560"/>
      </w:pPr>
      <w:r>
        <w:t>12、班组“工完场清”不彻底；</w:t>
      </w:r>
    </w:p>
    <w:p w14:paraId="3901E131">
      <w:pPr>
        <w:ind w:firstLine="560"/>
      </w:pPr>
      <w:r>
        <w:t>13、材料堆放不符合材料堆放操作规程规定；</w:t>
      </w:r>
    </w:p>
    <w:p w14:paraId="191F8740">
      <w:pPr>
        <w:ind w:firstLine="560"/>
      </w:pPr>
      <w:r>
        <w:t>14、责任区卫生清理不彻底；</w:t>
      </w:r>
    </w:p>
    <w:p w14:paraId="7BCABC82">
      <w:pPr>
        <w:ind w:firstLine="560"/>
      </w:pPr>
      <w:r>
        <w:t>15、未将建筑物垃圾按照项目部规定和指定的地方进行堆放；</w:t>
      </w:r>
    </w:p>
    <w:p w14:paraId="44BDAB95">
      <w:pPr>
        <w:ind w:firstLine="560"/>
      </w:pPr>
      <w:r>
        <w:t>16、需控制粉尘的施工作业，未采取有效措施；</w:t>
      </w:r>
    </w:p>
    <w:p w14:paraId="7A65D49A">
      <w:pPr>
        <w:ind w:firstLine="560"/>
      </w:pPr>
      <w:r>
        <w:t>17、需控制噪音的施工作业，未采取有效措施。</w:t>
      </w:r>
    </w:p>
    <w:p w14:paraId="5AB63E61">
      <w:pPr>
        <w:ind w:firstLine="560"/>
      </w:pPr>
      <w:r>
        <w:t>（三）施工人员在施工现场有以下严重不文明行为之一者罚款100元，一次违反两项或两项以上的者，罚款300元或当场辞退。</w:t>
      </w:r>
    </w:p>
    <w:p w14:paraId="508307C5">
      <w:pPr>
        <w:ind w:firstLine="560"/>
      </w:pPr>
      <w:r>
        <w:t>1、乱拉、乱接电线；</w:t>
      </w:r>
    </w:p>
    <w:p w14:paraId="54AD68DB">
      <w:pPr>
        <w:ind w:firstLine="560"/>
      </w:pPr>
      <w:r>
        <w:t>2、未经负责人批准，擅自拆除管架、安全设施、安全装置和消防措施；</w:t>
      </w:r>
    </w:p>
    <w:p w14:paraId="540AA612">
      <w:pPr>
        <w:ind w:firstLine="560"/>
      </w:pPr>
      <w:r>
        <w:t>3、损坏安全装置、安全防护设施和消防设施；</w:t>
      </w:r>
    </w:p>
    <w:p w14:paraId="077381C0">
      <w:pPr>
        <w:ind w:firstLine="560"/>
      </w:pPr>
      <w:r>
        <w:t>4、</w:t>
      </w:r>
      <w:r>
        <w:rPr>
          <w:rFonts w:hint="eastAsia"/>
        </w:rPr>
        <w:t>随</w:t>
      </w:r>
      <w:r>
        <w:t>地大小便；</w:t>
      </w:r>
    </w:p>
    <w:p w14:paraId="024FD19C">
      <w:pPr>
        <w:ind w:firstLine="560"/>
      </w:pPr>
      <w:r>
        <w:t>5、酗酒、打架斗殴；</w:t>
      </w:r>
    </w:p>
    <w:p w14:paraId="2D6AB5C4">
      <w:pPr>
        <w:ind w:firstLine="560"/>
      </w:pPr>
      <w:r>
        <w:t>6、自进入住户区进行一般性破坏或长时间逗留；</w:t>
      </w:r>
    </w:p>
    <w:p w14:paraId="5CE3EEC7">
      <w:pPr>
        <w:ind w:firstLine="560"/>
      </w:pPr>
      <w:r>
        <w:t>7、对需保护施工区域，未采取有效保护措施进行施工，未造成严重污染；</w:t>
      </w:r>
    </w:p>
    <w:p w14:paraId="1891D9DE">
      <w:pPr>
        <w:ind w:firstLine="560"/>
      </w:pPr>
      <w:r>
        <w:t>8、大量随意倾倒垃圾；</w:t>
      </w:r>
    </w:p>
    <w:p w14:paraId="13C857AE">
      <w:pPr>
        <w:ind w:firstLine="560"/>
      </w:pPr>
      <w:r>
        <w:t>9、施工现场出现黄赌毒现象的施工班组或施工人员。</w:t>
      </w:r>
    </w:p>
    <w:p w14:paraId="2F542DA1">
      <w:pPr>
        <w:ind w:firstLine="560"/>
      </w:pPr>
      <w:r>
        <w:t>（四）施工人员在施工现场有以下严重不文明行为之一者罚款</w:t>
      </w:r>
      <w:r>
        <w:rPr>
          <w:rFonts w:hint="eastAsia"/>
        </w:rPr>
        <w:t>1</w:t>
      </w:r>
      <w:r>
        <w:t>00元，一次违反两项或两项以上的者，罚款300元或应对损失进行赔偿。</w:t>
      </w:r>
    </w:p>
    <w:p w14:paraId="258033D0">
      <w:pPr>
        <w:ind w:firstLine="560"/>
      </w:pPr>
      <w:r>
        <w:t>1、盗取施工施工财物；</w:t>
      </w:r>
    </w:p>
    <w:p w14:paraId="294D7125">
      <w:pPr>
        <w:ind w:firstLine="560"/>
      </w:pPr>
      <w:r>
        <w:t>2、故意损害工程财物或施工机具；</w:t>
      </w:r>
    </w:p>
    <w:p w14:paraId="11526713">
      <w:pPr>
        <w:ind w:firstLine="560"/>
      </w:pPr>
      <w:r>
        <w:t>3、故意损害进场设备；</w:t>
      </w:r>
    </w:p>
    <w:p w14:paraId="0830BF0C">
      <w:pPr>
        <w:ind w:firstLine="560"/>
      </w:pPr>
      <w:r>
        <w:t>4、损坏公司的CI标识；</w:t>
      </w:r>
    </w:p>
    <w:p w14:paraId="336AF0D9">
      <w:pPr>
        <w:ind w:firstLine="560"/>
      </w:pPr>
      <w:r>
        <w:t>5、对需保护施工区域，未采取有效保护措施，进行施工，造成严重污染；</w:t>
      </w:r>
    </w:p>
    <w:p w14:paraId="4440716D">
      <w:pPr>
        <w:ind w:firstLine="560"/>
      </w:pPr>
      <w:r>
        <w:t>6、施工排水不及时或未采取有效排放措施，致使场地积水，造成严重后果；</w:t>
      </w:r>
    </w:p>
    <w:p w14:paraId="68C37C74">
      <w:pPr>
        <w:ind w:firstLine="560"/>
      </w:pPr>
      <w:r>
        <w:t>7、施工班组“工完场清”未进行；</w:t>
      </w:r>
    </w:p>
    <w:p w14:paraId="30D11433">
      <w:pPr>
        <w:ind w:firstLine="560"/>
      </w:pPr>
      <w:r>
        <w:t>8、责任区卫生清理当天未进行；</w:t>
      </w:r>
    </w:p>
    <w:p w14:paraId="6C9DC464">
      <w:pPr>
        <w:ind w:firstLine="560"/>
      </w:pPr>
      <w:r>
        <w:t>9、擅自进入场区域进行较严重的破坏活动而构成犯罪；</w:t>
      </w:r>
    </w:p>
    <w:p w14:paraId="0D577C9B">
      <w:pPr>
        <w:ind w:firstLine="560"/>
      </w:pPr>
      <w:r>
        <w:t>10、其他给公司造成损失的行为。</w:t>
      </w:r>
    </w:p>
    <w:p w14:paraId="4E8415FC">
      <w:pPr>
        <w:ind w:firstLine="560"/>
      </w:pPr>
      <w:r>
        <w:t>（五）所雇人员未经允许擅自离岗者，一经发现扣发当天工资，一周发生三次，累计六次，立刻辞退。</w:t>
      </w:r>
    </w:p>
    <w:p w14:paraId="03C21A52">
      <w:pPr>
        <w:ind w:firstLine="560"/>
      </w:pPr>
      <w:r>
        <w:t>（六）以上规定由班组集体行为的，按该项规定的个人罚款金额3倍加罚。</w:t>
      </w:r>
    </w:p>
    <w:p w14:paraId="5F944CE9">
      <w:pPr>
        <w:ind w:firstLine="560"/>
      </w:pPr>
      <w:r>
        <w:t>（七）因集体或个人原因造成财物损失，有责任人照价赔偿。</w:t>
      </w:r>
    </w:p>
    <w:p w14:paraId="42201D8B">
      <w:pPr>
        <w:ind w:firstLine="560"/>
      </w:pPr>
      <w:r>
        <w:t>（八）施工人员在施工现场有违反过件法律的行为不在本规定管理范围内，违法者将依法送至公安机关。</w:t>
      </w:r>
    </w:p>
    <w:p w14:paraId="5C9E34FA">
      <w:pPr>
        <w:pStyle w:val="5"/>
        <w:spacing w:before="31" w:after="31"/>
        <w:ind w:firstLine="562"/>
      </w:pPr>
      <w:bookmarkStart w:id="3184" w:name="_Toc27648"/>
      <w:bookmarkStart w:id="3185" w:name="_Toc2834"/>
      <w:bookmarkStart w:id="3186" w:name="_Toc16810"/>
      <w:bookmarkStart w:id="3187" w:name="_Toc31421"/>
      <w:bookmarkStart w:id="3188" w:name="_Toc24444"/>
      <w:bookmarkStart w:id="3189" w:name="_Toc16684"/>
      <w:bookmarkStart w:id="3190" w:name="_Toc5735"/>
      <w:bookmarkStart w:id="3191" w:name="_Toc17723"/>
      <w:bookmarkStart w:id="3192" w:name="_Toc26278"/>
      <w:bookmarkStart w:id="3193" w:name="_Toc16204"/>
      <w:bookmarkStart w:id="3194" w:name="_Toc3342"/>
      <w:bookmarkStart w:id="3195" w:name="_Toc1858"/>
      <w:bookmarkStart w:id="3196" w:name="_Toc17847"/>
      <w:bookmarkStart w:id="3197" w:name="_Toc16572"/>
      <w:bookmarkStart w:id="3198" w:name="_Toc28940"/>
      <w:bookmarkStart w:id="3199" w:name="_Toc31089"/>
      <w:bookmarkStart w:id="3200" w:name="_Toc25668"/>
      <w:bookmarkStart w:id="3201" w:name="_Toc31176"/>
      <w:bookmarkStart w:id="3202" w:name="_Toc2798"/>
      <w:bookmarkStart w:id="3203" w:name="_Toc15747"/>
      <w:bookmarkStart w:id="3204" w:name="_Toc24577"/>
      <w:bookmarkStart w:id="3205" w:name="_Toc27936"/>
      <w:bookmarkStart w:id="3206" w:name="_Toc7379"/>
      <w:bookmarkStart w:id="3207" w:name="_Toc26682"/>
      <w:bookmarkStart w:id="3208" w:name="_Toc3886"/>
      <w:bookmarkStart w:id="3209" w:name="_Toc163"/>
      <w:bookmarkStart w:id="3210" w:name="_Toc23970"/>
      <w:bookmarkStart w:id="3211" w:name="_Toc30494"/>
      <w:bookmarkStart w:id="3212" w:name="_Toc14056"/>
      <w:bookmarkStart w:id="3213" w:name="_Toc5715"/>
      <w:bookmarkStart w:id="3214" w:name="_Toc22705"/>
      <w:bookmarkStart w:id="3215" w:name="_Toc16193"/>
      <w:bookmarkStart w:id="3216" w:name="_Toc21321"/>
      <w:bookmarkStart w:id="3217" w:name="_Toc27867"/>
      <w:bookmarkStart w:id="3218" w:name="_Toc32070"/>
      <w:bookmarkStart w:id="3219" w:name="_Toc19543"/>
      <w:bookmarkStart w:id="3220" w:name="_Toc23880"/>
      <w:bookmarkStart w:id="3221" w:name="_Toc27243"/>
      <w:bookmarkStart w:id="3222" w:name="_Toc11241"/>
      <w:bookmarkStart w:id="3223" w:name="_Toc28720"/>
      <w:bookmarkStart w:id="3224" w:name="_Toc9982"/>
      <w:bookmarkStart w:id="3225" w:name="_Toc23327"/>
      <w:bookmarkStart w:id="3226" w:name="_Toc23638"/>
      <w:bookmarkStart w:id="3227" w:name="_Toc17389"/>
      <w:bookmarkStart w:id="3228" w:name="_Toc25301"/>
      <w:bookmarkStart w:id="3229" w:name="_Toc172"/>
      <w:bookmarkStart w:id="3230" w:name="_Toc15563"/>
      <w:bookmarkStart w:id="3231" w:name="_Toc8777"/>
      <w:bookmarkStart w:id="3232" w:name="_Toc16914"/>
      <w:bookmarkStart w:id="3233" w:name="_Toc21289"/>
      <w:bookmarkStart w:id="3234" w:name="_Toc5918"/>
      <w:bookmarkStart w:id="3235" w:name="_Toc4817"/>
      <w:bookmarkStart w:id="3236" w:name="_Toc4742"/>
      <w:bookmarkStart w:id="3237" w:name="_Toc11834"/>
      <w:bookmarkStart w:id="3238" w:name="_Toc1739"/>
      <w:r>
        <w:rPr>
          <w:rFonts w:hint="eastAsia"/>
        </w:rPr>
        <w:t>（三）</w:t>
      </w:r>
      <w:r>
        <w:t>文明施工管理制度</w:t>
      </w:r>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p>
    <w:p w14:paraId="7E0DABEA">
      <w:pPr>
        <w:ind w:firstLine="560"/>
      </w:pPr>
      <w:r>
        <w:t>1、施工班组进场后项目经理部应与施工班组签订文明施工协议，并对入场工人进行文明施工入场教育，施工作业前应对班组进行文明施工技术交底；</w:t>
      </w:r>
    </w:p>
    <w:p w14:paraId="1FE62EB0">
      <w:pPr>
        <w:ind w:firstLine="560"/>
      </w:pPr>
      <w:r>
        <w:t>2、协助建设单位在工程开工前必须取得建设工程施工许可证；</w:t>
      </w:r>
    </w:p>
    <w:p w14:paraId="243929AD">
      <w:pPr>
        <w:ind w:firstLine="560"/>
      </w:pPr>
      <w:r>
        <w:t>3、协助建设单位在施工方案确定之前，对可能造成周围建(构)筑物、防汛设施、地下管线损坏、堵塞的现场进行勘查，并制订相应措施，保证施工安全进行；</w:t>
      </w:r>
    </w:p>
    <w:p w14:paraId="16275621">
      <w:pPr>
        <w:ind w:firstLine="560"/>
      </w:pPr>
      <w:r>
        <w:t>4、应对施工现场的设备、材料堆放、场地道路、临时生产和生活设施进行统一合理布局，并纳入施工组织设计，经建设单位和监理单位审核同意后执行；</w:t>
      </w:r>
    </w:p>
    <w:p w14:paraId="263D8AA5">
      <w:pPr>
        <w:ind w:firstLine="560"/>
      </w:pPr>
      <w:r>
        <w:t>5、必须制定并监督执行文明施工的目标、标准、制度以及工程各阶段实施文明施工的计划和措施，指定各作业场所、材料堆放场、生活设施的文明施工责任人；</w:t>
      </w:r>
    </w:p>
    <w:p w14:paraId="13F63C17">
      <w:pPr>
        <w:ind w:firstLine="560"/>
      </w:pPr>
      <w:r>
        <w:t>6、应当建立文明施工档案，将施工现场文明施工的各项制度的执行情况，和建设行政主管部门及城监、质监、监理等部门对施工现场检查情况一并归档；</w:t>
      </w:r>
    </w:p>
    <w:p w14:paraId="06DF5EFF">
      <w:pPr>
        <w:ind w:firstLine="560"/>
      </w:pPr>
      <w:r>
        <w:t>7、应当加强施工队伍的全面管理，坚持岗前培训和持证上岗，严禁接受“三无人员”、犯罪潜逃人员。施工现场的管理人员和作业人员应当在胸前佩戴个人身份工作卡；</w:t>
      </w:r>
    </w:p>
    <w:p w14:paraId="0B82553C">
      <w:pPr>
        <w:ind w:firstLine="560"/>
      </w:pPr>
      <w:r>
        <w:t>8、应当做好建设工地施工现场安全保卫工作，落实防盗、防火措施，对各类违法行为和犯罪行为要及时制止，并报告公安机关；</w:t>
      </w:r>
    </w:p>
    <w:p w14:paraId="429F05B6">
      <w:pPr>
        <w:ind w:firstLine="560"/>
      </w:pPr>
      <w:r>
        <w:t>9、要积极主动地处理好与周边居民、企事业单位的友好合作关系，尊重当地社区各行政主管部门，自觉遵守社区行政管理规定；</w:t>
      </w:r>
    </w:p>
    <w:p w14:paraId="7912BE7C">
      <w:pPr>
        <w:ind w:firstLine="560"/>
      </w:pPr>
      <w:r>
        <w:t>10、施工垃圾应当设立垃圾箱，并按照公司建筑物垃圾分类分别集中堆放，并及时进行清理。</w:t>
      </w:r>
    </w:p>
    <w:p w14:paraId="53580051">
      <w:pPr>
        <w:pStyle w:val="5"/>
        <w:spacing w:before="31" w:after="31"/>
        <w:ind w:firstLine="562"/>
      </w:pPr>
      <w:bookmarkStart w:id="3239" w:name="_Toc21285"/>
      <w:bookmarkStart w:id="3240" w:name="_Toc18983"/>
      <w:bookmarkStart w:id="3241" w:name="_Toc32571"/>
      <w:bookmarkStart w:id="3242" w:name="_Toc11058"/>
      <w:bookmarkStart w:id="3243" w:name="_Toc317"/>
      <w:bookmarkStart w:id="3244" w:name="_Toc11958"/>
      <w:bookmarkStart w:id="3245" w:name="_Toc2694"/>
      <w:bookmarkStart w:id="3246" w:name="_Toc15222"/>
      <w:bookmarkStart w:id="3247" w:name="_Toc29824"/>
      <w:bookmarkStart w:id="3248" w:name="_Toc8771"/>
      <w:bookmarkStart w:id="3249" w:name="_Toc26726"/>
      <w:bookmarkStart w:id="3250" w:name="_Toc10196"/>
      <w:bookmarkStart w:id="3251" w:name="_Toc10515"/>
      <w:bookmarkStart w:id="3252" w:name="_Toc32686"/>
      <w:bookmarkStart w:id="3253" w:name="_Toc24878"/>
      <w:bookmarkStart w:id="3254" w:name="_Toc18749"/>
      <w:bookmarkStart w:id="3255" w:name="_Toc22038"/>
      <w:bookmarkStart w:id="3256" w:name="_Toc6429"/>
      <w:bookmarkStart w:id="3257" w:name="_Toc4969"/>
      <w:bookmarkStart w:id="3258" w:name="_Toc19467"/>
      <w:bookmarkStart w:id="3259" w:name="_Toc24034"/>
      <w:bookmarkStart w:id="3260" w:name="_Toc1242"/>
      <w:bookmarkStart w:id="3261" w:name="_Toc17642"/>
      <w:bookmarkStart w:id="3262" w:name="_Toc20490"/>
      <w:bookmarkStart w:id="3263" w:name="_Toc17120"/>
      <w:bookmarkStart w:id="3264" w:name="_Toc17265"/>
      <w:bookmarkStart w:id="3265" w:name="_Toc13653"/>
      <w:bookmarkStart w:id="3266" w:name="_Toc19325"/>
      <w:bookmarkStart w:id="3267" w:name="_Toc9245"/>
      <w:bookmarkStart w:id="3268" w:name="_Toc5835"/>
      <w:bookmarkStart w:id="3269" w:name="_Toc6002"/>
      <w:bookmarkStart w:id="3270" w:name="_Toc23981"/>
      <w:bookmarkStart w:id="3271" w:name="_Toc3862"/>
      <w:bookmarkStart w:id="3272" w:name="_Toc26378"/>
      <w:bookmarkStart w:id="3273" w:name="_Toc11068"/>
      <w:bookmarkStart w:id="3274" w:name="_Toc17863"/>
      <w:bookmarkStart w:id="3275" w:name="_Toc10327"/>
      <w:bookmarkStart w:id="3276" w:name="_Toc16993"/>
      <w:bookmarkStart w:id="3277" w:name="_Toc124"/>
      <w:bookmarkStart w:id="3278" w:name="_Toc951"/>
      <w:bookmarkStart w:id="3279" w:name="_Toc15906"/>
      <w:bookmarkStart w:id="3280" w:name="_Toc1661"/>
      <w:bookmarkStart w:id="3281" w:name="_Toc6671"/>
      <w:bookmarkStart w:id="3282" w:name="_Toc9562"/>
      <w:bookmarkStart w:id="3283" w:name="_Toc32382"/>
      <w:bookmarkStart w:id="3284" w:name="_Toc30365"/>
      <w:bookmarkStart w:id="3285" w:name="_Toc5480"/>
      <w:bookmarkStart w:id="3286" w:name="_Toc22957"/>
      <w:bookmarkStart w:id="3287" w:name="_Toc2555"/>
      <w:bookmarkStart w:id="3288" w:name="_Toc21833"/>
      <w:bookmarkStart w:id="3289" w:name="_Toc31770"/>
      <w:bookmarkStart w:id="3290" w:name="_Toc23616"/>
      <w:bookmarkStart w:id="3291" w:name="_Toc7406"/>
      <w:bookmarkStart w:id="3292" w:name="_Toc20877"/>
      <w:r>
        <w:rPr>
          <w:rFonts w:hint="eastAsia"/>
        </w:rPr>
        <w:t>（四）</w:t>
      </w:r>
      <w:r>
        <w:t>现场出入管理制度</w:t>
      </w:r>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p>
    <w:p w14:paraId="32286282">
      <w:pPr>
        <w:ind w:firstLine="560"/>
      </w:pPr>
      <w:r>
        <w:t>（一）出入口保卫制度</w:t>
      </w:r>
    </w:p>
    <w:p w14:paraId="20639FE7">
      <w:pPr>
        <w:ind w:firstLine="560"/>
      </w:pPr>
      <w:r>
        <w:t>1、现场作业人员必须佩带工作卡，凭卡出入工作现场；</w:t>
      </w:r>
    </w:p>
    <w:p w14:paraId="5F587C32">
      <w:pPr>
        <w:ind w:firstLine="560"/>
      </w:pPr>
      <w:r>
        <w:t>2、保安员必须坚守岗位，尽职尽责，认真检查员工出入证，禁止闲杂人员随便进入工地；</w:t>
      </w:r>
    </w:p>
    <w:p w14:paraId="2DC69B73">
      <w:pPr>
        <w:ind w:firstLine="560"/>
      </w:pPr>
      <w:r>
        <w:t>3、携带材料和工具出工地时，必须出具项目负责人批准的材料、工具清单；</w:t>
      </w:r>
    </w:p>
    <w:p w14:paraId="06C3857C">
      <w:pPr>
        <w:ind w:firstLine="560"/>
      </w:pPr>
      <w:r>
        <w:t>4、与项目有关的供应商工作人员及车辆进入现场时，必须接受保安员检查登记；</w:t>
      </w:r>
    </w:p>
    <w:p w14:paraId="75AD054D">
      <w:pPr>
        <w:ind w:firstLine="560"/>
      </w:pPr>
      <w:r>
        <w:t>5、谢绝未经邀请的单位、个人到施工现场参观，与工程无关的车辆禁止在现场停放；</w:t>
      </w:r>
    </w:p>
    <w:p w14:paraId="02304E7C">
      <w:pPr>
        <w:ind w:firstLine="560"/>
      </w:pPr>
      <w:r>
        <w:t>6、工作人员必须明确岗位责任，严格遵守安全操作规定，不准违章作业和擅离职守，安全负责人应在班前班后进行安全检查，及时发现和排除隐患，认真填写值班记录；</w:t>
      </w:r>
    </w:p>
    <w:p w14:paraId="1C947FC4">
      <w:pPr>
        <w:ind w:firstLine="560"/>
      </w:pPr>
      <w:r>
        <w:t>7、非施工现场工作人员，不得无故进入施工现场，外来参观学习和临时性工作的人员，必须说明来意并进行登记，经工作人员核查同意后，并由专人陪同，方可进行施工现场参观学习；</w:t>
      </w:r>
    </w:p>
    <w:p w14:paraId="0BB0A6FA">
      <w:pPr>
        <w:ind w:firstLine="560"/>
      </w:pPr>
      <w:r>
        <w:t>8、工作人员应保管好外来人员登记表，防止不安全人员的进入及进入后的可追溯性；</w:t>
      </w:r>
    </w:p>
    <w:p w14:paraId="49A0718A">
      <w:pPr>
        <w:ind w:firstLine="560"/>
      </w:pPr>
      <w:r>
        <w:t>9、出入口发生事故或发现不安全因素时，应立即排除并保护好现场，及时向项目经理部报告，并积极做好协查工作，确保施工现场的绝对安全；</w:t>
      </w:r>
    </w:p>
    <w:p w14:paraId="75A20AAD">
      <w:pPr>
        <w:ind w:firstLine="560"/>
      </w:pPr>
      <w:r>
        <w:t>10、严格执行项目经理部及公司体系文件的规定，项目部应针对项目部具体情况制定具体的现场出入规定，严防盗窃事件或者安全事故的发生。</w:t>
      </w:r>
    </w:p>
    <w:p w14:paraId="375B5577">
      <w:pPr>
        <w:ind w:firstLine="560"/>
      </w:pPr>
      <w:r>
        <w:t>（二）仓库保卫制度</w:t>
      </w:r>
    </w:p>
    <w:p w14:paraId="15ACD1B6">
      <w:pPr>
        <w:ind w:firstLine="560"/>
      </w:pPr>
      <w:r>
        <w:t>1、配备仓库和仓库中原材料的安全保护设施，定期检查各种材料的安全情况及数量；</w:t>
      </w:r>
    </w:p>
    <w:p w14:paraId="27B00E27">
      <w:pPr>
        <w:ind w:firstLine="560"/>
      </w:pPr>
      <w:r>
        <w:t>2、发现丢失事件要及时报告项目经理部并积极协助追查处理；</w:t>
      </w:r>
    </w:p>
    <w:p w14:paraId="57DB79C5">
      <w:pPr>
        <w:ind w:firstLine="560"/>
      </w:pPr>
      <w:r>
        <w:t>3、严格执行公司体系文件中关于物资管理的有关规定加强警惕性，严格使用手续；</w:t>
      </w:r>
    </w:p>
    <w:p w14:paraId="4077E8BC">
      <w:pPr>
        <w:ind w:firstLine="560"/>
      </w:pPr>
      <w:r>
        <w:t>4、对于需要露天储存的物资，仓管人员应随时检查其安全性，如果发现盗窃者、捣乱者或者可疑人员要及时报告项目经理部，由项目经理负责对事故进行处理，在不良天气状况下，应对材料采取保护措施以免不必要的材料损耗；</w:t>
      </w:r>
    </w:p>
    <w:p w14:paraId="2C482D91">
      <w:pPr>
        <w:ind w:firstLine="560"/>
      </w:pPr>
      <w:r>
        <w:t>5、仓管员必须查看施工员填写的《物资领用凭证》，并且领取物资人员必须由班组长带领下领取；</w:t>
      </w:r>
    </w:p>
    <w:p w14:paraId="238E2615">
      <w:pPr>
        <w:ind w:firstLine="560"/>
      </w:pPr>
      <w:r>
        <w:t>6、加强对仓库管理人员的安全管理教育，健全各级管理人员责任制、安全岗位责任制，严格奖惩制度；</w:t>
      </w:r>
    </w:p>
    <w:p w14:paraId="7E26B19A">
      <w:pPr>
        <w:ind w:firstLine="560"/>
      </w:pPr>
      <w:r>
        <w:t>7、完善仓库安全防范措施，加固库房安全防范设施，对重点库区(库房)要加强值班巡逻；</w:t>
      </w:r>
    </w:p>
    <w:p w14:paraId="43CFABEC">
      <w:pPr>
        <w:ind w:firstLine="560"/>
      </w:pPr>
      <w:r>
        <w:t>8、对剧毒物品、贵重金属、放射性物质及炸药等物资必须设专人负责，严加看管；</w:t>
      </w:r>
    </w:p>
    <w:p w14:paraId="43065759">
      <w:pPr>
        <w:ind w:firstLine="560"/>
      </w:pPr>
      <w:r>
        <w:t>（三）保卫处的保卫职责</w:t>
      </w:r>
    </w:p>
    <w:p w14:paraId="08D7DC46">
      <w:pPr>
        <w:ind w:firstLine="560"/>
      </w:pPr>
      <w:r>
        <w:t>1、负责施工现场露天储存的建筑材料、设备的安全性，严格控制来历不明人员进入施工现场；</w:t>
      </w:r>
    </w:p>
    <w:p w14:paraId="39C36823">
      <w:pPr>
        <w:ind w:firstLine="560"/>
      </w:pPr>
      <w:r>
        <w:t>2、负责保安人员的管理，树立良好的风气。建立健全通行规章制度，配合项目经理部搞好施工现场治安防范工作尤其是施工现成容易发生事故的区域；</w:t>
      </w:r>
    </w:p>
    <w:p w14:paraId="4D72D535">
      <w:pPr>
        <w:ind w:firstLine="560"/>
      </w:pPr>
      <w:r>
        <w:t>3、施工现场要设专人看管，昼夜值班。</w:t>
      </w:r>
    </w:p>
    <w:p w14:paraId="4F5AEEBA">
      <w:pPr>
        <w:pStyle w:val="5"/>
        <w:spacing w:before="31" w:after="31"/>
        <w:ind w:firstLine="562"/>
      </w:pPr>
      <w:bookmarkStart w:id="3293" w:name="_Toc31937"/>
      <w:bookmarkStart w:id="3294" w:name="_Toc17361"/>
      <w:bookmarkStart w:id="3295" w:name="_Toc6290"/>
      <w:bookmarkStart w:id="3296" w:name="_Toc12595"/>
      <w:bookmarkStart w:id="3297" w:name="_Toc4023"/>
      <w:bookmarkStart w:id="3298" w:name="_Toc23133"/>
      <w:bookmarkStart w:id="3299" w:name="_Toc11250"/>
      <w:bookmarkStart w:id="3300" w:name="_Toc29248"/>
      <w:bookmarkStart w:id="3301" w:name="_Toc3283"/>
      <w:bookmarkStart w:id="3302" w:name="_Toc6024"/>
      <w:bookmarkStart w:id="3303" w:name="_Toc31046"/>
      <w:bookmarkStart w:id="3304" w:name="_Toc9075"/>
      <w:bookmarkStart w:id="3305" w:name="_Toc31811"/>
      <w:bookmarkStart w:id="3306" w:name="_Toc759"/>
      <w:bookmarkStart w:id="3307" w:name="_Toc25893"/>
      <w:bookmarkStart w:id="3308" w:name="_Toc6322"/>
      <w:bookmarkStart w:id="3309" w:name="_Toc14285"/>
      <w:bookmarkStart w:id="3310" w:name="_Toc26403"/>
      <w:bookmarkStart w:id="3311" w:name="_Toc8750"/>
      <w:bookmarkStart w:id="3312" w:name="_Toc15794"/>
      <w:bookmarkStart w:id="3313" w:name="_Toc15821"/>
      <w:bookmarkStart w:id="3314" w:name="_Toc24316"/>
      <w:bookmarkStart w:id="3315" w:name="_Toc10295"/>
      <w:bookmarkStart w:id="3316" w:name="_Toc13461"/>
      <w:bookmarkStart w:id="3317" w:name="_Toc6323"/>
      <w:bookmarkStart w:id="3318" w:name="_Toc29372"/>
      <w:bookmarkStart w:id="3319" w:name="_Toc10733"/>
      <w:bookmarkStart w:id="3320" w:name="_Toc4381"/>
      <w:bookmarkStart w:id="3321" w:name="_Toc17954"/>
      <w:bookmarkStart w:id="3322" w:name="_Toc12569"/>
      <w:bookmarkStart w:id="3323" w:name="_Toc6699"/>
      <w:bookmarkStart w:id="3324" w:name="_Toc3693"/>
      <w:bookmarkStart w:id="3325" w:name="_Toc11842"/>
      <w:bookmarkStart w:id="3326" w:name="_Toc25777"/>
      <w:bookmarkStart w:id="3327" w:name="_Toc7210"/>
      <w:bookmarkStart w:id="3328" w:name="_Toc17180"/>
      <w:bookmarkStart w:id="3329" w:name="_Toc22961"/>
      <w:bookmarkStart w:id="3330" w:name="_Toc27580"/>
      <w:bookmarkStart w:id="3331" w:name="_Toc23155"/>
      <w:bookmarkStart w:id="3332" w:name="_Toc3676"/>
      <w:bookmarkStart w:id="3333" w:name="_Toc27348"/>
      <w:bookmarkStart w:id="3334" w:name="_Toc23125"/>
      <w:bookmarkStart w:id="3335" w:name="_Toc13465"/>
      <w:bookmarkStart w:id="3336" w:name="_Toc9645"/>
      <w:bookmarkStart w:id="3337" w:name="_Toc23042"/>
      <w:bookmarkStart w:id="3338" w:name="_Toc12933"/>
      <w:bookmarkStart w:id="3339" w:name="_Toc6855"/>
      <w:bookmarkStart w:id="3340" w:name="_Toc29302"/>
      <w:bookmarkStart w:id="3341" w:name="_Toc21747"/>
      <w:bookmarkStart w:id="3342" w:name="_Toc18578"/>
      <w:bookmarkStart w:id="3343" w:name="_Toc16832"/>
      <w:bookmarkStart w:id="3344" w:name="_Toc23540"/>
      <w:bookmarkStart w:id="3345" w:name="_Toc1633"/>
      <w:bookmarkStart w:id="3346" w:name="_Toc26917"/>
      <w:bookmarkStart w:id="3347" w:name="_Toc6160"/>
      <w:bookmarkStart w:id="3348" w:name="_Toc14255"/>
      <w:r>
        <w:rPr>
          <w:rFonts w:hint="eastAsia"/>
        </w:rPr>
        <w:t>（五）</w:t>
      </w:r>
      <w:r>
        <w:t>现场CI管理制度</w:t>
      </w:r>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p>
    <w:p w14:paraId="04657B87">
      <w:pPr>
        <w:ind w:firstLine="560"/>
      </w:pPr>
      <w:r>
        <w:t>执行《现场CI管理办法》（HW-C-10），以规范公司施工现场CI形象，提高公司对外宣传力度，树立公司良好的企业形象。</w:t>
      </w:r>
    </w:p>
    <w:p w14:paraId="0F6FFD68">
      <w:pPr>
        <w:ind w:firstLine="560"/>
      </w:pPr>
      <w:r>
        <w:t>（一）管理职责</w:t>
      </w:r>
    </w:p>
    <w:p w14:paraId="0D9B95A3">
      <w:pPr>
        <w:ind w:firstLine="560"/>
      </w:pPr>
      <w:r>
        <w:t>1、项目经理组织现场CI的策划与实施；</w:t>
      </w:r>
    </w:p>
    <w:p w14:paraId="63A16EC7">
      <w:pPr>
        <w:ind w:firstLine="560"/>
      </w:pPr>
      <w:r>
        <w:t>2、项目技术负责人负责现场CI的策划；</w:t>
      </w:r>
    </w:p>
    <w:p w14:paraId="34B3D651">
      <w:pPr>
        <w:ind w:firstLine="560"/>
      </w:pPr>
      <w:r>
        <w:t>3、质检员和材料员负责现场CI的执行；</w:t>
      </w:r>
    </w:p>
    <w:p w14:paraId="6963BA71">
      <w:pPr>
        <w:ind w:firstLine="560"/>
      </w:pPr>
      <w:r>
        <w:t>4、质检员负责现场CI的监督和维护。</w:t>
      </w:r>
    </w:p>
    <w:p w14:paraId="518EAE9B">
      <w:pPr>
        <w:ind w:firstLine="560"/>
      </w:pPr>
      <w:r>
        <w:t>（二）管理要点</w:t>
      </w:r>
    </w:p>
    <w:p w14:paraId="76BA841B">
      <w:pPr>
        <w:ind w:firstLine="560"/>
      </w:pPr>
      <w:r>
        <w:t>1、现场布置必须根据场地实际，根据施工总平面布置图，合理地进行布置；设施、设备按总平面布置图规定设置，各单位必须严格按照承包单位的总体布置要求布置其办公室、宿舍、机械及设备。</w:t>
      </w:r>
    </w:p>
    <w:p w14:paraId="4CDC7E44">
      <w:pPr>
        <w:ind w:firstLine="560"/>
      </w:pPr>
      <w:r>
        <w:t>2、施工现场平面布置图，可按区域按阶段进行施工现场平面布置，包括临时设施、现场道路、现场作业区、施工设备及机具的布置、成品半成品、原材料的堆放等；</w:t>
      </w:r>
    </w:p>
    <w:p w14:paraId="68A6CE39">
      <w:pPr>
        <w:ind w:firstLine="560"/>
      </w:pPr>
      <w:r>
        <w:t>3、道路畅通、平坦、整洁，不乱堆乱放。临时建筑物周围应浇捣散水坡，四周保持清洁；场地平整不积水，排水系统通畅不堵。建筑垃圾必须集中堆放，及时处理。建筑工地周围，应设置不低于2米高的全封闭围墙，刷白色油漆，书写工程概况等标语。</w:t>
      </w:r>
    </w:p>
    <w:p w14:paraId="1CF1D813">
      <w:pPr>
        <w:ind w:firstLine="560"/>
      </w:pPr>
      <w:r>
        <w:t>4、现场办公室：外观的色彩、门牌/项目经理部名牌、内部装饰材质、色彩、室内布置、墙上图牌符合公司CI要求。</w:t>
      </w:r>
    </w:p>
    <w:p w14:paraId="6D4FFDB2">
      <w:pPr>
        <w:ind w:firstLine="560"/>
      </w:pPr>
      <w:r>
        <w:t>5、现场图牌：五牌一图（施工总平面布置图、文明施工管理牌、组织网络牌、安全纪律牌、防火须知牌）及施工导向牌材质、尺寸、色彩符合公司CI要求。</w:t>
      </w:r>
    </w:p>
    <w:p w14:paraId="364F0754">
      <w:pPr>
        <w:ind w:firstLine="560"/>
      </w:pPr>
      <w:r>
        <w:t>6、工程概况牌设置在工地围档的醒目位置上，标明项目名称、规模、开竣工日期、施工许可证号、建设单位、设计单位、质量、安全监督单位、施工单位、监理单位和投诉电话等。</w:t>
      </w:r>
    </w:p>
    <w:p w14:paraId="2820F38F">
      <w:pPr>
        <w:ind w:firstLine="560"/>
      </w:pPr>
      <w:r>
        <w:t>7、施工机械设备：配电箱和机械设备的标志与名称组合符合公司CI要求。</w:t>
      </w:r>
    </w:p>
    <w:p w14:paraId="5F627540">
      <w:pPr>
        <w:ind w:firstLine="560"/>
      </w:pPr>
      <w:r>
        <w:t>8、人员形象：安全帽、胸卡、服装的色彩、标志、规格符合公司CI要求。</w:t>
      </w:r>
    </w:p>
    <w:p w14:paraId="404EF876">
      <w:pPr>
        <w:ind w:firstLine="560"/>
      </w:pPr>
      <w:r>
        <w:t>9、需要封闭的施工区域或操作间应对其进行封闭处理，避免产生噪音污染，影响作业环境；</w:t>
      </w:r>
    </w:p>
    <w:p w14:paraId="3EE4A7BA">
      <w:pPr>
        <w:pStyle w:val="5"/>
        <w:spacing w:before="31" w:after="31"/>
        <w:ind w:firstLine="562"/>
      </w:pPr>
      <w:bookmarkStart w:id="3349" w:name="_Toc11551"/>
      <w:bookmarkStart w:id="3350" w:name="_Toc2441"/>
      <w:bookmarkStart w:id="3351" w:name="_Toc14319"/>
      <w:bookmarkStart w:id="3352" w:name="_Toc23379"/>
      <w:bookmarkStart w:id="3353" w:name="_Toc32187"/>
      <w:bookmarkStart w:id="3354" w:name="_Toc22422"/>
      <w:bookmarkStart w:id="3355" w:name="_Toc15909"/>
      <w:bookmarkStart w:id="3356" w:name="_Toc30396"/>
      <w:bookmarkStart w:id="3357" w:name="_Toc21318"/>
      <w:bookmarkStart w:id="3358" w:name="_Toc25951"/>
      <w:bookmarkStart w:id="3359" w:name="_Toc23225"/>
      <w:bookmarkStart w:id="3360" w:name="_Toc20871"/>
      <w:bookmarkStart w:id="3361" w:name="_Toc7087"/>
      <w:bookmarkStart w:id="3362" w:name="_Toc32197"/>
      <w:bookmarkStart w:id="3363" w:name="_Toc25139"/>
      <w:bookmarkStart w:id="3364" w:name="_Toc24234"/>
      <w:bookmarkStart w:id="3365" w:name="_Toc18938"/>
      <w:bookmarkStart w:id="3366" w:name="_Toc21091"/>
      <w:bookmarkStart w:id="3367" w:name="_Toc11343"/>
      <w:bookmarkStart w:id="3368" w:name="_Toc6255"/>
      <w:bookmarkStart w:id="3369" w:name="_Toc9622"/>
      <w:bookmarkStart w:id="3370" w:name="_Toc21889"/>
      <w:bookmarkStart w:id="3371" w:name="_Toc22102"/>
      <w:bookmarkStart w:id="3372" w:name="_Toc1924"/>
      <w:bookmarkStart w:id="3373" w:name="_Toc26912"/>
      <w:bookmarkStart w:id="3374" w:name="_Toc3459"/>
      <w:bookmarkStart w:id="3375" w:name="_Toc21234"/>
      <w:bookmarkStart w:id="3376" w:name="_Toc22835"/>
      <w:bookmarkStart w:id="3377" w:name="_Toc6573"/>
      <w:bookmarkStart w:id="3378" w:name="_Toc30437"/>
      <w:bookmarkStart w:id="3379" w:name="_Toc1870"/>
      <w:bookmarkStart w:id="3380" w:name="_Toc30557"/>
      <w:bookmarkStart w:id="3381" w:name="_Toc20324"/>
      <w:bookmarkStart w:id="3382" w:name="_Toc27881"/>
      <w:bookmarkStart w:id="3383" w:name="_Toc30321"/>
      <w:bookmarkStart w:id="3384" w:name="_Toc19434"/>
      <w:bookmarkStart w:id="3385" w:name="_Toc23691"/>
      <w:bookmarkStart w:id="3386" w:name="_Toc30315"/>
      <w:bookmarkStart w:id="3387" w:name="_Toc28490"/>
      <w:bookmarkStart w:id="3388" w:name="_Toc13566"/>
      <w:bookmarkStart w:id="3389" w:name="_Toc18307"/>
      <w:bookmarkStart w:id="3390" w:name="_Toc1037"/>
      <w:bookmarkStart w:id="3391" w:name="_Toc17101"/>
      <w:bookmarkStart w:id="3392" w:name="_Toc758"/>
      <w:bookmarkStart w:id="3393" w:name="_Toc25002"/>
      <w:bookmarkStart w:id="3394" w:name="_Toc12561"/>
      <w:bookmarkStart w:id="3395" w:name="_Toc7730"/>
      <w:bookmarkStart w:id="3396" w:name="_Toc29170"/>
      <w:bookmarkStart w:id="3397" w:name="_Toc21111"/>
      <w:bookmarkStart w:id="3398" w:name="_Toc14602"/>
      <w:bookmarkStart w:id="3399" w:name="_Toc1444"/>
      <w:bookmarkStart w:id="3400" w:name="_Toc8660"/>
      <w:bookmarkStart w:id="3401" w:name="_Toc21702"/>
      <w:bookmarkStart w:id="3402" w:name="_Toc3585"/>
      <w:bookmarkStart w:id="3403" w:name="_Toc21363"/>
      <w:bookmarkStart w:id="3404" w:name="_Toc26248"/>
      <w:bookmarkStart w:id="3405" w:name="_Toc8516"/>
      <w:bookmarkStart w:id="3406" w:name="_Toc27428"/>
      <w:r>
        <w:rPr>
          <w:rFonts w:hint="eastAsia"/>
        </w:rPr>
        <w:t>（六）</w:t>
      </w:r>
      <w:r>
        <w:t>卫生防疫制度</w:t>
      </w:r>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p>
    <w:p w14:paraId="5FEAF4EB">
      <w:pPr>
        <w:ind w:firstLine="560"/>
      </w:pPr>
      <w:r>
        <w:t>1．卫生保健</w:t>
      </w:r>
    </w:p>
    <w:p w14:paraId="7577F7F4">
      <w:pPr>
        <w:ind w:firstLine="560"/>
      </w:pPr>
      <w:r>
        <w:t>（1）施工现场设置保健卫生室，配备保健药箱、止血带、颈托、担架等急救器材，为有毒有害作业人员配备有效的防护用品。小型工程项目部现场可以用办公用房做保健卫生室。</w:t>
      </w:r>
    </w:p>
    <w:p w14:paraId="1BB6BCD6">
      <w:pPr>
        <w:ind w:firstLine="560"/>
      </w:pPr>
      <w:r>
        <w:t>（2）施工现场应当配备兼职或专职急救人员，处理伤员和职工保健，对生活卫生进行监督和定期检查。</w:t>
      </w:r>
    </w:p>
    <w:p w14:paraId="49E6DA04">
      <w:pPr>
        <w:ind w:firstLine="560"/>
      </w:pPr>
      <w:r>
        <w:t>（3）要利用板报或口头教育等形式向职工介绍防病的知识和方法，做好对职工卫生防病的宣传教育工作，针对季节性流传病、传染病等。</w:t>
      </w:r>
    </w:p>
    <w:p w14:paraId="34687F73">
      <w:pPr>
        <w:ind w:firstLine="560"/>
      </w:pPr>
      <w:r>
        <w:t>（4）当施工现场作业人员发生法定传染病、食物中毒、急性职业中毒使，必须再2小时内向事故发生所在地建设行政主管部门和卫生防疫部门报告，并应积极配合调查处理。</w:t>
      </w:r>
    </w:p>
    <w:p w14:paraId="04ED5787">
      <w:pPr>
        <w:ind w:firstLine="560"/>
      </w:pPr>
      <w:r>
        <w:t>（5）现场施工人员患有法定的传染病或病源携带者时，应及时进行隔离，直到卫生防疫部门证明不具有传染时方可恢复工作。</w:t>
      </w:r>
    </w:p>
    <w:p w14:paraId="61B9C2DB">
      <w:pPr>
        <w:ind w:firstLine="560"/>
      </w:pPr>
      <w:r>
        <w:t>（6）对此事有毒有害作业人员应按照《职业病防治法》的规定做职业健康检查。</w:t>
      </w:r>
    </w:p>
    <w:p w14:paraId="454EDA88">
      <w:pPr>
        <w:ind w:firstLine="560"/>
      </w:pPr>
      <w:r>
        <w:t>（7）施工现场应制定暑期防暑降温措施。</w:t>
      </w:r>
    </w:p>
    <w:p w14:paraId="41DB0191">
      <w:pPr>
        <w:ind w:firstLine="560"/>
      </w:pPr>
      <w:r>
        <w:t>（8）工程施工进场前，应检查进场所有人员的身体健康状况，对于临用劳务需持有健康证上岗。</w:t>
      </w:r>
    </w:p>
    <w:p w14:paraId="6E07FD37">
      <w:pPr>
        <w:ind w:firstLine="560"/>
      </w:pPr>
      <w:r>
        <w:t>2．保洁</w:t>
      </w:r>
    </w:p>
    <w:p w14:paraId="23B2A1BF">
      <w:pPr>
        <w:ind w:firstLine="560"/>
      </w:pPr>
      <w:r>
        <w:t>（1）严禁随地大小便。</w:t>
      </w:r>
    </w:p>
    <w:p w14:paraId="01C18BF3">
      <w:pPr>
        <w:ind w:firstLine="560"/>
      </w:pPr>
      <w:r>
        <w:t>（2）施工现场办公区、生活区卫生工作应由专人负责，明确责任。</w:t>
      </w:r>
    </w:p>
    <w:p w14:paraId="0C069D05">
      <w:pPr>
        <w:ind w:firstLine="560"/>
      </w:pPr>
      <w:r>
        <w:t>（3）施工现场办公区应保持整洁卫生，垃圾应存放在密闭式容器，定期灭鼠、蚊、蝇、蟑螂等，并定期投放和喷洒药物。</w:t>
      </w:r>
    </w:p>
    <w:p w14:paraId="67F337F1">
      <w:pPr>
        <w:ind w:firstLine="560"/>
      </w:pPr>
      <w:r>
        <w:t>（4）生活区应保持整洁卫生，垃圾应存放在密闭式容器，定期灭蝇，及时清运。</w:t>
      </w:r>
    </w:p>
    <w:p w14:paraId="008BD821">
      <w:pPr>
        <w:ind w:firstLine="560"/>
      </w:pPr>
      <w:r>
        <w:t>（5）生活区宿舍内夏季应采取消暑和灭蚊蝇措施，冬季如设取暖设施，则应有取暖和防煤气中毒措施，并建立验收制度。宿舍内应有必要的生活设施及保证必要的生活空间，内高度不得低于2.5m，通道的宽度不得小于2m</w:t>
      </w:r>
      <w:r>
        <w:rPr>
          <w:vertAlign w:val="superscript"/>
        </w:rPr>
        <w:t>2</w:t>
      </w:r>
      <w:r>
        <w:t>，床铺被褥干净整洁，生活用品摆放整齐，室内保持通风。</w:t>
      </w:r>
    </w:p>
    <w:p w14:paraId="7A47A8E9">
      <w:pPr>
        <w:pStyle w:val="5"/>
        <w:spacing w:before="31" w:after="31"/>
        <w:ind w:firstLine="562"/>
      </w:pPr>
      <w:bookmarkStart w:id="3407" w:name="_Toc6174"/>
      <w:bookmarkStart w:id="3408" w:name="_Toc11416"/>
      <w:bookmarkStart w:id="3409" w:name="_Toc19927"/>
      <w:bookmarkStart w:id="3410" w:name="_Toc910"/>
      <w:bookmarkStart w:id="3411" w:name="_Toc16604"/>
      <w:bookmarkStart w:id="3412" w:name="_Toc8356"/>
      <w:bookmarkStart w:id="3413" w:name="_Toc5955"/>
      <w:bookmarkStart w:id="3414" w:name="_Toc12674"/>
      <w:bookmarkStart w:id="3415" w:name="_Toc21150"/>
      <w:bookmarkStart w:id="3416" w:name="_Toc4930"/>
      <w:bookmarkStart w:id="3417" w:name="_Toc10027"/>
      <w:bookmarkStart w:id="3418" w:name="_Toc4851"/>
      <w:bookmarkStart w:id="3419" w:name="_Toc24660"/>
      <w:bookmarkStart w:id="3420" w:name="_Toc1673"/>
      <w:bookmarkStart w:id="3421" w:name="_Toc19054"/>
      <w:bookmarkStart w:id="3422" w:name="_Toc30157"/>
      <w:bookmarkStart w:id="3423" w:name="_Toc19751"/>
      <w:bookmarkStart w:id="3424" w:name="_Toc20295"/>
      <w:bookmarkStart w:id="3425" w:name="_Toc16796"/>
      <w:bookmarkStart w:id="3426" w:name="_Toc1200"/>
      <w:bookmarkStart w:id="3427" w:name="_Toc14291"/>
      <w:bookmarkStart w:id="3428" w:name="_Toc30057"/>
      <w:bookmarkStart w:id="3429" w:name="_Toc165"/>
      <w:bookmarkStart w:id="3430" w:name="_Toc17067"/>
      <w:bookmarkStart w:id="3431" w:name="_Toc27070"/>
      <w:bookmarkStart w:id="3432" w:name="_Toc14039"/>
      <w:bookmarkStart w:id="3433" w:name="_Toc19631"/>
      <w:bookmarkStart w:id="3434" w:name="_Toc12009"/>
      <w:bookmarkStart w:id="3435" w:name="_Toc941"/>
      <w:bookmarkStart w:id="3436" w:name="_Toc8049"/>
      <w:bookmarkStart w:id="3437" w:name="_Toc24868"/>
      <w:bookmarkStart w:id="3438" w:name="_Toc10323"/>
      <w:bookmarkStart w:id="3439" w:name="_Toc15130"/>
      <w:bookmarkStart w:id="3440" w:name="_Toc23139"/>
      <w:bookmarkStart w:id="3441" w:name="_Toc26301"/>
      <w:bookmarkStart w:id="3442" w:name="_Toc4129"/>
      <w:bookmarkStart w:id="3443" w:name="_Toc201"/>
      <w:bookmarkStart w:id="3444" w:name="_Toc23038"/>
      <w:bookmarkStart w:id="3445" w:name="_Toc22421"/>
      <w:bookmarkStart w:id="3446" w:name="_Toc5005"/>
      <w:bookmarkStart w:id="3447" w:name="_Toc20576"/>
      <w:bookmarkStart w:id="3448" w:name="_Toc4269"/>
      <w:bookmarkStart w:id="3449" w:name="_Toc32600"/>
      <w:bookmarkStart w:id="3450" w:name="_Toc12650"/>
      <w:bookmarkStart w:id="3451" w:name="_Toc30280"/>
      <w:bookmarkStart w:id="3452" w:name="_Toc10537"/>
      <w:bookmarkStart w:id="3453" w:name="_Toc31399"/>
      <w:bookmarkStart w:id="3454" w:name="_Toc20220"/>
      <w:bookmarkStart w:id="3455" w:name="_Toc19082"/>
      <w:bookmarkStart w:id="3456" w:name="_Toc6526"/>
      <w:bookmarkStart w:id="3457" w:name="_Toc1087"/>
      <w:bookmarkStart w:id="3458" w:name="_Toc13847"/>
      <w:bookmarkStart w:id="3459" w:name="_Toc8546"/>
      <w:bookmarkStart w:id="3460" w:name="_Toc7230"/>
      <w:bookmarkStart w:id="3461" w:name="_Toc10339"/>
      <w:bookmarkStart w:id="3462" w:name="_Toc15210"/>
      <w:bookmarkStart w:id="3463" w:name="_Toc26322"/>
      <w:r>
        <w:rPr>
          <w:rFonts w:hint="eastAsia"/>
        </w:rPr>
        <w:t>（七）</w:t>
      </w:r>
      <w:r>
        <w:t>文明施工管理措施</w:t>
      </w:r>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p>
    <w:p w14:paraId="7485BC3A">
      <w:pPr>
        <w:ind w:firstLine="560"/>
      </w:pPr>
      <w:r>
        <w:t>（一）现场消防管理措施</w:t>
      </w:r>
    </w:p>
    <w:p w14:paraId="0DCF4F57">
      <w:pPr>
        <w:ind w:firstLine="560"/>
      </w:pPr>
      <w:r>
        <w:t>1、施工现场必须制定消防制度，建立健全消防管理网络，明确各区域消防责任人，定期或不定期抽查责任人落实情况；</w:t>
      </w:r>
    </w:p>
    <w:p w14:paraId="61DFE9E9">
      <w:pPr>
        <w:ind w:firstLine="560"/>
      </w:pPr>
      <w:r>
        <w:t>2、合理配置灭火器材，一般临时设施区，每100平方米配备两个10L(升)灭火器，大型临时设施总面积超过1200平方米的，应备有专供消防用的太平桶、积水桶(池)、黄砂池等器材设施，上述设施周围不得堆放其它物品；</w:t>
      </w:r>
    </w:p>
    <w:p w14:paraId="16B9DBE5">
      <w:pPr>
        <w:ind w:firstLine="560"/>
      </w:pPr>
      <w:r>
        <w:t>3、临时木工间、油漆间、木、机具间等，每25平方米应配置一个种类合适的灭火器；</w:t>
      </w:r>
    </w:p>
    <w:p w14:paraId="28AE49A8">
      <w:pPr>
        <w:ind w:firstLine="560"/>
      </w:pPr>
      <w:r>
        <w:t>4、油库、危险品仓库应配备足够数量、种类的灭火器；</w:t>
      </w:r>
    </w:p>
    <w:p w14:paraId="6AAB35D6">
      <w:pPr>
        <w:ind w:firstLine="560"/>
      </w:pPr>
      <w:r>
        <w:t>5、仓库或堆料场内，应根据灭火对象的特性、分组布置酸碱、泡沫、二氧化碳等灭火器，每组灭火器不应少于4个，每组灭火器之间的距离不应大于30米；</w:t>
      </w:r>
    </w:p>
    <w:p w14:paraId="46DEB528">
      <w:pPr>
        <w:ind w:firstLine="560"/>
      </w:pPr>
      <w:r>
        <w:t>6、灭火现场必须指定专人统一指挥，并保持高度的组织性、纪律性，行动统一、协调一致，防止现场混乱；</w:t>
      </w:r>
    </w:p>
    <w:p w14:paraId="3E23C733">
      <w:pPr>
        <w:ind w:firstLine="560"/>
      </w:pPr>
      <w:r>
        <w:t>7、灭火时应注意防止发生触电、中毒、窒息、倒塌、坠落伤人等事故。</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4B203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DC079D5">
            <w:pPr>
              <w:pStyle w:val="18"/>
              <w:rPr>
                <w:lang w:val="en-US"/>
              </w:rPr>
            </w:pPr>
            <w:r>
              <w:rPr>
                <w:rFonts w:hint="eastAsia"/>
                <w:lang w:val="en-US"/>
              </w:rPr>
              <w:t>文明施工宣传栏</w:t>
            </w:r>
          </w:p>
        </w:tc>
      </w:tr>
      <w:tr w14:paraId="08504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765E967">
            <w:pPr>
              <w:pStyle w:val="18"/>
              <w:rPr>
                <w:lang w:val="en-US"/>
              </w:rPr>
            </w:pPr>
            <w:r>
              <w:rPr>
                <w:lang w:val="en-US" w:bidi="ar-SA"/>
              </w:rPr>
              <w:drawing>
                <wp:inline distT="0" distB="0" distL="114300" distR="114300">
                  <wp:extent cx="5272405" cy="3574415"/>
                  <wp:effectExtent l="0" t="0" r="4445" b="6985"/>
                  <wp:docPr id="4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5"/>
                          <pic:cNvPicPr>
                            <a:picLocks noChangeAspect="1"/>
                          </pic:cNvPicPr>
                        </pic:nvPicPr>
                        <pic:blipFill>
                          <a:blip r:embed="rId12">
                            <a:grayscl/>
                          </a:blip>
                          <a:stretch>
                            <a:fillRect/>
                          </a:stretch>
                        </pic:blipFill>
                        <pic:spPr>
                          <a:xfrm>
                            <a:off x="0" y="0"/>
                            <a:ext cx="5272405" cy="3574415"/>
                          </a:xfrm>
                          <a:prstGeom prst="rect">
                            <a:avLst/>
                          </a:prstGeom>
                          <a:noFill/>
                          <a:ln>
                            <a:noFill/>
                          </a:ln>
                        </pic:spPr>
                      </pic:pic>
                    </a:graphicData>
                  </a:graphic>
                </wp:inline>
              </w:drawing>
            </w:r>
          </w:p>
        </w:tc>
      </w:tr>
      <w:tr w14:paraId="3AEAC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7D6B0872">
            <w:pPr>
              <w:pStyle w:val="18"/>
              <w:rPr>
                <w:lang w:val="en-US"/>
              </w:rPr>
            </w:pPr>
            <w:r>
              <w:rPr>
                <w:rFonts w:hint="eastAsia"/>
                <w:lang w:val="en-US"/>
              </w:rPr>
              <w:t>围挡降尘喷淋系统</w:t>
            </w:r>
          </w:p>
        </w:tc>
      </w:tr>
      <w:tr w14:paraId="42156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7FC7077D">
            <w:pPr>
              <w:pStyle w:val="18"/>
              <w:rPr>
                <w:lang w:val="en-US"/>
              </w:rPr>
            </w:pPr>
            <w:r>
              <w:rPr>
                <w:lang w:val="en-US" w:bidi="ar-SA"/>
              </w:rPr>
              <w:drawing>
                <wp:inline distT="0" distB="0" distL="114300" distR="114300">
                  <wp:extent cx="5268595" cy="3665220"/>
                  <wp:effectExtent l="0" t="0" r="8255" b="0"/>
                  <wp:docPr id="4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6"/>
                          <pic:cNvPicPr>
                            <a:picLocks noChangeAspect="1"/>
                          </pic:cNvPicPr>
                        </pic:nvPicPr>
                        <pic:blipFill>
                          <a:blip r:embed="rId13">
                            <a:grayscl/>
                          </a:blip>
                          <a:stretch>
                            <a:fillRect/>
                          </a:stretch>
                        </pic:blipFill>
                        <pic:spPr>
                          <a:xfrm>
                            <a:off x="0" y="0"/>
                            <a:ext cx="5268595" cy="3665220"/>
                          </a:xfrm>
                          <a:prstGeom prst="rect">
                            <a:avLst/>
                          </a:prstGeom>
                          <a:noFill/>
                          <a:ln>
                            <a:noFill/>
                          </a:ln>
                        </pic:spPr>
                      </pic:pic>
                    </a:graphicData>
                  </a:graphic>
                </wp:inline>
              </w:drawing>
            </w:r>
          </w:p>
        </w:tc>
      </w:tr>
      <w:tr w14:paraId="7EFC8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0D3847E">
            <w:pPr>
              <w:pStyle w:val="18"/>
              <w:rPr>
                <w:lang w:val="en-US"/>
              </w:rPr>
            </w:pPr>
            <w:r>
              <w:rPr>
                <w:rFonts w:hint="eastAsia"/>
                <w:lang w:val="en-US"/>
              </w:rPr>
              <w:t>工人生活区并配备太阳能</w:t>
            </w:r>
          </w:p>
        </w:tc>
      </w:tr>
      <w:tr w14:paraId="7F8EA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77EBF41A">
            <w:pPr>
              <w:pStyle w:val="18"/>
              <w:rPr>
                <w:lang w:val="en-US"/>
              </w:rPr>
            </w:pPr>
            <w:r>
              <w:rPr>
                <w:lang w:val="en-US" w:bidi="ar-SA"/>
              </w:rPr>
              <w:drawing>
                <wp:inline distT="0" distB="0" distL="114300" distR="114300">
                  <wp:extent cx="5274310" cy="4115435"/>
                  <wp:effectExtent l="0" t="0" r="2540" b="0"/>
                  <wp:docPr id="3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7"/>
                          <pic:cNvPicPr>
                            <a:picLocks noChangeAspect="1"/>
                          </pic:cNvPicPr>
                        </pic:nvPicPr>
                        <pic:blipFill>
                          <a:blip r:embed="rId14">
                            <a:grayscl/>
                          </a:blip>
                          <a:stretch>
                            <a:fillRect/>
                          </a:stretch>
                        </pic:blipFill>
                        <pic:spPr>
                          <a:xfrm>
                            <a:off x="0" y="0"/>
                            <a:ext cx="5274310" cy="4115435"/>
                          </a:xfrm>
                          <a:prstGeom prst="rect">
                            <a:avLst/>
                          </a:prstGeom>
                          <a:noFill/>
                          <a:ln>
                            <a:noFill/>
                          </a:ln>
                        </pic:spPr>
                      </pic:pic>
                    </a:graphicData>
                  </a:graphic>
                </wp:inline>
              </w:drawing>
            </w:r>
          </w:p>
        </w:tc>
      </w:tr>
      <w:tr w14:paraId="59157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7ED439B7">
            <w:pPr>
              <w:pStyle w:val="18"/>
              <w:rPr>
                <w:lang w:val="en-US"/>
              </w:rPr>
            </w:pPr>
            <w:r>
              <w:rPr>
                <w:rFonts w:hint="eastAsia"/>
                <w:lang w:val="en-US"/>
              </w:rPr>
              <w:t>并且配有专门的茶水亭及吸烟室</w:t>
            </w:r>
          </w:p>
        </w:tc>
      </w:tr>
      <w:tr w14:paraId="62D0E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7970E631">
            <w:pPr>
              <w:pStyle w:val="18"/>
              <w:rPr>
                <w:lang w:val="en-US"/>
              </w:rPr>
            </w:pPr>
            <w:r>
              <w:rPr>
                <w:lang w:val="en-US" w:bidi="ar-SA"/>
              </w:rPr>
              <w:drawing>
                <wp:inline distT="0" distB="0" distL="114300" distR="114300">
                  <wp:extent cx="5268595" cy="3642360"/>
                  <wp:effectExtent l="0" t="0" r="8255" b="0"/>
                  <wp:docPr id="3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8"/>
                          <pic:cNvPicPr>
                            <a:picLocks noChangeAspect="1"/>
                          </pic:cNvPicPr>
                        </pic:nvPicPr>
                        <pic:blipFill>
                          <a:blip r:embed="rId15">
                            <a:grayscl/>
                          </a:blip>
                          <a:stretch>
                            <a:fillRect/>
                          </a:stretch>
                        </pic:blipFill>
                        <pic:spPr>
                          <a:xfrm>
                            <a:off x="0" y="0"/>
                            <a:ext cx="5268595" cy="3642360"/>
                          </a:xfrm>
                          <a:prstGeom prst="rect">
                            <a:avLst/>
                          </a:prstGeom>
                          <a:noFill/>
                          <a:ln>
                            <a:noFill/>
                          </a:ln>
                        </pic:spPr>
                      </pic:pic>
                    </a:graphicData>
                  </a:graphic>
                </wp:inline>
              </w:drawing>
            </w:r>
          </w:p>
        </w:tc>
      </w:tr>
    </w:tbl>
    <w:p w14:paraId="7CD63391">
      <w:pPr>
        <w:ind w:firstLine="560"/>
      </w:pPr>
      <w:r>
        <w:t>（二）现场卫生管理措施</w:t>
      </w:r>
    </w:p>
    <w:p w14:paraId="66E93D2A">
      <w:pPr>
        <w:ind w:firstLine="560"/>
      </w:pPr>
      <w:r>
        <w:t>1、明确施工现场各区域的卫生责任人；</w:t>
      </w:r>
    </w:p>
    <w:p w14:paraId="48744BB5">
      <w:pPr>
        <w:ind w:firstLine="560"/>
      </w:pPr>
      <w:r>
        <w:t>2、施工现场周边应设置卫生间，并有水源供冲洗，同时设简易化粪池或集粪池，加盖并定期喷药，每日有专人负责清洁（以甲方或总包方提供指定地点为准）；</w:t>
      </w:r>
    </w:p>
    <w:p w14:paraId="16AF4B4E">
      <w:pPr>
        <w:ind w:firstLine="560"/>
      </w:pPr>
      <w:r>
        <w:t>3、设置足够的垃圾池和垃圾桶，定期搞好环境卫生，及时清理垃圾，重点施工部位施药除“四害”；</w:t>
      </w:r>
    </w:p>
    <w:p w14:paraId="4C4FD26A">
      <w:pPr>
        <w:ind w:firstLine="560"/>
      </w:pPr>
      <w:r>
        <w:t>4、建筑垃圾必须集中堆放及时清运，做到工完场清；</w:t>
      </w:r>
    </w:p>
    <w:p w14:paraId="695DB43D">
      <w:pPr>
        <w:ind w:firstLine="560"/>
      </w:pPr>
      <w:r>
        <w:t>5、施工作业区严禁吸烟。</w:t>
      </w:r>
    </w:p>
    <w:p w14:paraId="137EC2EA">
      <w:pPr>
        <w:ind w:firstLine="560"/>
      </w:pPr>
      <w:r>
        <w:t>（三）现场材料堆放管理措施</w:t>
      </w:r>
    </w:p>
    <w:p w14:paraId="728FF15A">
      <w:pPr>
        <w:ind w:firstLine="560"/>
      </w:pPr>
      <w:r>
        <w:t>1、要求各施工班组严格按照领料手续领料，随作随清，物尽其用；</w:t>
      </w:r>
    </w:p>
    <w:p w14:paraId="3FE86D8E">
      <w:pPr>
        <w:ind w:firstLine="560"/>
      </w:pPr>
      <w:r>
        <w:t>2、大堆材料中，砂石分类、集中堆成方，底脚边用沥清，砌体归类成垛，碎石随用随清，灰池砌筑符合标准，布局合理、灰不外溢，渣不乱倒；</w:t>
      </w:r>
    </w:p>
    <w:p w14:paraId="7A35650E">
      <w:pPr>
        <w:ind w:firstLine="560"/>
      </w:pPr>
      <w:r>
        <w:t>3、施工设施、设备，集中堆放整齐，钢模及零配件、脚手扣件、竹木杂料等分类分规格，集中存放；</w:t>
      </w:r>
    </w:p>
    <w:p w14:paraId="4DB432D4">
      <w:pPr>
        <w:ind w:firstLine="560"/>
      </w:pPr>
      <w:r>
        <w:t>4、水泥库中不同水泥不混放，分清标号，堆放整齐，专人管理；</w:t>
      </w:r>
    </w:p>
    <w:p w14:paraId="52689098">
      <w:pPr>
        <w:ind w:firstLine="560"/>
      </w:pPr>
      <w:r>
        <w:t>5、材料记载齐全而正确，牌物账相符，库容整洁，无“上漏下渗”；</w:t>
      </w:r>
    </w:p>
    <w:p w14:paraId="76F449AB">
      <w:pPr>
        <w:ind w:firstLine="560"/>
      </w:pPr>
      <w:r>
        <w:t>6、钢材、成型钢筋、均要按保管要求，分别类堆放；</w:t>
      </w:r>
    </w:p>
    <w:p w14:paraId="677F7CB2">
      <w:pPr>
        <w:ind w:firstLine="560"/>
      </w:pPr>
      <w:r>
        <w:t>7、木制品还要设置防雨、防潮、防火措施。</w:t>
      </w:r>
    </w:p>
    <w:p w14:paraId="3D69B750">
      <w:pPr>
        <w:ind w:firstLine="560"/>
      </w:pPr>
      <w:r>
        <w:t>（四）现场安全保卫管理措施</w:t>
      </w:r>
    </w:p>
    <w:p w14:paraId="65F6F828">
      <w:pPr>
        <w:ind w:firstLine="560"/>
      </w:pPr>
      <w:r>
        <w:t>1、建立健全安全、保卫制度，落实治安、防火、计划生育管理责任人；</w:t>
      </w:r>
    </w:p>
    <w:p w14:paraId="24F55E75">
      <w:pPr>
        <w:ind w:firstLine="560"/>
      </w:pPr>
      <w:r>
        <w:t>2、施工现场的管理人员、作业人员必须配佩工作卡；</w:t>
      </w:r>
    </w:p>
    <w:p w14:paraId="173E455A">
      <w:pPr>
        <w:ind w:firstLine="560"/>
      </w:pPr>
      <w:r>
        <w:t>3、工作卡由总包单位制作，工作卡有本人相片、姓名、所属单位、工种或职务，管理人员和作业人员的标志卡应分颜色区别；</w:t>
      </w:r>
    </w:p>
    <w:p w14:paraId="6168DA0D">
      <w:pPr>
        <w:ind w:firstLine="560"/>
      </w:pPr>
      <w:r>
        <w:t>4、建立来访登记制度，不准留宿家属及闲杂人员；</w:t>
      </w:r>
    </w:p>
    <w:p w14:paraId="347A158A">
      <w:pPr>
        <w:ind w:firstLine="560"/>
      </w:pPr>
      <w:r>
        <w:t>5、经常对工人进行法纪和文明教育，严禁在施工现场打架斗殴及进行黄、赌、毒等非法活动。</w:t>
      </w:r>
    </w:p>
    <w:p w14:paraId="2A284ACF">
      <w:pPr>
        <w:ind w:firstLine="560"/>
      </w:pPr>
      <w:r>
        <w:t>6、组织文明施工，建立文明施工管理责任制，开展文明施工达标活动。</w:t>
      </w:r>
    </w:p>
    <w:p w14:paraId="3B08B827">
      <w:pPr>
        <w:ind w:firstLine="560"/>
      </w:pPr>
      <w:r>
        <w:t>（五）粉尘控制管理措施</w:t>
      </w:r>
    </w:p>
    <w:p w14:paraId="3ABC9D25">
      <w:pPr>
        <w:ind w:firstLine="560"/>
      </w:pPr>
      <w:r>
        <w:t>1、由于其他原因而未做到的硬地化部位，要定期压实地面和洒水，减少灰尘对周围环境的污染；</w:t>
      </w:r>
    </w:p>
    <w:p w14:paraId="59D99593">
      <w:pPr>
        <w:ind w:firstLine="560"/>
      </w:pPr>
      <w:r>
        <w:t>2、禁止在施工现场焚烧有毒、有害和有恶臭气味的物质；</w:t>
      </w:r>
    </w:p>
    <w:p w14:paraId="5B484C8D">
      <w:pPr>
        <w:ind w:firstLine="560"/>
      </w:pPr>
      <w:r>
        <w:t>3、装卸有粉尘的材料时，应洒水湿润和在仓库内进行；</w:t>
      </w:r>
    </w:p>
    <w:p w14:paraId="1C98DCC4">
      <w:pPr>
        <w:ind w:firstLine="560"/>
      </w:pPr>
      <w:r>
        <w:t>4、严禁向建筑物外或高空抛掷粉尘垃圾。</w:t>
      </w:r>
    </w:p>
    <w:p w14:paraId="6ED6E2FF">
      <w:pPr>
        <w:pStyle w:val="5"/>
        <w:spacing w:before="31" w:after="31"/>
        <w:ind w:firstLine="562"/>
      </w:pPr>
      <w:bookmarkStart w:id="3464" w:name="_Toc10908"/>
      <w:bookmarkStart w:id="3465" w:name="_Toc23255"/>
      <w:bookmarkStart w:id="3466" w:name="_Toc13728"/>
      <w:bookmarkStart w:id="3467" w:name="_Toc18228"/>
      <w:bookmarkStart w:id="3468" w:name="_Toc8073"/>
      <w:bookmarkStart w:id="3469" w:name="_Toc29258"/>
      <w:bookmarkStart w:id="3470" w:name="_Toc27760"/>
      <w:bookmarkStart w:id="3471" w:name="_Toc10105"/>
      <w:bookmarkStart w:id="3472" w:name="_Toc21381"/>
      <w:bookmarkStart w:id="3473" w:name="_Toc9274"/>
      <w:bookmarkStart w:id="3474" w:name="_Toc29189"/>
      <w:bookmarkStart w:id="3475" w:name="_Toc2606"/>
      <w:bookmarkStart w:id="3476" w:name="_Toc31569"/>
      <w:bookmarkStart w:id="3477" w:name="_Toc16158"/>
      <w:bookmarkStart w:id="3478" w:name="_Toc1558"/>
      <w:bookmarkStart w:id="3479" w:name="_Toc30270"/>
      <w:bookmarkStart w:id="3480" w:name="_Toc27768"/>
      <w:bookmarkStart w:id="3481" w:name="_Toc10469"/>
      <w:bookmarkStart w:id="3482" w:name="_Toc18334"/>
      <w:bookmarkStart w:id="3483" w:name="_Toc887"/>
      <w:bookmarkStart w:id="3484" w:name="_Toc10008"/>
      <w:bookmarkStart w:id="3485" w:name="_Toc12894"/>
      <w:bookmarkStart w:id="3486" w:name="_Toc28047"/>
      <w:bookmarkStart w:id="3487" w:name="_Toc15482"/>
      <w:bookmarkStart w:id="3488" w:name="_Toc3020"/>
      <w:bookmarkStart w:id="3489" w:name="_Toc13998"/>
      <w:bookmarkStart w:id="3490" w:name="_Toc27259"/>
      <w:bookmarkStart w:id="3491" w:name="_Toc24766"/>
      <w:bookmarkStart w:id="3492" w:name="_Toc12954"/>
      <w:bookmarkStart w:id="3493" w:name="_Toc3789"/>
      <w:bookmarkStart w:id="3494" w:name="_Toc21419"/>
      <w:bookmarkStart w:id="3495" w:name="_Toc158"/>
      <w:bookmarkStart w:id="3496" w:name="_Toc17275"/>
      <w:bookmarkStart w:id="3497" w:name="_Toc5501"/>
      <w:bookmarkStart w:id="3498" w:name="_Toc6394"/>
      <w:bookmarkStart w:id="3499" w:name="_Toc5975"/>
      <w:bookmarkStart w:id="3500" w:name="_Toc31358"/>
      <w:bookmarkStart w:id="3501" w:name="_Toc21645"/>
      <w:bookmarkStart w:id="3502" w:name="_Toc2421"/>
      <w:bookmarkStart w:id="3503" w:name="_Toc31677"/>
      <w:bookmarkStart w:id="3504" w:name="_Toc17014"/>
      <w:bookmarkStart w:id="3505" w:name="_Toc13745"/>
      <w:bookmarkStart w:id="3506" w:name="_Toc32073"/>
      <w:bookmarkStart w:id="3507" w:name="_Toc23454"/>
      <w:bookmarkStart w:id="3508" w:name="_Toc21924"/>
      <w:bookmarkStart w:id="3509" w:name="_Toc15922"/>
      <w:bookmarkStart w:id="3510" w:name="_Toc30126"/>
      <w:bookmarkStart w:id="3511" w:name="_Toc9428"/>
      <w:bookmarkStart w:id="3512" w:name="_Toc31317"/>
      <w:bookmarkStart w:id="3513" w:name="_Toc7211"/>
      <w:bookmarkStart w:id="3514" w:name="_Toc9036"/>
      <w:bookmarkStart w:id="3515" w:name="_Toc28233"/>
      <w:r>
        <w:rPr>
          <w:rFonts w:hint="eastAsia"/>
        </w:rPr>
        <w:t>（八）</w:t>
      </w:r>
      <w:r>
        <w:t>文明施工入场教育</w:t>
      </w:r>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p>
    <w:p w14:paraId="08BE66CA">
      <w:pPr>
        <w:ind w:firstLine="560"/>
      </w:pPr>
      <w:r>
        <w:rPr>
          <w:rFonts w:hint="eastAsia"/>
        </w:rPr>
        <w:t>（一）</w:t>
      </w:r>
      <w:r>
        <w:t>、管理规定</w:t>
      </w:r>
    </w:p>
    <w:p w14:paraId="7C1527A4">
      <w:pPr>
        <w:ind w:firstLine="560"/>
      </w:pPr>
      <w:r>
        <w:t>1、严禁在工作前或工作时间饮酒，不准在仓库、油库、油漆房、放电机房、木工棚及一切易燃易爆地方吸烟、生产、用电炉以及1千瓦以上的照明；</w:t>
      </w:r>
    </w:p>
    <w:p w14:paraId="4E477F3E">
      <w:pPr>
        <w:ind w:firstLine="560"/>
      </w:pPr>
      <w:r>
        <w:t>2、工地现场不能私设炉灶或用竹柴及电炉等取火、烧水、煮食；</w:t>
      </w:r>
    </w:p>
    <w:p w14:paraId="4E1440F5">
      <w:pPr>
        <w:ind w:firstLine="560"/>
      </w:pPr>
      <w:r>
        <w:t>3、工棚、仓库及宿舍等部位的白灯泡不能超过100瓦；不准私</w:t>
      </w:r>
    </w:p>
    <w:p w14:paraId="7FC840AE">
      <w:pPr>
        <w:ind w:firstLine="0" w:firstLineChars="0"/>
      </w:pPr>
      <w:r>
        <w:t>自拉线接线，违者给予经济处罚，或行政处分，需要临时用电的，由工地临时电管理员安排；</w:t>
      </w:r>
    </w:p>
    <w:p w14:paraId="6DC664AB">
      <w:pPr>
        <w:ind w:firstLine="560"/>
      </w:pPr>
      <w:r>
        <w:t>4、工作除锈时，应带保护眼睛、口罩，以免铁屑入眼内和铁灰吸入体内；</w:t>
      </w:r>
    </w:p>
    <w:p w14:paraId="77D8C93C">
      <w:pPr>
        <w:ind w:firstLine="560"/>
      </w:pPr>
      <w:r>
        <w:t>5、吊装区域非操作人员严禁入内，吊杆垂直下方不准站人；</w:t>
      </w:r>
    </w:p>
    <w:p w14:paraId="666F7685">
      <w:pPr>
        <w:ind w:firstLine="560"/>
      </w:pPr>
      <w:r>
        <w:t>6、宿舍内不得自行乱拉点灯和各种电器用具，严禁使用灯光和明火取暖；严禁使用电炉、煤油灯等煮食物；</w:t>
      </w:r>
    </w:p>
    <w:p w14:paraId="27C4EB3B">
      <w:pPr>
        <w:ind w:firstLine="560"/>
      </w:pPr>
      <w:r>
        <w:t>7、不得非法存放汽油、天那水等易燃易挥发物品，也不得存放烟花爆竹等易燃易爆物品；</w:t>
      </w:r>
    </w:p>
    <w:p w14:paraId="18F848A5">
      <w:pPr>
        <w:ind w:firstLine="560"/>
      </w:pPr>
      <w:r>
        <w:t>8、不得在宿舍内焚烧纸屑、杂物，宿舍附近不准燃放鞭炮烟火、烧香拜神；</w:t>
      </w:r>
    </w:p>
    <w:p w14:paraId="2404BD57">
      <w:pPr>
        <w:ind w:firstLine="560"/>
      </w:pPr>
      <w:r>
        <w:t>9、不得在宿舍内加工各种木器和油漆个人物品；</w:t>
      </w:r>
    </w:p>
    <w:p w14:paraId="5912CD3D">
      <w:pPr>
        <w:ind w:firstLine="560"/>
      </w:pPr>
      <w:r>
        <w:t>10、严禁打架斗殴、赌博、嫖娼等恶劣行为；</w:t>
      </w:r>
    </w:p>
    <w:p w14:paraId="2AB1DFF3">
      <w:pPr>
        <w:ind w:firstLine="560"/>
      </w:pPr>
      <w:r>
        <w:t>11、不得在工地现场随地大小便；</w:t>
      </w:r>
    </w:p>
    <w:p w14:paraId="3A51493F">
      <w:pPr>
        <w:ind w:firstLine="560"/>
      </w:pPr>
      <w:r>
        <w:t>12、做到工完场清，将建筑垃圾堆放到指定地点，并按照要求分类进行堆放。</w:t>
      </w:r>
    </w:p>
    <w:p w14:paraId="538E2B9E">
      <w:pPr>
        <w:ind w:firstLine="560"/>
      </w:pPr>
      <w:r>
        <w:rPr>
          <w:rFonts w:hint="eastAsia"/>
        </w:rPr>
        <w:t>（二）</w:t>
      </w:r>
      <w:r>
        <w:t>、物资及设备管理</w:t>
      </w:r>
    </w:p>
    <w:p w14:paraId="55AB35C9">
      <w:pPr>
        <w:ind w:firstLine="560"/>
      </w:pPr>
      <w:r>
        <w:t>1、大雨来临时，现场值班人员，发现险情，立即采取应急措施，大雨或大风后应对现场所有设备、设施进行全面细致的检查、整修，合格后方能投入使用。</w:t>
      </w:r>
    </w:p>
    <w:p w14:paraId="070ECE5B">
      <w:pPr>
        <w:ind w:firstLine="560"/>
      </w:pPr>
      <w:r>
        <w:t>2、雷雨、大风到来前，高空作业人员应立即撤到安全区并注意保护电源，做好设备、机具、材料的防雨遮盖工作。</w:t>
      </w:r>
    </w:p>
    <w:p w14:paraId="2BA302E2">
      <w:pPr>
        <w:ind w:firstLine="560"/>
      </w:pPr>
      <w:r>
        <w:t>3、严格按照物资及设备出库及入库手续，做到余料及时回收，物尽其用。</w:t>
      </w:r>
    </w:p>
    <w:p w14:paraId="43CCEFA7">
      <w:pPr>
        <w:ind w:firstLine="560"/>
      </w:pPr>
      <w:r>
        <w:t>4、大堆材料中，砂石分类、集中堆成方，底脚边用沥清，砌体归类成垛，碎石随用随清，灰池砌筑符合标准，布局合理、灰不外溢，渣不乱倒。</w:t>
      </w:r>
    </w:p>
    <w:p w14:paraId="57080525">
      <w:pPr>
        <w:ind w:firstLine="560"/>
      </w:pPr>
      <w:r>
        <w:t>5、施工设施、设备，集中堆放整齐，钢模及零配件、脚手扣件、竹木杂料等分类分规格，集中存放。</w:t>
      </w:r>
    </w:p>
    <w:p w14:paraId="47C2CEC7">
      <w:pPr>
        <w:ind w:firstLine="560"/>
      </w:pPr>
      <w:r>
        <w:t>6、水泥库中不同水泥不混放，分清标号，堆放整齐。</w:t>
      </w:r>
    </w:p>
    <w:p w14:paraId="113548E3">
      <w:pPr>
        <w:ind w:firstLine="560"/>
      </w:pPr>
      <w:r>
        <w:t>7、钢材、成型钢筋及其它特殊材料均要按保管要求，分门别类堆放。</w:t>
      </w:r>
    </w:p>
    <w:p w14:paraId="6A96AB97">
      <w:pPr>
        <w:ind w:firstLine="560"/>
      </w:pPr>
      <w:r>
        <w:t>8、木制品还要防雨、防潮、防火。</w:t>
      </w:r>
    </w:p>
    <w:p w14:paraId="374C9D5A">
      <w:pPr>
        <w:ind w:firstLine="560"/>
      </w:pPr>
      <w:r>
        <w:rPr>
          <w:rFonts w:hint="eastAsia"/>
        </w:rPr>
        <w:t>（三）</w:t>
      </w:r>
      <w:r>
        <w:t>、成品保护管理</w:t>
      </w:r>
    </w:p>
    <w:p w14:paraId="3264C39F">
      <w:pPr>
        <w:ind w:firstLine="560"/>
      </w:pPr>
      <w:r>
        <w:t>1、项目部采取“谁施工谁负责”的原则，所有工序操作者均须对上道工序产品进行保护，本道工序产品交付前进行保护。</w:t>
      </w:r>
    </w:p>
    <w:p w14:paraId="6E6245E5">
      <w:pPr>
        <w:ind w:firstLine="560"/>
      </w:pPr>
      <w:r>
        <w:t>2、分区分层设专职人员负责成品质量保护，值班巡察，发现问题立即查明责任者。专职成品保护值班人员工作到竣工验收，办理移交手续后终止。</w:t>
      </w:r>
    </w:p>
    <w:p w14:paraId="7928DFC7">
      <w:pPr>
        <w:ind w:firstLine="560"/>
      </w:pPr>
      <w:r>
        <w:t>3、对已施工完毕的区域实行封闭管理，对无法封闭的公共场所，实行通道式开放，对通道实行有效的保护，并设专人看护。</w:t>
      </w:r>
    </w:p>
    <w:p w14:paraId="76F03D35">
      <w:pPr>
        <w:ind w:firstLine="560"/>
      </w:pPr>
      <w:r>
        <w:t>4、采取合理的施工工序将易损、易污的施工项目安排在施工后期交验前，以减少损坏、污染的可能。</w:t>
      </w:r>
    </w:p>
    <w:p w14:paraId="64463A9E">
      <w:pPr>
        <w:ind w:firstLine="560"/>
      </w:pPr>
      <w:r>
        <w:t>5、严禁在装饰成品上涂写、敲击、刻画。</w:t>
      </w:r>
    </w:p>
    <w:p w14:paraId="0EF455BE">
      <w:pPr>
        <w:ind w:firstLine="560"/>
      </w:pPr>
      <w:r>
        <w:t>6、窗及时关闭开启，保持室内通风干燥，风雨天窗关严。</w:t>
      </w:r>
    </w:p>
    <w:p w14:paraId="3A1CB09B">
      <w:pPr>
        <w:ind w:firstLine="560"/>
      </w:pPr>
      <w:r>
        <w:t>7、用火、用水防止装饰成品污染受潮变色。</w:t>
      </w:r>
    </w:p>
    <w:p w14:paraId="45A4D1AA">
      <w:pPr>
        <w:ind w:firstLine="560"/>
      </w:pPr>
      <w:r>
        <w:t>8、因工作需要进房检查、测试、调试时，换穿工作鞋，防止泥浆污染。</w:t>
      </w:r>
    </w:p>
    <w:p w14:paraId="3FE89D6B">
      <w:pPr>
        <w:pStyle w:val="5"/>
        <w:spacing w:before="31" w:after="31"/>
        <w:ind w:firstLine="562"/>
      </w:pPr>
      <w:bookmarkStart w:id="3516" w:name="_Toc629"/>
      <w:bookmarkStart w:id="3517" w:name="_Toc15028"/>
      <w:bookmarkStart w:id="3518" w:name="_Toc9738"/>
      <w:bookmarkStart w:id="3519" w:name="_Toc20616"/>
      <w:bookmarkStart w:id="3520" w:name="_Toc11904"/>
      <w:bookmarkStart w:id="3521" w:name="_Toc14635"/>
      <w:bookmarkStart w:id="3522" w:name="_Toc31739"/>
      <w:bookmarkStart w:id="3523" w:name="_Toc2632"/>
      <w:bookmarkStart w:id="3524" w:name="_Toc18043"/>
      <w:bookmarkStart w:id="3525" w:name="_Toc7672"/>
      <w:bookmarkStart w:id="3526" w:name="_Toc21996"/>
      <w:bookmarkStart w:id="3527" w:name="_Toc18805"/>
      <w:bookmarkStart w:id="3528" w:name="_Toc7414"/>
      <w:bookmarkStart w:id="3529" w:name="_Toc23595"/>
      <w:bookmarkStart w:id="3530" w:name="_Toc24365"/>
      <w:bookmarkStart w:id="3531" w:name="_Toc29040"/>
      <w:bookmarkStart w:id="3532" w:name="_Toc20878"/>
      <w:bookmarkStart w:id="3533" w:name="_Toc30324"/>
      <w:bookmarkStart w:id="3534" w:name="_Toc19852"/>
      <w:bookmarkStart w:id="3535" w:name="_Toc31936"/>
      <w:bookmarkStart w:id="3536" w:name="_Toc13004"/>
      <w:bookmarkStart w:id="3537" w:name="_Toc11546"/>
      <w:bookmarkStart w:id="3538" w:name="_Toc12581"/>
      <w:bookmarkStart w:id="3539" w:name="_Toc16134"/>
      <w:bookmarkStart w:id="3540" w:name="_Toc13939"/>
      <w:bookmarkStart w:id="3541" w:name="_Toc7896"/>
      <w:bookmarkStart w:id="3542" w:name="_Toc13395"/>
      <w:bookmarkStart w:id="3543" w:name="_Toc23003"/>
      <w:bookmarkStart w:id="3544" w:name="_Toc26988"/>
      <w:bookmarkStart w:id="3545" w:name="_Toc2138"/>
      <w:bookmarkStart w:id="3546" w:name="_Toc17390"/>
      <w:bookmarkStart w:id="3547" w:name="_Toc25421"/>
      <w:bookmarkStart w:id="3548" w:name="_Toc18207"/>
      <w:bookmarkStart w:id="3549" w:name="_Toc21492"/>
      <w:bookmarkStart w:id="3550" w:name="_Toc12386"/>
      <w:bookmarkStart w:id="3551" w:name="_Toc13259"/>
      <w:bookmarkStart w:id="3552" w:name="_Toc14992"/>
      <w:bookmarkStart w:id="3553" w:name="_Toc13292"/>
      <w:bookmarkStart w:id="3554" w:name="_Toc6500"/>
      <w:bookmarkStart w:id="3555" w:name="_Toc15707"/>
      <w:bookmarkStart w:id="3556" w:name="_Toc9507"/>
      <w:bookmarkStart w:id="3557" w:name="_Toc5218"/>
      <w:bookmarkStart w:id="3558" w:name="_Toc4352"/>
      <w:bookmarkStart w:id="3559" w:name="_Toc28603"/>
      <w:bookmarkStart w:id="3560" w:name="_Toc4816"/>
      <w:bookmarkStart w:id="3561" w:name="_Toc2228"/>
      <w:bookmarkStart w:id="3562" w:name="_Toc28992"/>
      <w:bookmarkStart w:id="3563" w:name="_Toc14501"/>
      <w:bookmarkStart w:id="3564" w:name="_Toc30593"/>
      <w:bookmarkStart w:id="3565" w:name="_Toc15809"/>
      <w:bookmarkStart w:id="3566" w:name="_Toc11577"/>
      <w:bookmarkStart w:id="3567" w:name="_Toc271"/>
      <w:bookmarkStart w:id="3568" w:name="_Toc8948"/>
      <w:bookmarkStart w:id="3569" w:name="_Toc23937"/>
      <w:r>
        <w:rPr>
          <w:rFonts w:hint="eastAsia"/>
        </w:rPr>
        <w:t>（九）</w:t>
      </w:r>
      <w:r>
        <w:t>文明施工技术交底</w:t>
      </w:r>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p>
    <w:p w14:paraId="28C624C1">
      <w:pPr>
        <w:ind w:firstLine="560"/>
      </w:pPr>
      <w:r>
        <w:t>1、进入施工现场应佩带工作卡；</w:t>
      </w:r>
    </w:p>
    <w:p w14:paraId="7F743ED7">
      <w:pPr>
        <w:ind w:firstLine="560"/>
      </w:pPr>
      <w:r>
        <w:t>2、现场操作作业应佩带安全帽；</w:t>
      </w:r>
    </w:p>
    <w:p w14:paraId="1709D0F6">
      <w:pPr>
        <w:ind w:firstLine="560"/>
      </w:pPr>
      <w:r>
        <w:t>3、严禁在工作前或工作时间饮酒，不准在仓库、油库、油漆房、放电机房、木工棚及一切易燃易爆地方吸烟；</w:t>
      </w:r>
    </w:p>
    <w:p w14:paraId="0311A6E4">
      <w:pPr>
        <w:ind w:firstLine="560"/>
      </w:pPr>
      <w:r>
        <w:t>4、工地现场不能私设炉灶或用竹柴及电炉等取火、烧水、煮食；</w:t>
      </w:r>
    </w:p>
    <w:p w14:paraId="5F7FAA12">
      <w:pPr>
        <w:ind w:firstLine="560"/>
      </w:pPr>
      <w:r>
        <w:t>5、工棚、仓库及宿舍等部位的白灯泡不能超过100瓦；不准私自拉线接线，违者给予经济处罚，或行政处分，需要临时用电的，由工地临时电管理员安排；</w:t>
      </w:r>
    </w:p>
    <w:p w14:paraId="7EA1D717">
      <w:pPr>
        <w:ind w:firstLine="560"/>
      </w:pPr>
      <w:r>
        <w:t>6、油漆工作除锈时，应带保护眼睛、口罩，以免铁屑入眼内和铁灰吸入体内；</w:t>
      </w:r>
    </w:p>
    <w:p w14:paraId="37D81438">
      <w:pPr>
        <w:ind w:firstLine="560"/>
      </w:pPr>
      <w:r>
        <w:t>7、吊装区域非操作人员严禁入内，吊杆垂直下方不准站人；</w:t>
      </w:r>
    </w:p>
    <w:p w14:paraId="78167DFA">
      <w:pPr>
        <w:ind w:firstLine="560"/>
      </w:pPr>
      <w:r>
        <w:t>8、宿舍内不得自行乱拉点灯和各种电器用具，严禁使用灯光和明火取暖；严禁使用电炉、煤油灯等煮食物；</w:t>
      </w:r>
    </w:p>
    <w:p w14:paraId="12210C84">
      <w:pPr>
        <w:ind w:firstLine="560"/>
      </w:pPr>
      <w:r>
        <w:t>9、不得非法存放汽油、天那水等易燃易挥发物品，也不得存放烟花爆竹等易燃易爆物品；</w:t>
      </w:r>
    </w:p>
    <w:p w14:paraId="5F42A959">
      <w:pPr>
        <w:ind w:firstLine="560"/>
      </w:pPr>
      <w:r>
        <w:t>10、不得在宿舍内焚烧纸屑、杂物，宿舍附近不准燃放鞭炮烟火、烧香拜神；</w:t>
      </w:r>
    </w:p>
    <w:p w14:paraId="05387FF4">
      <w:pPr>
        <w:ind w:firstLine="560"/>
      </w:pPr>
      <w:r>
        <w:t>11、严禁打架斗殴、赌博、嫖娼等恶劣行为；</w:t>
      </w:r>
    </w:p>
    <w:p w14:paraId="1F900811">
      <w:pPr>
        <w:ind w:firstLine="560"/>
      </w:pPr>
      <w:r>
        <w:t>12、不得在工地现场随地大小便；</w:t>
      </w:r>
    </w:p>
    <w:p w14:paraId="7F2A2CD2">
      <w:pPr>
        <w:ind w:firstLine="560"/>
      </w:pPr>
      <w:r>
        <w:t>13、做到工完场清，将建筑垃圾堆放到指定地点，并按照要求分类进行堆放。</w:t>
      </w:r>
    </w:p>
    <w:p w14:paraId="0B640240">
      <w:pPr>
        <w:pStyle w:val="5"/>
        <w:spacing w:before="31" w:after="31"/>
        <w:ind w:firstLine="562"/>
      </w:pPr>
      <w:bookmarkStart w:id="3570" w:name="_Toc23121"/>
      <w:bookmarkStart w:id="3571" w:name="_Toc6356"/>
      <w:bookmarkStart w:id="3572" w:name="_Toc22730"/>
      <w:bookmarkStart w:id="3573" w:name="_Toc9908"/>
      <w:bookmarkStart w:id="3574" w:name="_Toc16560"/>
      <w:bookmarkStart w:id="3575" w:name="_Toc29719"/>
      <w:bookmarkStart w:id="3576" w:name="_Toc20292"/>
      <w:bookmarkStart w:id="3577" w:name="_Toc9109"/>
      <w:bookmarkStart w:id="3578" w:name="_Toc30982"/>
      <w:bookmarkStart w:id="3579" w:name="_Toc5418"/>
      <w:bookmarkStart w:id="3580" w:name="_Toc17160"/>
      <w:bookmarkStart w:id="3581" w:name="_Toc28654"/>
      <w:bookmarkStart w:id="3582" w:name="_Toc22265"/>
      <w:bookmarkStart w:id="3583" w:name="_Toc29578"/>
      <w:bookmarkStart w:id="3584" w:name="_Toc2358"/>
      <w:bookmarkStart w:id="3585" w:name="_Toc10911"/>
      <w:bookmarkStart w:id="3586" w:name="_Toc21425"/>
      <w:bookmarkStart w:id="3587" w:name="_Toc5769"/>
      <w:bookmarkStart w:id="3588" w:name="_Toc30465"/>
      <w:bookmarkStart w:id="3589" w:name="_Toc10794"/>
      <w:bookmarkStart w:id="3590" w:name="_Toc23834"/>
      <w:bookmarkStart w:id="3591" w:name="_Toc15692"/>
      <w:bookmarkStart w:id="3592" w:name="_Toc6256"/>
      <w:bookmarkStart w:id="3593" w:name="_Toc3038"/>
      <w:bookmarkStart w:id="3594" w:name="_Toc9717"/>
      <w:bookmarkStart w:id="3595" w:name="_Toc12851"/>
      <w:bookmarkStart w:id="3596" w:name="_Toc8348"/>
      <w:bookmarkStart w:id="3597" w:name="_Toc4350"/>
      <w:bookmarkStart w:id="3598" w:name="_Toc22203"/>
      <w:bookmarkStart w:id="3599" w:name="_Toc403"/>
      <w:bookmarkStart w:id="3600" w:name="_Toc14870"/>
      <w:bookmarkStart w:id="3601" w:name="_Toc11594"/>
      <w:bookmarkStart w:id="3602" w:name="_Toc14206"/>
      <w:bookmarkStart w:id="3603" w:name="_Toc15903"/>
      <w:bookmarkStart w:id="3604" w:name="_Toc2014"/>
      <w:bookmarkStart w:id="3605" w:name="_Toc6572"/>
      <w:bookmarkStart w:id="3606" w:name="_Toc8075"/>
      <w:bookmarkStart w:id="3607" w:name="_Toc4072"/>
      <w:bookmarkStart w:id="3608" w:name="_Toc7395"/>
      <w:bookmarkStart w:id="3609" w:name="_Toc32135"/>
      <w:bookmarkStart w:id="3610" w:name="_Toc28937"/>
      <w:bookmarkStart w:id="3611" w:name="_Toc31673"/>
      <w:bookmarkStart w:id="3612" w:name="_Toc6208"/>
      <w:bookmarkStart w:id="3613" w:name="_Toc2991"/>
      <w:bookmarkStart w:id="3614" w:name="_Toc10539"/>
      <w:bookmarkStart w:id="3615" w:name="_Toc25114"/>
      <w:bookmarkStart w:id="3616" w:name="_Toc27203"/>
      <w:bookmarkStart w:id="3617" w:name="_Toc5873"/>
      <w:bookmarkStart w:id="3618" w:name="_Toc2851"/>
      <w:bookmarkStart w:id="3619" w:name="_Toc11415"/>
      <w:bookmarkStart w:id="3620" w:name="_Toc19203"/>
      <w:bookmarkStart w:id="3621" w:name="_Toc31627"/>
      <w:bookmarkStart w:id="3622" w:name="_Toc5194"/>
      <w:bookmarkStart w:id="3623" w:name="_Toc17003"/>
      <w:bookmarkStart w:id="3624" w:name="_Toc16863"/>
      <w:bookmarkStart w:id="3625" w:name="_Toc17713"/>
      <w:bookmarkStart w:id="3626" w:name="_Toc19284"/>
      <w:bookmarkStart w:id="3627" w:name="_Toc6885"/>
      <w:r>
        <w:rPr>
          <w:rFonts w:hint="eastAsia"/>
        </w:rPr>
        <w:t>（十）</w:t>
      </w:r>
      <w:r>
        <w:t>文明施工目标</w:t>
      </w:r>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p>
    <w:p w14:paraId="18A4E2CD">
      <w:pPr>
        <w:ind w:firstLine="560"/>
      </w:pPr>
      <w:r>
        <w:t>文明施工是现代化施工的一个重标志，是施工企业一项基础性的管理工作，是我单位外树形象、内增素质的重要工作内容，对本工程我单位将加强文明施工的管理工作，制定文明施工目标，搞好工程文明施工。</w:t>
      </w:r>
    </w:p>
    <w:p w14:paraId="3CBF0697">
      <w:pPr>
        <w:pStyle w:val="18"/>
        <w:ind w:firstLine="560" w:firstLineChars="200"/>
        <w:jc w:val="both"/>
        <w:rPr>
          <w:color w:val="000000"/>
          <w:lang w:val="en-US"/>
        </w:rPr>
      </w:pPr>
      <w:bookmarkStart w:id="3628" w:name="_Toc1565"/>
      <w:bookmarkStart w:id="3629" w:name="_Toc19744"/>
      <w:bookmarkStart w:id="3630" w:name="_Toc175"/>
      <w:bookmarkStart w:id="3631" w:name="_Toc31509"/>
      <w:bookmarkStart w:id="3632" w:name="_Toc10873"/>
      <w:bookmarkStart w:id="3633" w:name="_Toc32499"/>
      <w:bookmarkStart w:id="3634" w:name="_Toc8032"/>
      <w:bookmarkStart w:id="3635" w:name="_Toc27628"/>
      <w:bookmarkStart w:id="3636" w:name="_Toc23766"/>
      <w:bookmarkStart w:id="3637" w:name="_Toc32539"/>
      <w:bookmarkStart w:id="3638" w:name="_Toc31931"/>
      <w:bookmarkStart w:id="3639" w:name="_Toc7756"/>
      <w:bookmarkStart w:id="3640" w:name="_Toc20257"/>
      <w:bookmarkStart w:id="3641" w:name="_Toc330"/>
      <w:bookmarkStart w:id="3642" w:name="_Toc18777"/>
      <w:bookmarkStart w:id="3643" w:name="_Toc5507"/>
      <w:bookmarkStart w:id="3644" w:name="_Toc5285"/>
      <w:bookmarkStart w:id="3645" w:name="_Toc28806"/>
      <w:bookmarkStart w:id="3646" w:name="_Toc7492"/>
      <w:bookmarkStart w:id="3647" w:name="_Toc27877"/>
      <w:bookmarkStart w:id="3648" w:name="_Toc26461"/>
      <w:bookmarkStart w:id="3649" w:name="_Toc5056"/>
      <w:bookmarkStart w:id="3650" w:name="_Toc14079"/>
      <w:bookmarkStart w:id="3651" w:name="_Toc3379"/>
      <w:bookmarkStart w:id="3652" w:name="_Toc23850"/>
      <w:bookmarkStart w:id="3653" w:name="_Toc21199"/>
      <w:bookmarkStart w:id="3654" w:name="_Toc6162"/>
      <w:bookmarkStart w:id="3655" w:name="_Toc13147"/>
      <w:bookmarkStart w:id="3656" w:name="_Toc13744"/>
      <w:bookmarkStart w:id="3657" w:name="_Toc19210"/>
      <w:bookmarkStart w:id="3658" w:name="_Toc25444"/>
      <w:bookmarkStart w:id="3659" w:name="_Toc25707"/>
      <w:bookmarkStart w:id="3660" w:name="_Toc14459"/>
      <w:bookmarkStart w:id="3661" w:name="_Toc30861"/>
      <w:bookmarkStart w:id="3662" w:name="_Toc5896"/>
      <w:bookmarkStart w:id="3663" w:name="_Toc9775"/>
      <w:bookmarkStart w:id="3664" w:name="_Toc11658"/>
      <w:bookmarkStart w:id="3665" w:name="_Toc11032"/>
      <w:bookmarkStart w:id="3666" w:name="_Toc23442"/>
      <w:bookmarkStart w:id="3667" w:name="_Toc27135"/>
      <w:bookmarkStart w:id="3668" w:name="_Toc21911"/>
      <w:bookmarkStart w:id="3669" w:name="_Toc8370"/>
      <w:bookmarkStart w:id="3670" w:name="_Toc20386"/>
      <w:bookmarkStart w:id="3671" w:name="_Toc15611"/>
      <w:bookmarkStart w:id="3672" w:name="_Toc16008"/>
      <w:bookmarkStart w:id="3673" w:name="_Toc6340"/>
      <w:bookmarkStart w:id="3674" w:name="_Toc32172"/>
      <w:bookmarkStart w:id="3675" w:name="_Toc27456"/>
      <w:bookmarkStart w:id="3676" w:name="_Toc32551"/>
      <w:r>
        <w:rPr>
          <w:rFonts w:hint="eastAsia"/>
          <w:color w:val="000000"/>
          <w:lang w:val="en-US"/>
        </w:rPr>
        <w:t>（1）遵守政府有关主管部门、</w:t>
      </w:r>
      <w:r>
        <w:rPr>
          <w:rFonts w:hint="eastAsia"/>
          <w:color w:val="000000"/>
          <w:lang w:val="en-US" w:eastAsia="zh-CN"/>
        </w:rPr>
        <w:t>某</w:t>
      </w:r>
      <w:r>
        <w:rPr>
          <w:rFonts w:hint="eastAsia"/>
          <w:color w:val="000000"/>
          <w:lang w:val="en-US"/>
        </w:rPr>
        <w:t>供水集团、甲方对施工场地交通、施工噪音以及环境保护和安全文明生产等的管理规定，按要求投入使用、维修、维护安全文明施工设施，加强现场管理，并按规定办理有关手续，做到安全文明施工。</w:t>
      </w:r>
    </w:p>
    <w:p w14:paraId="4EB66A28">
      <w:pPr>
        <w:pStyle w:val="18"/>
        <w:ind w:firstLine="560" w:firstLineChars="200"/>
        <w:jc w:val="both"/>
        <w:rPr>
          <w:color w:val="000000"/>
          <w:lang w:val="en-US"/>
        </w:rPr>
      </w:pPr>
      <w:r>
        <w:rPr>
          <w:rFonts w:hint="eastAsia"/>
          <w:color w:val="000000"/>
          <w:lang w:val="en-US"/>
        </w:rPr>
        <w:t>（2）应遵守国家及各级政府部门的安全生产法律、法规和安全规范要求，应遵守招标人及招标人上级部门关于施工现场安全管理的有关规定，接受招标人及业主委托的监理单位的监督管理。执行招标人《质量安全奖惩管理办法》等相关管理制度、规范和要求及其它安全管理制度，与招标人签订年度《安全文明施工协议书》。</w:t>
      </w:r>
    </w:p>
    <w:p w14:paraId="06F55329">
      <w:pPr>
        <w:ind w:firstLine="560"/>
      </w:pPr>
      <w:r>
        <w:rPr>
          <w:rFonts w:hint="eastAsia"/>
          <w:color w:val="000000"/>
        </w:rPr>
        <w:t>（3）在施工时必须确保安全文明施工，严格遵守国家及安徽省、</w:t>
      </w:r>
      <w:r>
        <w:rPr>
          <w:rFonts w:hint="eastAsia"/>
          <w:color w:val="000000"/>
          <w:lang w:eastAsia="zh-CN"/>
        </w:rPr>
        <w:t>某</w:t>
      </w:r>
      <w:r>
        <w:rPr>
          <w:rFonts w:hint="eastAsia"/>
          <w:color w:val="000000"/>
        </w:rPr>
        <w:t>市现行相关规定。必须严格执行国务院393号令《建设工程安全生产管理条例》。必须严格执行《</w:t>
      </w:r>
      <w:r>
        <w:rPr>
          <w:rFonts w:hint="eastAsia"/>
          <w:color w:val="000000"/>
          <w:lang w:eastAsia="zh-CN"/>
        </w:rPr>
        <w:t>某</w:t>
      </w:r>
      <w:r>
        <w:rPr>
          <w:rFonts w:hint="eastAsia"/>
          <w:color w:val="000000"/>
        </w:rPr>
        <w:t>市创建文明城市责任考评办法（试行）》、《</w:t>
      </w:r>
      <w:r>
        <w:rPr>
          <w:rFonts w:hint="eastAsia"/>
          <w:color w:val="000000"/>
          <w:lang w:eastAsia="zh-CN"/>
        </w:rPr>
        <w:t>某</w:t>
      </w:r>
      <w:r>
        <w:rPr>
          <w:rFonts w:hint="eastAsia"/>
          <w:color w:val="000000"/>
        </w:rPr>
        <w:t>市建设系统创文明城市工作实施细则》、《</w:t>
      </w:r>
      <w:r>
        <w:rPr>
          <w:rFonts w:hint="eastAsia"/>
          <w:color w:val="000000"/>
          <w:lang w:eastAsia="zh-CN"/>
        </w:rPr>
        <w:t>某</w:t>
      </w:r>
      <w:r>
        <w:rPr>
          <w:rFonts w:hint="eastAsia"/>
          <w:color w:val="000000"/>
        </w:rPr>
        <w:t>市建设工程扬尘污染防治暂行规定》和招标人针对本工程所作出的安全、文明措施，确保符合</w:t>
      </w:r>
      <w:r>
        <w:rPr>
          <w:rFonts w:hint="eastAsia"/>
          <w:color w:val="000000"/>
          <w:lang w:eastAsia="zh-CN"/>
        </w:rPr>
        <w:t>某</w:t>
      </w:r>
      <w:r>
        <w:rPr>
          <w:rFonts w:hint="eastAsia"/>
          <w:color w:val="000000"/>
        </w:rPr>
        <w:t>市创建文明卫生城市要求。施工围挡必须按照《</w:t>
      </w:r>
      <w:r>
        <w:rPr>
          <w:rFonts w:hint="eastAsia"/>
          <w:color w:val="000000"/>
          <w:lang w:eastAsia="zh-CN"/>
        </w:rPr>
        <w:t>某</w:t>
      </w:r>
      <w:r>
        <w:rPr>
          <w:rFonts w:hint="eastAsia"/>
          <w:color w:val="000000"/>
        </w:rPr>
        <w:t>市建筑施工安全质量标准化指南图册》中的现场围挡要求进行围挡。围挡材料必须使用新材料，高度不小于1.8米，做到封闭施工，并留有相应通道，长度以投标人的现场勘查为准。</w:t>
      </w:r>
    </w:p>
    <w:p w14:paraId="326DD3D8">
      <w:pPr>
        <w:pStyle w:val="5"/>
        <w:spacing w:before="31" w:after="31"/>
        <w:ind w:firstLine="562"/>
      </w:pPr>
      <w:bookmarkStart w:id="3677" w:name="_Toc8675"/>
      <w:bookmarkStart w:id="3678" w:name="_Toc30451"/>
      <w:bookmarkStart w:id="3679" w:name="_Toc20302"/>
      <w:bookmarkStart w:id="3680" w:name="_Toc4914"/>
      <w:bookmarkStart w:id="3681" w:name="_Toc25798"/>
      <w:bookmarkStart w:id="3682" w:name="_Toc26373"/>
      <w:r>
        <w:rPr>
          <w:rFonts w:hint="eastAsia"/>
        </w:rPr>
        <w:t>（十一）</w:t>
      </w:r>
      <w:r>
        <w:t>文明施工措施</w:t>
      </w:r>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p>
    <w:p w14:paraId="74F63048">
      <w:pPr>
        <w:ind w:firstLine="560"/>
      </w:pPr>
      <w:r>
        <w:t>文明施工措施是实现文明施工目标，完成科学管理的重要途径。争取合理的措施，是落实本工程文明施工目标的根本保障，通过建章立制，组织管理、现场管理等措施达到文明施工的目的。文明施工措施费优先投入，保证文明施工顺利进行。</w:t>
      </w:r>
    </w:p>
    <w:p w14:paraId="57E48EE1">
      <w:pPr>
        <w:ind w:firstLine="560"/>
      </w:pPr>
      <w:r>
        <w:t>1、文明施工组织管理措施</w:t>
      </w:r>
    </w:p>
    <w:p w14:paraId="2D1C3AF9">
      <w:pPr>
        <w:ind w:firstLine="560"/>
      </w:pPr>
      <w:r>
        <w:t>（1）健全文明施工管理组织</w:t>
      </w:r>
    </w:p>
    <w:p w14:paraId="009CA202">
      <w:pPr>
        <w:ind w:firstLine="560"/>
      </w:pPr>
      <w:r>
        <w:t>施工现场成立以项目经理组长，管理层全员参与的施工现场文明施工管理组织，从下至上层层分工管为理，同时接受单位的监督检查。</w:t>
      </w:r>
    </w:p>
    <w:p w14:paraId="71F19D52">
      <w:pPr>
        <w:ind w:firstLine="560"/>
      </w:pPr>
      <w:r>
        <w:t>（2）健全管理制度</w:t>
      </w:r>
    </w:p>
    <w:p w14:paraId="0243A76D">
      <w:pPr>
        <w:ind w:firstLine="560"/>
      </w:pPr>
      <w:r>
        <w:t>建立有效的约束机制和激励机制，提高工地文明施工的积极性和创造性。</w:t>
      </w:r>
    </w:p>
    <w:p w14:paraId="05E2CC4A">
      <w:pPr>
        <w:ind w:firstLine="560"/>
      </w:pPr>
      <w:r>
        <w:t>①按专业、岗位建立个人岗位责任制度，挂牌上岗，各负其责，做到文明施工，人人有责。</w:t>
      </w:r>
    </w:p>
    <w:p w14:paraId="30AC9D01">
      <w:pPr>
        <w:ind w:firstLine="560"/>
      </w:pPr>
      <w:r>
        <w:t>②推行奖罚制度，做到赏罚分明，调动职工的积极性。根据岗位、责任大小，小制定奖、罚细则，坚持奖、惩兑现，形成责、权、利统一。</w:t>
      </w:r>
    </w:p>
    <w:p w14:paraId="6AB51F5A">
      <w:pPr>
        <w:ind w:firstLine="560"/>
      </w:pPr>
      <w:r>
        <w:t>③严格按照《施工安全检查标准》中文明施工检查评分表，实行定期或不定期的检查制度，发现不足及时整改，检查结果张榜公布，互相对照，找出差距，达到共同促进，使文明施工良性循环。</w:t>
      </w:r>
    </w:p>
    <w:p w14:paraId="444FEB6E">
      <w:pPr>
        <w:ind w:firstLine="560"/>
      </w:pPr>
      <w:r>
        <w:t>④每周一次的会议制度，分析前段文明施工情况，协调解决存在的问题，布置下周布置文明施工计划，使文明施工有条不紊地开展下去。</w:t>
      </w:r>
    </w:p>
    <w:p w14:paraId="111BE7BE">
      <w:pPr>
        <w:ind w:firstLine="560"/>
      </w:pPr>
      <w:r>
        <w:t>（3）加强教育培训工作</w:t>
      </w:r>
    </w:p>
    <w:p w14:paraId="08C53066">
      <w:pPr>
        <w:ind w:firstLine="560"/>
      </w:pPr>
      <w:r>
        <w:t>人是文明施工的创造者，加强职工和民工的文明施工素质教育尤为重要，特别要注意对民工的岗前教育工作。</w:t>
      </w:r>
    </w:p>
    <w:p w14:paraId="5E409E5F">
      <w:pPr>
        <w:pStyle w:val="5"/>
        <w:spacing w:before="31" w:after="31"/>
        <w:ind w:firstLine="562"/>
      </w:pPr>
      <w:bookmarkStart w:id="3683" w:name="_Toc22444"/>
      <w:bookmarkStart w:id="3684" w:name="_Toc32125"/>
      <w:bookmarkStart w:id="3685" w:name="_Toc30666"/>
      <w:bookmarkStart w:id="3686" w:name="_Toc24122"/>
      <w:bookmarkStart w:id="3687" w:name="_Toc29970"/>
      <w:bookmarkStart w:id="3688" w:name="_Toc5657"/>
      <w:bookmarkStart w:id="3689" w:name="_Toc21509"/>
      <w:bookmarkStart w:id="3690" w:name="_Toc6643"/>
      <w:bookmarkStart w:id="3691" w:name="_Toc5258"/>
      <w:bookmarkStart w:id="3692" w:name="_Toc13901"/>
      <w:bookmarkStart w:id="3693" w:name="_Toc13082"/>
      <w:bookmarkStart w:id="3694" w:name="_Toc15330"/>
      <w:bookmarkStart w:id="3695" w:name="_Toc9079"/>
      <w:bookmarkStart w:id="3696" w:name="_Toc11003"/>
      <w:bookmarkStart w:id="3697" w:name="_Toc14961"/>
      <w:bookmarkStart w:id="3698" w:name="_Toc32503"/>
      <w:bookmarkStart w:id="3699" w:name="_Toc3860"/>
      <w:bookmarkStart w:id="3700" w:name="_Toc19620"/>
      <w:bookmarkStart w:id="3701" w:name="_Toc10194"/>
      <w:bookmarkStart w:id="3702" w:name="_Toc14746"/>
      <w:bookmarkStart w:id="3703" w:name="_Toc846"/>
      <w:bookmarkStart w:id="3704" w:name="_Toc1932"/>
      <w:bookmarkStart w:id="3705" w:name="_Toc1743"/>
      <w:bookmarkStart w:id="3706" w:name="_Toc13550"/>
      <w:bookmarkStart w:id="3707" w:name="_Toc29999"/>
      <w:bookmarkStart w:id="3708" w:name="_Toc9719"/>
      <w:bookmarkStart w:id="3709" w:name="_Toc4611"/>
      <w:bookmarkStart w:id="3710" w:name="_Toc30285"/>
      <w:bookmarkStart w:id="3711" w:name="_Toc26717"/>
      <w:bookmarkStart w:id="3712" w:name="_Toc20689"/>
      <w:bookmarkStart w:id="3713" w:name="_Toc13092"/>
      <w:bookmarkStart w:id="3714" w:name="_Toc22367"/>
      <w:bookmarkStart w:id="3715" w:name="_Toc4216"/>
      <w:bookmarkStart w:id="3716" w:name="_Toc6129"/>
      <w:bookmarkStart w:id="3717" w:name="_Toc20365"/>
      <w:bookmarkStart w:id="3718" w:name="_Toc13070"/>
      <w:bookmarkStart w:id="3719" w:name="_Toc7935"/>
      <w:bookmarkStart w:id="3720" w:name="_Toc13609"/>
      <w:bookmarkStart w:id="3721" w:name="_Toc8045"/>
      <w:bookmarkStart w:id="3722" w:name="_Toc894"/>
      <w:bookmarkStart w:id="3723" w:name="_Toc17118"/>
      <w:bookmarkStart w:id="3724" w:name="_Toc29706"/>
      <w:bookmarkStart w:id="3725" w:name="_Toc28932"/>
      <w:bookmarkStart w:id="3726" w:name="_Toc7734"/>
      <w:bookmarkStart w:id="3727" w:name="_Toc25849"/>
      <w:bookmarkStart w:id="3728" w:name="_Toc16995"/>
      <w:bookmarkStart w:id="3729" w:name="_Toc31877"/>
      <w:bookmarkStart w:id="3730" w:name="_Toc10597"/>
      <w:bookmarkStart w:id="3731" w:name="_Toc14235"/>
      <w:bookmarkStart w:id="3732" w:name="_Toc30124"/>
      <w:bookmarkStart w:id="3733" w:name="_Toc25551"/>
      <w:bookmarkStart w:id="3734" w:name="_Toc4896"/>
      <w:bookmarkStart w:id="3735" w:name="_Toc25705"/>
      <w:bookmarkStart w:id="3736" w:name="_Toc14318"/>
      <w:bookmarkStart w:id="3737" w:name="_Toc21757"/>
      <w:bookmarkStart w:id="3738" w:name="_Toc20051"/>
      <w:bookmarkStart w:id="3739" w:name="_Toc13027"/>
      <w:bookmarkStart w:id="3740" w:name="_Toc18065"/>
      <w:bookmarkStart w:id="3741" w:name="_Toc23"/>
      <w:r>
        <w:rPr>
          <w:rFonts w:hint="eastAsia"/>
        </w:rPr>
        <w:t>（十二）</w:t>
      </w:r>
      <w:r>
        <w:t>文明施工现场管理措施</w:t>
      </w:r>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p>
    <w:p w14:paraId="534CD603">
      <w:pPr>
        <w:ind w:firstLine="560"/>
      </w:pPr>
      <w:r>
        <w:t>1、积极开展整理、整顿、清扫、清洁、素养的“5S”活动，调动全体职工的积极性，自觉参与实施，贯彻施工全过程。强调“现场是我家，美化靠大家”的观念，大家亲自动手，创造一个整齐、清洁、方便、安全和标准化的施工环境，使全体职工养成遵章守纪的良好风尚。</w:t>
      </w:r>
    </w:p>
    <w:p w14:paraId="5F0FFE25">
      <w:pPr>
        <w:ind w:firstLine="560"/>
      </w:pPr>
      <w:r>
        <w:t>2、合理布置</w:t>
      </w:r>
    </w:p>
    <w:p w14:paraId="6FA94C50">
      <w:pPr>
        <w:ind w:firstLine="560"/>
      </w:pPr>
      <w:r>
        <w:t>根据施工现场平面总布置图把施工期间所需要的物在空间上合理布置，实现人与物、人与场所、物与场所、物与物之间的最佳组合，使施工现场秩序化、标准化、规范化，体现文明施工水平。</w:t>
      </w:r>
    </w:p>
    <w:p w14:paraId="7FAEA4F0">
      <w:pPr>
        <w:ind w:firstLine="560"/>
      </w:pPr>
      <w:r>
        <w:t>（1）施工现场标牌</w:t>
      </w:r>
    </w:p>
    <w:p w14:paraId="69DDEEB4">
      <w:pPr>
        <w:ind w:firstLine="560"/>
      </w:pPr>
      <w:r>
        <w:t>施工现场进口处设立整齐明显的“五牌一图”，施工沿线设置必要的安全、文明、质量等醒目标志牌，时时刻刻提醒大家，真正做好的包括文明施工的各项工作，生活区内设置读报栏、黑板报等宣传园地，丰富学习内容，表扬好人好事。</w:t>
      </w:r>
    </w:p>
    <w:p w14:paraId="0DE2AA81">
      <w:pPr>
        <w:ind w:firstLine="560"/>
      </w:pPr>
      <w:r>
        <w:t>（2）封闭管理</w:t>
      </w:r>
    </w:p>
    <w:p w14:paraId="36AA3DFC">
      <w:pPr>
        <w:ind w:firstLine="560"/>
      </w:pPr>
      <w:r>
        <w:t>为加强现场管理，施工工地（拌合料场）设有固定的出入口，配备门卫治安管理，建立门卫管理制度，全员实行挂牌上岗，进、出现场接受检查，外来人员一律禁入。</w:t>
      </w:r>
    </w:p>
    <w:p w14:paraId="1DA648B0">
      <w:pPr>
        <w:ind w:firstLine="560"/>
      </w:pPr>
      <w:r>
        <w:t>（3）施工场地</w:t>
      </w:r>
    </w:p>
    <w:p w14:paraId="3217FCB2">
      <w:pPr>
        <w:ind w:firstLine="560"/>
      </w:pPr>
      <w:r>
        <w:t>施工场地设置循环干道，且保持经常畅通，不堆放构件、材料，尽量采用等级较高的路面，道路平整坚实，无大面积积水。施工场地设置良好的排水设施，保证畅通排水。对于工程施工的废水、泥浆集中排入沉淀池统一沉淀处理。</w:t>
      </w:r>
    </w:p>
    <w:p w14:paraId="6B3267CA">
      <w:pPr>
        <w:ind w:firstLine="560"/>
      </w:pPr>
      <w:r>
        <w:t>（4）材料堆放</w:t>
      </w:r>
    </w:p>
    <w:p w14:paraId="295B2538">
      <w:pPr>
        <w:ind w:firstLine="560"/>
      </w:pPr>
      <w:r>
        <w:t>施工现场工具、构件、材料堆放严格按照总平面图规定的位置堆放，各种材料应分类、分规格整齐堆放，并设置明显标牌，作业区、生产区要做到自产自清、日产日清、工完场清，标准管理。</w:t>
      </w:r>
    </w:p>
    <w:p w14:paraId="2AD045EC">
      <w:pPr>
        <w:ind w:firstLine="560"/>
      </w:pPr>
      <w:r>
        <w:t>（5）现场宿舍</w:t>
      </w:r>
    </w:p>
    <w:p w14:paraId="602BD6E4">
      <w:pPr>
        <w:ind w:firstLine="560"/>
      </w:pPr>
      <w:r>
        <w:t>施工现场作业区与生活区严格分开，并保证安全距离，职工房和民工房尽量采用砖瓦结构，宿舍门向外开，设置安全通道，生活用品和床上用品堆放整齐、干净、室内无异味。保持宿舍外周围环境卫生，不准乱泼乱倒。宿舍内严禁使用电炉，不得堆放易燃易爆物品。</w:t>
      </w:r>
    </w:p>
    <w:p w14:paraId="2A256429">
      <w:pPr>
        <w:ind w:firstLine="560"/>
      </w:pPr>
      <w:r>
        <w:t>（6）现场防火</w:t>
      </w:r>
    </w:p>
    <w:p w14:paraId="6E134BCF">
      <w:pPr>
        <w:ind w:firstLine="560"/>
      </w:pPr>
      <w:r>
        <w:t>施工现场根据施工作业条件订立消防制度，合理配备灭火器材。建立明火审批制度，凡有明火作业的必须经安全员审批后方可实施，作业时按规定派监护人员，作业后，确认无火源危险时方可离开。</w:t>
      </w:r>
    </w:p>
    <w:p w14:paraId="68D1DA46">
      <w:pPr>
        <w:ind w:firstLine="560"/>
      </w:pPr>
      <w:r>
        <w:t>（7）治安综合治理</w:t>
      </w:r>
    </w:p>
    <w:p w14:paraId="5D8C6328">
      <w:pPr>
        <w:ind w:firstLine="560"/>
      </w:pPr>
      <w:r>
        <w:t>施工现场建立治安保卫制度，积极和当地派出所取得联系，及时办理有关证件，特别是民工的五证（身份证、健康证、务工证、暂住证、上岗证），共同治理好工地范围内的治安防范工作，协助、配合派出所的治安综合治理工作。生活区内设置工人业余学习和娱乐场所，不定期举行各种文娱活动，丰富全体职工文化生活，搞好精神文明建设，尊重当地群众的民风民俗，主动和当群众搞好关系，和睦相处，形成一个祥和的施工场面。</w:t>
      </w:r>
    </w:p>
    <w:p w14:paraId="4E5DD861">
      <w:pPr>
        <w:ind w:firstLine="560"/>
      </w:pPr>
      <w:r>
        <w:t>（8）保健急救</w:t>
      </w:r>
    </w:p>
    <w:p w14:paraId="6BF7F10C">
      <w:pPr>
        <w:ind w:firstLine="560"/>
      </w:pPr>
      <w:r>
        <w:t>工地配备保健医药箱，备足一般常用药品，必要时请医生巡回医疗。现场配有适当的急救器材和经培训合格的急救人员和医护人员，以便发生意外及时抢救，不扩大伤势。在流行病发季节施工防中署，低温季节重点防感冒。</w:t>
      </w:r>
    </w:p>
    <w:p w14:paraId="6C59113C">
      <w:pPr>
        <w:pStyle w:val="4"/>
        <w:spacing w:before="93" w:after="31"/>
      </w:pPr>
      <w:bookmarkStart w:id="3742" w:name="_Toc28087"/>
      <w:bookmarkStart w:id="3743" w:name="_Toc22281"/>
      <w:bookmarkStart w:id="3744" w:name="_Toc27494"/>
      <w:bookmarkStart w:id="3745" w:name="_Toc7972"/>
      <w:bookmarkStart w:id="3746" w:name="_Toc4132"/>
      <w:bookmarkStart w:id="3747" w:name="_Toc15399"/>
      <w:bookmarkStart w:id="3748" w:name="_Toc21131"/>
      <w:bookmarkStart w:id="3749" w:name="_Toc29283"/>
      <w:bookmarkStart w:id="3750" w:name="_Toc26244"/>
      <w:bookmarkStart w:id="3751" w:name="_Toc3912"/>
      <w:bookmarkStart w:id="3752" w:name="_Toc27604"/>
      <w:bookmarkStart w:id="3753" w:name="_Toc18389"/>
      <w:bookmarkStart w:id="3754" w:name="_Toc32201"/>
      <w:bookmarkStart w:id="3755" w:name="_Toc74"/>
      <w:bookmarkStart w:id="3756" w:name="_Toc18155"/>
      <w:bookmarkStart w:id="3757" w:name="_Toc1282"/>
      <w:bookmarkStart w:id="3758" w:name="_Toc24708"/>
      <w:bookmarkStart w:id="3759" w:name="_Toc5292"/>
      <w:bookmarkStart w:id="3760" w:name="_Toc3408"/>
      <w:bookmarkStart w:id="3761" w:name="_Toc10393"/>
      <w:bookmarkStart w:id="3762" w:name="_Toc4788"/>
      <w:bookmarkStart w:id="3763" w:name="_Toc27602"/>
      <w:bookmarkStart w:id="3764" w:name="_Toc10064"/>
      <w:bookmarkStart w:id="3765" w:name="_Toc1019"/>
      <w:bookmarkStart w:id="3766" w:name="_Toc28708"/>
      <w:bookmarkStart w:id="3767" w:name="_Toc26177"/>
      <w:bookmarkStart w:id="3768" w:name="_Toc8224"/>
      <w:bookmarkStart w:id="3769" w:name="_Toc14064"/>
      <w:bookmarkStart w:id="3770" w:name="_Toc6551"/>
      <w:bookmarkStart w:id="3771" w:name="_Toc32648"/>
      <w:bookmarkStart w:id="3772" w:name="_Toc31941"/>
      <w:bookmarkStart w:id="3773" w:name="_Toc25405"/>
      <w:bookmarkStart w:id="3774" w:name="_Toc20982"/>
      <w:bookmarkStart w:id="3775" w:name="_Toc9739"/>
      <w:bookmarkStart w:id="3776" w:name="_Toc28592"/>
      <w:bookmarkStart w:id="3777" w:name="_Toc3107"/>
      <w:bookmarkStart w:id="3778" w:name="_Toc16354"/>
      <w:bookmarkStart w:id="3779" w:name="_Toc19355"/>
      <w:bookmarkStart w:id="3780" w:name="_Toc22464"/>
      <w:bookmarkStart w:id="3781" w:name="_Toc22478"/>
      <w:bookmarkStart w:id="3782" w:name="_Toc23494"/>
      <w:bookmarkStart w:id="3783" w:name="_Toc7650"/>
      <w:bookmarkStart w:id="3784" w:name="_Toc6240"/>
      <w:bookmarkStart w:id="3785" w:name="_Toc21092"/>
      <w:bookmarkStart w:id="3786" w:name="_Toc21245"/>
      <w:bookmarkStart w:id="3787" w:name="_Toc3055"/>
      <w:bookmarkStart w:id="3788" w:name="_Toc13791"/>
      <w:bookmarkStart w:id="3789" w:name="_Toc1491"/>
      <w:bookmarkStart w:id="3790" w:name="_Toc29279"/>
      <w:bookmarkStart w:id="3791" w:name="_Toc26144"/>
      <w:bookmarkStart w:id="3792" w:name="_Toc13687"/>
      <w:bookmarkStart w:id="3793" w:name="_Toc21370"/>
      <w:bookmarkStart w:id="3794" w:name="_Toc32253"/>
      <w:bookmarkStart w:id="3795" w:name="_Toc30264"/>
      <w:bookmarkStart w:id="3796" w:name="_Toc13426"/>
      <w:bookmarkStart w:id="3797" w:name="_Toc3951"/>
      <w:bookmarkStart w:id="3798" w:name="_Toc12429"/>
      <w:bookmarkStart w:id="3799" w:name="_Toc2407"/>
      <w:bookmarkStart w:id="3800" w:name="_Toc20648"/>
      <w:bookmarkStart w:id="3801" w:name="_Toc25746"/>
      <w:bookmarkStart w:id="3802" w:name="_Toc14607"/>
      <w:r>
        <w:rPr>
          <w:rFonts w:hint="eastAsia"/>
        </w:rPr>
        <w:t>十二、</w:t>
      </w:r>
      <w:r>
        <w:t>文物保护保证体系及保证措施</w:t>
      </w:r>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p>
    <w:p w14:paraId="7B4FEB37">
      <w:pPr>
        <w:pStyle w:val="5"/>
        <w:spacing w:before="31" w:after="31"/>
        <w:ind w:firstLine="562"/>
      </w:pPr>
      <w:bookmarkStart w:id="3803" w:name="_Toc23266"/>
      <w:bookmarkStart w:id="3804" w:name="_Toc24178"/>
      <w:bookmarkStart w:id="3805" w:name="_Toc32383"/>
      <w:bookmarkStart w:id="3806" w:name="_Toc9937"/>
      <w:bookmarkStart w:id="3807" w:name="_Toc7820"/>
      <w:bookmarkStart w:id="3808" w:name="_Toc1204"/>
      <w:bookmarkStart w:id="3809" w:name="_Toc31226"/>
      <w:bookmarkStart w:id="3810" w:name="_Toc13843"/>
      <w:bookmarkStart w:id="3811" w:name="_Toc15537"/>
      <w:bookmarkStart w:id="3812" w:name="_Toc16798"/>
      <w:bookmarkStart w:id="3813" w:name="_Toc18924"/>
      <w:bookmarkStart w:id="3814" w:name="_Toc25718"/>
      <w:bookmarkStart w:id="3815" w:name="_Toc3887"/>
      <w:bookmarkStart w:id="3816" w:name="_Toc22853"/>
      <w:bookmarkStart w:id="3817" w:name="_Toc18211"/>
      <w:bookmarkStart w:id="3818" w:name="_Toc349"/>
      <w:bookmarkStart w:id="3819" w:name="_Toc18902"/>
      <w:bookmarkStart w:id="3820" w:name="_Toc20115"/>
      <w:bookmarkStart w:id="3821" w:name="_Toc42"/>
      <w:bookmarkStart w:id="3822" w:name="_Toc13800"/>
      <w:bookmarkStart w:id="3823" w:name="_Toc23848"/>
      <w:bookmarkStart w:id="3824" w:name="_Toc12411"/>
      <w:bookmarkStart w:id="3825" w:name="_Toc2603"/>
      <w:bookmarkStart w:id="3826" w:name="_Toc22751"/>
      <w:bookmarkStart w:id="3827" w:name="_Toc13968"/>
      <w:bookmarkStart w:id="3828" w:name="_Toc24094"/>
      <w:bookmarkStart w:id="3829" w:name="_Toc24953"/>
      <w:bookmarkStart w:id="3830" w:name="_Toc21693"/>
      <w:bookmarkStart w:id="3831" w:name="_Toc15229"/>
      <w:bookmarkStart w:id="3832" w:name="_Toc12378"/>
      <w:bookmarkStart w:id="3833" w:name="_Toc15315"/>
      <w:bookmarkStart w:id="3834" w:name="_Toc6537"/>
      <w:bookmarkStart w:id="3835" w:name="_Toc28659"/>
      <w:bookmarkStart w:id="3836" w:name="_Toc7721"/>
      <w:bookmarkStart w:id="3837" w:name="_Toc11873"/>
      <w:bookmarkStart w:id="3838" w:name="_Toc11442"/>
      <w:bookmarkStart w:id="3839" w:name="_Toc31765"/>
      <w:bookmarkStart w:id="3840" w:name="_Toc4855"/>
      <w:bookmarkStart w:id="3841" w:name="_Toc16767"/>
      <w:bookmarkStart w:id="3842" w:name="_Toc26265"/>
      <w:bookmarkStart w:id="3843" w:name="_Toc26538"/>
      <w:bookmarkStart w:id="3844" w:name="_Toc5345"/>
      <w:bookmarkStart w:id="3845" w:name="_Toc8197"/>
      <w:bookmarkStart w:id="3846" w:name="_Toc19949"/>
      <w:bookmarkStart w:id="3847" w:name="_Toc12054"/>
      <w:bookmarkStart w:id="3848" w:name="_Toc13113"/>
      <w:bookmarkStart w:id="3849" w:name="_Toc18384"/>
      <w:bookmarkStart w:id="3850" w:name="_Toc3821"/>
      <w:bookmarkStart w:id="3851" w:name="_Toc14784"/>
      <w:bookmarkStart w:id="3852" w:name="_Toc25813"/>
      <w:bookmarkStart w:id="3853" w:name="_Toc22891"/>
      <w:bookmarkStart w:id="3854" w:name="_Toc22569"/>
      <w:bookmarkStart w:id="3855" w:name="_Toc32085"/>
      <w:bookmarkStart w:id="3856" w:name="_Toc14526"/>
      <w:bookmarkStart w:id="3857" w:name="_Toc1851"/>
      <w:r>
        <w:rPr>
          <w:rFonts w:hint="eastAsia"/>
        </w:rPr>
        <w:t>（一）</w:t>
      </w:r>
      <w:r>
        <w:t>文物保护保证体系</w:t>
      </w:r>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p>
    <w:p w14:paraId="25A50C47">
      <w:pPr>
        <w:ind w:firstLine="560"/>
      </w:pPr>
      <w:r>
        <w:t>建立文物保护保证体系，项目部成立文物保护领导小组，配合地方文物部门和业主、监理共同做好沿线文物保护管理工作</w:t>
      </w:r>
      <w:r>
        <w:rPr>
          <w:rFonts w:hint="eastAsia"/>
        </w:rPr>
        <w:t>。</w:t>
      </w:r>
    </w:p>
    <w:p w14:paraId="525F803A">
      <w:pPr>
        <w:pStyle w:val="5"/>
        <w:spacing w:before="31" w:after="31"/>
        <w:ind w:firstLine="562"/>
      </w:pPr>
      <w:bookmarkStart w:id="3858" w:name="_Toc31294"/>
      <w:bookmarkStart w:id="3859" w:name="_Toc2699"/>
      <w:bookmarkStart w:id="3860" w:name="_Toc3880"/>
      <w:bookmarkStart w:id="3861" w:name="_Toc20638"/>
      <w:bookmarkStart w:id="3862" w:name="_Toc23239"/>
      <w:bookmarkStart w:id="3863" w:name="_Toc27765"/>
      <w:bookmarkStart w:id="3864" w:name="_Toc1476"/>
      <w:bookmarkStart w:id="3865" w:name="_Toc4562"/>
      <w:bookmarkStart w:id="3866" w:name="_Toc1104"/>
      <w:bookmarkStart w:id="3867" w:name="_Toc5310"/>
      <w:bookmarkStart w:id="3868" w:name="_Toc8570"/>
      <w:bookmarkStart w:id="3869" w:name="_Toc5586"/>
      <w:bookmarkStart w:id="3870" w:name="_Toc27219"/>
      <w:bookmarkStart w:id="3871" w:name="_Toc27503"/>
      <w:bookmarkStart w:id="3872" w:name="_Toc9282"/>
      <w:bookmarkStart w:id="3873" w:name="_Toc3492"/>
      <w:bookmarkStart w:id="3874" w:name="_Toc4728"/>
      <w:bookmarkStart w:id="3875" w:name="_Toc5498"/>
      <w:bookmarkStart w:id="3876" w:name="_Toc24575"/>
      <w:bookmarkStart w:id="3877" w:name="_Toc4411"/>
      <w:bookmarkStart w:id="3878" w:name="_Toc28274"/>
      <w:bookmarkStart w:id="3879" w:name="_Toc22496"/>
      <w:bookmarkStart w:id="3880" w:name="_Toc24111"/>
      <w:bookmarkStart w:id="3881" w:name="_Toc12942"/>
      <w:bookmarkStart w:id="3882" w:name="_Toc2337"/>
      <w:bookmarkStart w:id="3883" w:name="_Toc9728"/>
      <w:bookmarkStart w:id="3884" w:name="_Toc26181"/>
      <w:bookmarkStart w:id="3885" w:name="_Toc22990"/>
      <w:bookmarkStart w:id="3886" w:name="_Toc16920"/>
      <w:bookmarkStart w:id="3887" w:name="_Toc4549"/>
      <w:bookmarkStart w:id="3888" w:name="_Toc19515"/>
      <w:bookmarkStart w:id="3889" w:name="_Toc30568"/>
      <w:bookmarkStart w:id="3890" w:name="_Toc15728"/>
      <w:bookmarkStart w:id="3891" w:name="_Toc11943"/>
      <w:bookmarkStart w:id="3892" w:name="_Toc21468"/>
      <w:bookmarkStart w:id="3893" w:name="_Toc25867"/>
      <w:bookmarkStart w:id="3894" w:name="_Toc29675"/>
      <w:bookmarkStart w:id="3895" w:name="_Toc17046"/>
      <w:bookmarkStart w:id="3896" w:name="_Toc10940"/>
      <w:bookmarkStart w:id="3897" w:name="_Toc24119"/>
      <w:bookmarkStart w:id="3898" w:name="_Toc14862"/>
      <w:bookmarkStart w:id="3899" w:name="_Toc5146"/>
      <w:bookmarkStart w:id="3900" w:name="_Toc22279"/>
      <w:bookmarkStart w:id="3901" w:name="_Toc1093"/>
      <w:bookmarkStart w:id="3902" w:name="_Toc22800"/>
      <w:bookmarkStart w:id="3903" w:name="_Toc19681"/>
      <w:bookmarkStart w:id="3904" w:name="_Toc26594"/>
      <w:bookmarkStart w:id="3905" w:name="_Toc28647"/>
      <w:bookmarkStart w:id="3906" w:name="_Toc30608"/>
      <w:bookmarkStart w:id="3907" w:name="_Toc11916"/>
      <w:bookmarkStart w:id="3908" w:name="_Toc13112"/>
      <w:bookmarkStart w:id="3909" w:name="_Toc27052"/>
      <w:bookmarkStart w:id="3910" w:name="_Toc7517"/>
      <w:r>
        <w:rPr>
          <w:rFonts w:hint="eastAsia"/>
        </w:rPr>
        <w:t>（二）</w:t>
      </w:r>
      <w:r>
        <w:t>文物保护保证措施</w:t>
      </w:r>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p>
    <w:p w14:paraId="2CCF271C">
      <w:pPr>
        <w:ind w:firstLine="560"/>
      </w:pPr>
      <w:r>
        <w:t>成立文物保护领导小组，组织全员深入学习国家《中华人民共和国文物保护法》和铁道部及当地政府对文物保护的有关规定，增强文物保护意识，提高自觉保护文物意识，严格贯彻执行国家有关文物保护的各项规定，杜绝任何违反《文物保护法》的事情发生。与当地文物保护部门签订文物保护协议书，并严格执行协议条款。主要措施如下：</w:t>
      </w:r>
    </w:p>
    <w:p w14:paraId="23E0762E">
      <w:pPr>
        <w:ind w:firstLine="560"/>
      </w:pPr>
      <w:r>
        <w:t>(1)建立健全文物保护制度，把文物保护措施落实到各作业工区和每个工班及文物保护责任人，签订文物保护包保责任状，实行奖罚制度。</w:t>
      </w:r>
    </w:p>
    <w:p w14:paraId="7E590917">
      <w:pPr>
        <w:ind w:firstLine="560"/>
      </w:pPr>
      <w:r>
        <w:t>(2)开工前要有针对性的制定文物保护措施和文物保护预案。积极主动和地方文物保护部门进行联系，深入群众做好施工调查，对地上、地下是否有文物初步做到心中有数，以便超前、有针对性地做好工作。</w:t>
      </w:r>
    </w:p>
    <w:p w14:paraId="6AFBD872">
      <w:pPr>
        <w:ind w:firstLine="560"/>
      </w:pPr>
      <w:r>
        <w:t>(3)遵守国家和</w:t>
      </w:r>
      <w:r>
        <w:rPr>
          <w:rFonts w:hint="eastAsia"/>
        </w:rPr>
        <w:t>安徽</w:t>
      </w:r>
      <w:r>
        <w:t>省有关文物考古、勘探、发掘保护等方面的法律、法规，采取必要的措施防止施工过程中对文物的破坏或造成文物的流失等。</w:t>
      </w:r>
    </w:p>
    <w:p w14:paraId="735E4CA4">
      <w:pPr>
        <w:ind w:firstLine="560"/>
      </w:pPr>
      <w:r>
        <w:t>(4)在文物保护区或建设控制带施工时，制定详细的施工方案，在施工现场作出标志说明，并安排专人负责现场管理。</w:t>
      </w:r>
    </w:p>
    <w:p w14:paraId="3BAD15C2">
      <w:pPr>
        <w:ind w:firstLine="560"/>
      </w:pPr>
      <w:r>
        <w:t>(5)施工时如发现文物古迹等有研究价值的物品，立即停止施工，采取必要的措施保护好现场，并及时向当地政府、文物及有关部门报告。不得移动和收藏，防止文物流失，待文物管理部门作出处理后方可继续施工。</w:t>
      </w:r>
    </w:p>
    <w:p w14:paraId="5AF95AEC">
      <w:pPr>
        <w:ind w:firstLine="560"/>
      </w:pPr>
      <w:r>
        <w:t>(6)土方工程以及其他需要取土、弃土时，对现有的或规划的保护文物遗址，承包人应采取避让的原则进行地点的选择。</w:t>
      </w:r>
    </w:p>
    <w:p w14:paraId="08A699A5">
      <w:pPr>
        <w:pStyle w:val="4"/>
        <w:spacing w:before="93" w:after="31"/>
      </w:pPr>
      <w:bookmarkStart w:id="3911" w:name="_Toc20463"/>
      <w:bookmarkStart w:id="3912" w:name="_Toc22606"/>
      <w:bookmarkStart w:id="3913" w:name="_Toc1179"/>
      <w:bookmarkStart w:id="3914" w:name="_Toc31981"/>
      <w:bookmarkStart w:id="3915" w:name="_Toc16703"/>
      <w:bookmarkStart w:id="3916" w:name="_Toc26036"/>
      <w:bookmarkStart w:id="3917" w:name="_Toc25135"/>
      <w:bookmarkStart w:id="3918" w:name="_Toc11432"/>
      <w:bookmarkStart w:id="3919" w:name="_Toc20768"/>
      <w:bookmarkStart w:id="3920" w:name="_Toc22426"/>
      <w:bookmarkStart w:id="3921" w:name="_Toc22769"/>
      <w:bookmarkStart w:id="3922" w:name="_Toc25451"/>
      <w:bookmarkStart w:id="3923" w:name="_Toc22161"/>
      <w:bookmarkStart w:id="3924" w:name="_Toc429"/>
      <w:bookmarkStart w:id="3925" w:name="_Toc14045"/>
      <w:bookmarkStart w:id="3926" w:name="_Toc19687"/>
      <w:bookmarkStart w:id="3927" w:name="_Toc10255"/>
      <w:bookmarkStart w:id="3928" w:name="_Toc17767"/>
      <w:bookmarkStart w:id="3929" w:name="_Toc10619"/>
      <w:bookmarkStart w:id="3930" w:name="_Toc26396"/>
      <w:bookmarkStart w:id="3931" w:name="_Toc18544"/>
      <w:bookmarkStart w:id="3932" w:name="_Toc11466"/>
      <w:bookmarkStart w:id="3933" w:name="_Toc20193"/>
      <w:bookmarkStart w:id="3934" w:name="_Toc14109"/>
      <w:bookmarkStart w:id="3935" w:name="_Toc29240"/>
      <w:bookmarkStart w:id="3936" w:name="_Toc27297"/>
      <w:bookmarkStart w:id="3937" w:name="_Toc1715"/>
      <w:bookmarkStart w:id="3938" w:name="_Toc24307"/>
      <w:bookmarkStart w:id="3939" w:name="_Toc2004"/>
      <w:bookmarkStart w:id="3940" w:name="_Toc16723"/>
      <w:bookmarkStart w:id="3941" w:name="_Toc20506"/>
      <w:bookmarkStart w:id="3942" w:name="_Toc22566"/>
      <w:bookmarkStart w:id="3943" w:name="_Toc29710"/>
      <w:bookmarkStart w:id="3944" w:name="_Toc3010"/>
      <w:bookmarkStart w:id="3945" w:name="_Toc10979"/>
      <w:bookmarkStart w:id="3946" w:name="_Toc18616"/>
      <w:bookmarkStart w:id="3947" w:name="_Toc10349"/>
      <w:bookmarkStart w:id="3948" w:name="_Toc5124"/>
      <w:bookmarkStart w:id="3949" w:name="_Toc844"/>
      <w:bookmarkStart w:id="3950" w:name="_Toc9768"/>
      <w:bookmarkStart w:id="3951" w:name="_Toc20837"/>
      <w:bookmarkStart w:id="3952" w:name="_Toc2015"/>
      <w:bookmarkStart w:id="3953" w:name="_Toc1808"/>
      <w:bookmarkStart w:id="3954" w:name="_Toc4786"/>
      <w:bookmarkStart w:id="3955" w:name="_Toc24130"/>
      <w:bookmarkStart w:id="3956" w:name="_Toc28213"/>
      <w:bookmarkStart w:id="3957" w:name="_Toc16893"/>
      <w:bookmarkStart w:id="3958" w:name="_Toc12212"/>
      <w:bookmarkStart w:id="3959" w:name="_Toc1987"/>
      <w:bookmarkStart w:id="3960" w:name="_Toc23773"/>
      <w:bookmarkStart w:id="3961" w:name="_Toc28853"/>
      <w:bookmarkStart w:id="3962" w:name="_Toc24561"/>
      <w:bookmarkStart w:id="3963" w:name="_Toc18011"/>
      <w:bookmarkStart w:id="3964" w:name="_Toc21905"/>
      <w:bookmarkStart w:id="3965" w:name="_Toc25058"/>
      <w:bookmarkStart w:id="3966" w:name="_Toc14869"/>
      <w:bookmarkStart w:id="3967" w:name="_Toc27277"/>
      <w:bookmarkStart w:id="3968" w:name="_Toc20578"/>
      <w:r>
        <w:rPr>
          <w:rFonts w:hint="eastAsia"/>
        </w:rPr>
        <w:t>十三、绿色施工保障措施</w:t>
      </w:r>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p>
    <w:p w14:paraId="695BA56C">
      <w:pPr>
        <w:pStyle w:val="5"/>
        <w:spacing w:before="31" w:after="31"/>
        <w:ind w:firstLine="562"/>
      </w:pPr>
      <w:bookmarkStart w:id="3969" w:name="_Toc27500"/>
      <w:bookmarkStart w:id="3970" w:name="_Toc4708"/>
      <w:bookmarkStart w:id="3971" w:name="_Toc11177"/>
      <w:bookmarkStart w:id="3972" w:name="_Toc9652"/>
      <w:bookmarkStart w:id="3973" w:name="_Toc8648"/>
      <w:bookmarkStart w:id="3974" w:name="_Toc30989"/>
      <w:bookmarkStart w:id="3975" w:name="_Toc18359"/>
      <w:bookmarkStart w:id="3976" w:name="_Toc11292"/>
      <w:bookmarkStart w:id="3977" w:name="_Toc13914"/>
      <w:bookmarkStart w:id="3978" w:name="_Toc398"/>
      <w:bookmarkStart w:id="3979" w:name="_Toc28962"/>
      <w:bookmarkStart w:id="3980" w:name="_Toc32046"/>
      <w:bookmarkStart w:id="3981" w:name="_Toc14108"/>
      <w:bookmarkStart w:id="3982" w:name="_Toc15317"/>
      <w:bookmarkStart w:id="3983" w:name="_Toc22609"/>
      <w:bookmarkStart w:id="3984" w:name="_Toc8134"/>
      <w:bookmarkStart w:id="3985" w:name="_Toc31868"/>
      <w:bookmarkStart w:id="3986" w:name="_Toc10881"/>
      <w:bookmarkStart w:id="3987" w:name="_Toc30316"/>
      <w:bookmarkStart w:id="3988" w:name="_Toc21946"/>
      <w:bookmarkStart w:id="3989" w:name="_Toc5626"/>
      <w:bookmarkStart w:id="3990" w:name="_Toc29083"/>
      <w:bookmarkStart w:id="3991" w:name="_Toc14225"/>
      <w:bookmarkStart w:id="3992" w:name="_Toc5367"/>
      <w:bookmarkStart w:id="3993" w:name="_Toc16507"/>
      <w:bookmarkStart w:id="3994" w:name="_Toc30893"/>
      <w:bookmarkStart w:id="3995" w:name="_Toc11513"/>
      <w:bookmarkStart w:id="3996" w:name="_Toc18836"/>
      <w:bookmarkStart w:id="3997" w:name="_Toc29339"/>
      <w:bookmarkStart w:id="3998" w:name="_Toc24269"/>
      <w:bookmarkStart w:id="3999" w:name="_Toc32081"/>
      <w:bookmarkStart w:id="4000" w:name="_Toc15523"/>
      <w:bookmarkStart w:id="4001" w:name="_Toc11761"/>
      <w:bookmarkStart w:id="4002" w:name="_Toc2734"/>
      <w:bookmarkStart w:id="4003" w:name="_Toc21680"/>
      <w:bookmarkStart w:id="4004" w:name="_Toc23747"/>
      <w:bookmarkStart w:id="4005" w:name="_Toc8316"/>
      <w:bookmarkStart w:id="4006" w:name="_Toc20993"/>
      <w:bookmarkStart w:id="4007" w:name="_Toc22816"/>
      <w:bookmarkStart w:id="4008" w:name="_Toc19396"/>
      <w:bookmarkStart w:id="4009" w:name="_Toc1586"/>
      <w:bookmarkStart w:id="4010" w:name="_Toc701"/>
      <w:bookmarkStart w:id="4011" w:name="_Toc28086"/>
      <w:bookmarkStart w:id="4012" w:name="_Toc9337"/>
      <w:bookmarkStart w:id="4013" w:name="_Toc26243"/>
      <w:bookmarkStart w:id="4014" w:name="_Toc28945"/>
      <w:bookmarkStart w:id="4015" w:name="_Toc6452"/>
      <w:bookmarkStart w:id="4016" w:name="_Toc29043"/>
      <w:bookmarkStart w:id="4017" w:name="_Toc25882"/>
      <w:bookmarkStart w:id="4018" w:name="_Toc3548"/>
      <w:bookmarkStart w:id="4019" w:name="_Toc14374"/>
      <w:bookmarkStart w:id="4020" w:name="_Toc5913"/>
      <w:bookmarkStart w:id="4021" w:name="_Toc14446"/>
      <w:bookmarkStart w:id="4022" w:name="_Toc13662"/>
      <w:r>
        <w:rPr>
          <w:rFonts w:hint="eastAsia"/>
        </w:rPr>
        <w:t>（一）</w:t>
      </w:r>
      <w:r>
        <w:t>绿色施工管理体系</w:t>
      </w:r>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p>
    <w:p w14:paraId="5FC53365">
      <w:pPr>
        <w:ind w:firstLine="560"/>
      </w:pPr>
      <w:r>
        <w:t>我公司依据环境管理标准，建立绿色施工管理体系，制定绿色施工方针、目标和指标，配备相应的资源，遵守法规，预防污染，节能减废，力争到达施工与环境的和谐。</w:t>
      </w:r>
    </w:p>
    <w:p w14:paraId="28FB09F0">
      <w:pPr>
        <w:ind w:firstLine="560"/>
      </w:pPr>
      <w:r>
        <w:t>根据公司的绿色施工管理体系，工程经理部建立环境保护组织机构，明确各岗位的职责和权限，建立并保持一套工作程序，对所有参与体系工作的人员进展相应的培训。</w:t>
      </w:r>
    </w:p>
    <w:p w14:paraId="3342B7E4">
      <w:pPr>
        <w:ind w:firstLine="560"/>
      </w:pPr>
      <w:r>
        <w:t>针对本工程的特点，我们将重点控制和管理现场平面布置、噪声污染、水污染、大气污染和废弃物等。</w:t>
      </w:r>
    </w:p>
    <w:p w14:paraId="606F85DE">
      <w:pPr>
        <w:pStyle w:val="5"/>
        <w:spacing w:before="31" w:after="31"/>
        <w:ind w:firstLine="562"/>
      </w:pPr>
      <w:bookmarkStart w:id="4023" w:name="_Toc3307"/>
      <w:bookmarkStart w:id="4024" w:name="_Toc925"/>
      <w:bookmarkStart w:id="4025" w:name="_Toc12675"/>
      <w:bookmarkStart w:id="4026" w:name="_Toc25352"/>
      <w:bookmarkStart w:id="4027" w:name="_Toc28239"/>
      <w:bookmarkStart w:id="4028" w:name="_Toc31932"/>
      <w:bookmarkStart w:id="4029" w:name="_Toc17622"/>
      <w:bookmarkStart w:id="4030" w:name="_Toc14557"/>
      <w:bookmarkStart w:id="4031" w:name="_Toc23947"/>
      <w:bookmarkStart w:id="4032" w:name="_Toc28288"/>
      <w:bookmarkStart w:id="4033" w:name="_Toc17127"/>
      <w:bookmarkStart w:id="4034" w:name="_Toc2309"/>
      <w:bookmarkStart w:id="4035" w:name="_Toc13595"/>
      <w:bookmarkStart w:id="4036" w:name="_Toc19022"/>
      <w:bookmarkStart w:id="4037" w:name="_Toc30543"/>
      <w:bookmarkStart w:id="4038" w:name="_Toc4769"/>
      <w:bookmarkStart w:id="4039" w:name="_Toc22044"/>
      <w:bookmarkStart w:id="4040" w:name="_Toc30862"/>
      <w:bookmarkStart w:id="4041" w:name="_Toc7172"/>
      <w:bookmarkStart w:id="4042" w:name="_Toc30537"/>
      <w:bookmarkStart w:id="4043" w:name="_Toc10630"/>
      <w:bookmarkStart w:id="4044" w:name="_Toc24225"/>
      <w:bookmarkStart w:id="4045" w:name="_Toc32722"/>
      <w:bookmarkStart w:id="4046" w:name="_Toc14231"/>
      <w:bookmarkStart w:id="4047" w:name="_Toc20298"/>
      <w:bookmarkStart w:id="4048" w:name="_Toc21048"/>
      <w:bookmarkStart w:id="4049" w:name="_Toc11608"/>
      <w:bookmarkStart w:id="4050" w:name="_Toc32431"/>
      <w:bookmarkStart w:id="4051" w:name="_Toc27573"/>
      <w:bookmarkStart w:id="4052" w:name="_Toc24934"/>
      <w:bookmarkStart w:id="4053" w:name="_Toc28390"/>
      <w:bookmarkStart w:id="4054" w:name="_Toc7346"/>
      <w:bookmarkStart w:id="4055" w:name="_Toc23817"/>
      <w:bookmarkStart w:id="4056" w:name="_Toc28759"/>
      <w:bookmarkStart w:id="4057" w:name="_Toc8963"/>
      <w:bookmarkStart w:id="4058" w:name="_Toc4691"/>
      <w:bookmarkStart w:id="4059" w:name="_Toc5947"/>
      <w:bookmarkStart w:id="4060" w:name="_Toc17246"/>
      <w:bookmarkStart w:id="4061" w:name="_Toc12651"/>
      <w:bookmarkStart w:id="4062" w:name="_Toc22052"/>
      <w:bookmarkStart w:id="4063" w:name="_Toc7989"/>
      <w:bookmarkStart w:id="4064" w:name="_Toc20095"/>
      <w:bookmarkStart w:id="4065" w:name="_Toc9616"/>
      <w:bookmarkStart w:id="4066" w:name="_Toc23203"/>
      <w:bookmarkStart w:id="4067" w:name="_Toc17984"/>
      <w:bookmarkStart w:id="4068" w:name="_Toc10746"/>
      <w:bookmarkStart w:id="4069" w:name="_Toc30935"/>
      <w:bookmarkStart w:id="4070" w:name="_Toc26984"/>
      <w:bookmarkStart w:id="4071" w:name="_Toc23207"/>
      <w:bookmarkStart w:id="4072" w:name="_Toc509"/>
      <w:bookmarkStart w:id="4073" w:name="_Toc17325"/>
      <w:bookmarkStart w:id="4074" w:name="_Toc15960"/>
      <w:bookmarkStart w:id="4075" w:name="_Toc17061"/>
      <w:bookmarkStart w:id="4076" w:name="_Toc10335"/>
      <w:bookmarkStart w:id="4077" w:name="_Toc24446"/>
      <w:r>
        <w:rPr>
          <w:rFonts w:hint="eastAsia"/>
        </w:rPr>
        <w:t>（二）</w:t>
      </w:r>
      <w:r>
        <w:t>绿色施工管理制度</w:t>
      </w:r>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p>
    <w:p w14:paraId="562CC451">
      <w:pPr>
        <w:ind w:firstLine="560"/>
      </w:pPr>
      <w:r>
        <w:t>每半月召开一次“施工现场绿色施工〞工作例会，总结前一阶段的施工现场绿色施工管理情况，布置下一阶段的施工现场绿色施工管理工作。建立并执行施工现场绿色施工管理检查制度。</w:t>
      </w:r>
    </w:p>
    <w:p w14:paraId="7E83FA09">
      <w:pPr>
        <w:ind w:firstLine="560"/>
      </w:pPr>
      <w:r>
        <w:t>每半月组织一次由各施工单位施工现场绿色施工管理负责人参加的联合检查，对检查中所发现的问题，应根据具体情况,定时间、定人、定措施予以解决,工程经理部有关部门应监视落实问题的解决情况。</w:t>
      </w:r>
    </w:p>
    <w:p w14:paraId="73A514AC">
      <w:pPr>
        <w:pStyle w:val="5"/>
        <w:spacing w:before="31" w:after="31"/>
        <w:ind w:firstLine="562"/>
      </w:pPr>
      <w:bookmarkStart w:id="4078" w:name="_Toc1622"/>
      <w:bookmarkStart w:id="4079" w:name="_Toc24567"/>
      <w:bookmarkStart w:id="4080" w:name="_Toc26426"/>
      <w:bookmarkStart w:id="4081" w:name="_Toc11590"/>
      <w:bookmarkStart w:id="4082" w:name="_Toc1950"/>
      <w:bookmarkStart w:id="4083" w:name="_Toc26108"/>
      <w:bookmarkStart w:id="4084" w:name="_Toc15917"/>
      <w:bookmarkStart w:id="4085" w:name="_Toc932"/>
      <w:bookmarkStart w:id="4086" w:name="_Toc24663"/>
      <w:bookmarkStart w:id="4087" w:name="_Toc10538"/>
      <w:bookmarkStart w:id="4088" w:name="_Toc17145"/>
      <w:bookmarkStart w:id="4089" w:name="_Toc31279"/>
      <w:bookmarkStart w:id="4090" w:name="_Toc19773"/>
      <w:bookmarkStart w:id="4091" w:name="_Toc21677"/>
      <w:bookmarkStart w:id="4092" w:name="_Toc1619"/>
      <w:bookmarkStart w:id="4093" w:name="_Toc21481"/>
      <w:bookmarkStart w:id="4094" w:name="_Toc11382"/>
      <w:bookmarkStart w:id="4095" w:name="_Toc15359"/>
      <w:bookmarkStart w:id="4096" w:name="_Toc384"/>
      <w:bookmarkStart w:id="4097" w:name="_Toc22804"/>
      <w:bookmarkStart w:id="4098" w:name="_Toc16104"/>
      <w:bookmarkStart w:id="4099" w:name="_Toc7760"/>
      <w:bookmarkStart w:id="4100" w:name="_Toc28544"/>
      <w:bookmarkStart w:id="4101" w:name="_Toc972"/>
      <w:bookmarkStart w:id="4102" w:name="_Toc26544"/>
      <w:bookmarkStart w:id="4103" w:name="_Toc4852"/>
      <w:bookmarkStart w:id="4104" w:name="_Toc29033"/>
      <w:bookmarkStart w:id="4105" w:name="_Toc8928"/>
      <w:bookmarkStart w:id="4106" w:name="_Toc13169"/>
      <w:bookmarkStart w:id="4107" w:name="_Toc3819"/>
      <w:bookmarkStart w:id="4108" w:name="_Toc2883"/>
      <w:bookmarkStart w:id="4109" w:name="_Toc27841"/>
      <w:bookmarkStart w:id="4110" w:name="_Toc27827"/>
      <w:bookmarkStart w:id="4111" w:name="_Toc7091"/>
      <w:bookmarkStart w:id="4112" w:name="_Toc26865"/>
      <w:bookmarkStart w:id="4113" w:name="_Toc7894"/>
      <w:bookmarkStart w:id="4114" w:name="_Toc24820"/>
      <w:bookmarkStart w:id="4115" w:name="_Toc21901"/>
      <w:bookmarkStart w:id="4116" w:name="_Toc2080"/>
      <w:bookmarkStart w:id="4117" w:name="_Toc29242"/>
      <w:bookmarkStart w:id="4118" w:name="_Toc25148"/>
      <w:bookmarkStart w:id="4119" w:name="_Toc31858"/>
      <w:bookmarkStart w:id="4120" w:name="_Toc6371"/>
      <w:bookmarkStart w:id="4121" w:name="_Toc26402"/>
      <w:bookmarkStart w:id="4122" w:name="_Toc13590"/>
      <w:bookmarkStart w:id="4123" w:name="_Toc13441"/>
      <w:bookmarkStart w:id="4124" w:name="_Toc24370"/>
      <w:bookmarkStart w:id="4125" w:name="_Toc22741"/>
      <w:bookmarkStart w:id="4126" w:name="_Toc28620"/>
      <w:bookmarkStart w:id="4127" w:name="_Toc26328"/>
      <w:bookmarkStart w:id="4128" w:name="_Toc19101"/>
      <w:bookmarkStart w:id="4129" w:name="_Toc10877"/>
      <w:bookmarkStart w:id="4130" w:name="_Toc24504"/>
      <w:bookmarkStart w:id="4131" w:name="_Toc9539"/>
      <w:bookmarkStart w:id="4132" w:name="_Toc20999"/>
      <w:r>
        <w:rPr>
          <w:rFonts w:hint="eastAsia"/>
        </w:rPr>
        <w:t>（三）绿色施工措施</w:t>
      </w:r>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p>
    <w:p w14:paraId="26B17A99">
      <w:pPr>
        <w:ind w:firstLine="560"/>
      </w:pPr>
      <w:r>
        <w:rPr>
          <w:rFonts w:hint="eastAsia"/>
        </w:rPr>
        <w:t>管理示意图：</w:t>
      </w:r>
    </w:p>
    <w:p w14:paraId="6E020971">
      <w:pPr>
        <w:pStyle w:val="18"/>
        <w:rPr>
          <w:lang w:val="en-US"/>
        </w:rPr>
      </w:pPr>
      <w:r>
        <w:rPr>
          <w:lang w:val="en-US" w:bidi="ar-SA"/>
        </w:rPr>
        <w:drawing>
          <wp:inline distT="0" distB="0" distL="114300" distR="114300">
            <wp:extent cx="5189855" cy="5428615"/>
            <wp:effectExtent l="0" t="0" r="0" b="635"/>
            <wp:docPr id="320" name="图片 320" descr="微信图片_202205271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微信图片_20220527100058"/>
                    <pic:cNvPicPr>
                      <a:picLocks noChangeAspect="1"/>
                    </pic:cNvPicPr>
                  </pic:nvPicPr>
                  <pic:blipFill>
                    <a:blip r:embed="rId16">
                      <a:grayscl/>
                    </a:blip>
                    <a:srcRect l="10919" r="9521"/>
                    <a:stretch>
                      <a:fillRect/>
                    </a:stretch>
                  </pic:blipFill>
                  <pic:spPr>
                    <a:xfrm>
                      <a:off x="0" y="0"/>
                      <a:ext cx="5189855" cy="5428615"/>
                    </a:xfrm>
                    <a:prstGeom prst="rect">
                      <a:avLst/>
                    </a:prstGeom>
                  </pic:spPr>
                </pic:pic>
              </a:graphicData>
            </a:graphic>
          </wp:inline>
        </w:drawing>
      </w:r>
    </w:p>
    <w:p w14:paraId="32ADF993">
      <w:pPr>
        <w:ind w:firstLine="560"/>
      </w:pPr>
      <w:r>
        <w:rPr>
          <w:rFonts w:hint="eastAsia"/>
        </w:rPr>
        <w:t>1、防止扬尘污染</w:t>
      </w:r>
    </w:p>
    <w:p w14:paraId="1A574319">
      <w:pPr>
        <w:ind w:firstLine="560"/>
      </w:pPr>
      <w:r>
        <w:rPr>
          <w:rFonts w:hint="eastAsia"/>
        </w:rPr>
        <w:t>（1）主要扬尘源：</w:t>
      </w:r>
    </w:p>
    <w:p w14:paraId="0E42A3A9">
      <w:pPr>
        <w:ind w:firstLine="560"/>
      </w:pPr>
      <w:r>
        <w:rPr>
          <w:rFonts w:hint="eastAsia"/>
        </w:rPr>
        <w:t>土方施工产生的扬尘；</w:t>
      </w:r>
    </w:p>
    <w:p w14:paraId="32831D33">
      <w:pPr>
        <w:ind w:firstLine="560"/>
      </w:pPr>
      <w:r>
        <w:rPr>
          <w:rFonts w:hint="eastAsia"/>
        </w:rPr>
        <w:t>裸露场地产生的扬尘；</w:t>
      </w:r>
    </w:p>
    <w:p w14:paraId="53629641">
      <w:pPr>
        <w:ind w:firstLine="560"/>
      </w:pPr>
      <w:r>
        <w:rPr>
          <w:rFonts w:hint="eastAsia"/>
        </w:rPr>
        <w:t>易散落、易飞扬的细颗粒散体材料运输、存放引起的扬尘；</w:t>
      </w:r>
    </w:p>
    <w:p w14:paraId="794A3AFB">
      <w:pPr>
        <w:ind w:firstLine="560"/>
      </w:pPr>
      <w:r>
        <w:rPr>
          <w:rFonts w:hint="eastAsia"/>
        </w:rPr>
        <w:t>建筑垃圾的存放、运输产生的扬尘；</w:t>
      </w:r>
    </w:p>
    <w:p w14:paraId="0F5B0E26">
      <w:pPr>
        <w:ind w:firstLine="560"/>
      </w:pPr>
      <w:r>
        <w:rPr>
          <w:rFonts w:hint="eastAsia"/>
        </w:rPr>
        <w:t>（2）土方施工产生扬尘的控制</w:t>
      </w:r>
    </w:p>
    <w:p w14:paraId="26498263">
      <w:pPr>
        <w:ind w:firstLine="560"/>
      </w:pPr>
      <w:r>
        <w:rPr>
          <w:rFonts w:hint="eastAsia"/>
        </w:rPr>
        <w:t>土方施工产生的扬尘主要是采取淋水降尘的措施，即对土方的铲、运、卸等环节布置专人进展淋水降尘，以保证相应要求。</w:t>
      </w:r>
    </w:p>
    <w:p w14:paraId="216AE9FC">
      <w:pPr>
        <w:ind w:firstLine="560"/>
      </w:pPr>
      <w:r>
        <w:rPr>
          <w:rFonts w:hint="eastAsia"/>
        </w:rPr>
        <w:t>为防止运土车发生遗洒，在现场搭设拍土架，将运土车上的土拍实，并盖上苫布。</w:t>
      </w:r>
    </w:p>
    <w:p w14:paraId="1EF7FFEB">
      <w:pPr>
        <w:ind w:firstLine="560"/>
      </w:pPr>
      <w:r>
        <w:rPr>
          <w:rFonts w:hint="eastAsia"/>
        </w:rPr>
        <w:t>在出口处设冲洗池和沉淀池，每辆车出去前进展清洗。</w:t>
      </w:r>
    </w:p>
    <w:p w14:paraId="5C441484">
      <w:pPr>
        <w:ind w:firstLine="560"/>
      </w:pPr>
      <w:r>
        <w:rPr>
          <w:rFonts w:hint="eastAsia"/>
        </w:rPr>
        <w:t>所有进出现场的运输车辆，必须车状良好，尾气排放符合市交通管理部门的规定。</w:t>
      </w:r>
    </w:p>
    <w:p w14:paraId="3974F31A">
      <w:pPr>
        <w:ind w:firstLine="560"/>
      </w:pPr>
      <w:r>
        <w:rPr>
          <w:rFonts w:hint="eastAsia"/>
        </w:rPr>
        <w:t>（3）裸露地面产生扬尘控制</w:t>
      </w:r>
    </w:p>
    <w:p w14:paraId="74983CEB">
      <w:pPr>
        <w:ind w:firstLine="560"/>
      </w:pPr>
      <w:r>
        <w:rPr>
          <w:rFonts w:hint="eastAsia"/>
        </w:rPr>
        <w:t>现场临时道路，采用混凝土硬化处理；</w:t>
      </w:r>
    </w:p>
    <w:p w14:paraId="7551C629">
      <w:pPr>
        <w:ind w:firstLine="560"/>
      </w:pPr>
      <w:r>
        <w:rPr>
          <w:rFonts w:hint="eastAsia"/>
        </w:rPr>
        <w:t>其它裸露场地进展临时绿化或进展淋水降尘处理。</w:t>
      </w:r>
    </w:p>
    <w:p w14:paraId="6FC7786F">
      <w:pPr>
        <w:ind w:firstLine="560"/>
      </w:pPr>
      <w:r>
        <w:rPr>
          <w:rFonts w:hint="eastAsia"/>
        </w:rPr>
        <w:t>（4）易散落、易飞扬的细颗粒散体材料引起扬尘控制</w:t>
      </w:r>
    </w:p>
    <w:p w14:paraId="3EC428EB">
      <w:pPr>
        <w:ind w:firstLine="560"/>
      </w:pPr>
      <w:r>
        <w:rPr>
          <w:rFonts w:hint="eastAsia"/>
        </w:rPr>
        <w:t>散体材料在运输：水泥、白灰等易飞扬物、细颗粒散体材料在运输时要严密遮盖，防止遗洒。严禁超载运输，对意外原因产生的遗撒及时处理。</w:t>
      </w:r>
    </w:p>
    <w:p w14:paraId="449AD82B">
      <w:pPr>
        <w:ind w:firstLine="560"/>
      </w:pPr>
      <w:r>
        <w:rPr>
          <w:rFonts w:hint="eastAsia"/>
        </w:rPr>
        <w:t>小颗粒物料临时存放：设置封闭的库房或用围挡、苫布等进展封盖。</w:t>
      </w:r>
    </w:p>
    <w:p w14:paraId="4DF18DAD">
      <w:pPr>
        <w:ind w:firstLine="560"/>
      </w:pPr>
      <w:r>
        <w:rPr>
          <w:rFonts w:hint="eastAsia"/>
        </w:rPr>
        <w:t>（5）建筑垃圾的存放、运输产生的扬尘控制</w:t>
      </w:r>
    </w:p>
    <w:p w14:paraId="0E002A55">
      <w:pPr>
        <w:ind w:firstLine="560"/>
      </w:pPr>
      <w:r>
        <w:rPr>
          <w:rFonts w:hint="eastAsia"/>
        </w:rPr>
        <w:t>建筑物周围外设密目平安网封闭，坚持工完场清，及时将施工中产生的废弃物清理至垃圾堆放场。</w:t>
      </w:r>
    </w:p>
    <w:p w14:paraId="3C499355">
      <w:pPr>
        <w:ind w:firstLine="560"/>
      </w:pPr>
      <w:r>
        <w:rPr>
          <w:rFonts w:hint="eastAsia"/>
        </w:rPr>
        <w:t>定期清理外脚手架上的建筑垃圾。</w:t>
      </w:r>
    </w:p>
    <w:p w14:paraId="71EB9580">
      <w:pPr>
        <w:ind w:firstLine="560"/>
      </w:pPr>
      <w:r>
        <w:rPr>
          <w:rFonts w:hint="eastAsia"/>
        </w:rPr>
        <w:t>建筑垃圾密闭贮存，施工垃圾清运,采用搭设封闭式临时专用垃圾车运输或采用容器吊运或袋装，严禁随意凌空抛撒，施工垃圾应及时清运，并适量洒水，减少污染。</w:t>
      </w:r>
    </w:p>
    <w:p w14:paraId="512F0579">
      <w:pPr>
        <w:ind w:firstLine="560"/>
      </w:pPr>
      <w:r>
        <w:rPr>
          <w:rFonts w:hint="eastAsia"/>
        </w:rPr>
        <w:t>2、防止水污染</w:t>
      </w:r>
    </w:p>
    <w:p w14:paraId="2C5F6B94">
      <w:pPr>
        <w:ind w:firstLine="560"/>
      </w:pPr>
      <w:r>
        <w:rPr>
          <w:rFonts w:hint="eastAsia"/>
        </w:rPr>
        <w:t>（1）雨水管理</w:t>
      </w:r>
    </w:p>
    <w:p w14:paraId="67CF87E9">
      <w:pPr>
        <w:ind w:firstLine="560"/>
      </w:pPr>
      <w:r>
        <w:rPr>
          <w:rFonts w:hint="eastAsia"/>
        </w:rPr>
        <w:t>开工前，工程协助业主与管理部门进展联系，得到批准后将现场的雨水管网与管网连通。</w:t>
      </w:r>
    </w:p>
    <w:p w14:paraId="4AD4A68D">
      <w:pPr>
        <w:ind w:firstLine="560"/>
      </w:pPr>
      <w:r>
        <w:rPr>
          <w:rFonts w:hint="eastAsia"/>
        </w:rPr>
        <w:t>确保排入管网的雨水未被化学品和油品等污染且无固体废弃物。</w:t>
      </w:r>
    </w:p>
    <w:p w14:paraId="37CC03CD">
      <w:pPr>
        <w:ind w:firstLine="560"/>
      </w:pPr>
      <w:r>
        <w:rPr>
          <w:rFonts w:hint="eastAsia"/>
        </w:rPr>
        <w:t>确保雨水管网与污水管网分开使用，严禁将非雨水类的其它水体排进市政雨水管网。</w:t>
      </w:r>
    </w:p>
    <w:p w14:paraId="1286480F">
      <w:pPr>
        <w:ind w:firstLine="560"/>
      </w:pPr>
      <w:r>
        <w:rPr>
          <w:rFonts w:hint="eastAsia"/>
        </w:rPr>
        <w:t>（2）污水管理</w:t>
      </w:r>
    </w:p>
    <w:p w14:paraId="64937CF3">
      <w:pPr>
        <w:ind w:firstLine="560"/>
      </w:pPr>
      <w:r>
        <w:rPr>
          <w:rFonts w:hint="eastAsia"/>
        </w:rPr>
        <w:t>厕所污水控制：厕所设化粪池，污水经化粪池沉淀后进入现场临时污水管网。</w:t>
      </w:r>
    </w:p>
    <w:p w14:paraId="4F6AAF83">
      <w:pPr>
        <w:ind w:firstLine="560"/>
      </w:pPr>
      <w:r>
        <w:rPr>
          <w:rFonts w:hint="eastAsia"/>
        </w:rPr>
        <w:t>施工污水控制：施工现场建立临时污水管网，在最后出口处设置沉淀池，污水经沉淀后直接排入市政污水管网。</w:t>
      </w:r>
    </w:p>
    <w:p w14:paraId="3717A4EB">
      <w:pPr>
        <w:ind w:firstLine="560"/>
      </w:pPr>
      <w:r>
        <w:rPr>
          <w:rFonts w:hint="eastAsia"/>
        </w:rPr>
        <w:t>洗车污水：现场搅拌机前台、出口处设置污水沉淀池，经沉淀后直接排入市政污水管网。</w:t>
      </w:r>
    </w:p>
    <w:p w14:paraId="227AF586">
      <w:pPr>
        <w:ind w:firstLine="560"/>
      </w:pPr>
      <w:r>
        <w:rPr>
          <w:rFonts w:hint="eastAsia"/>
        </w:rPr>
        <w:t>沉淀池每周清理一次，清理出的泥沙按无毒无害废弃物进展处理。</w:t>
      </w:r>
    </w:p>
    <w:p w14:paraId="3BF3152E">
      <w:pPr>
        <w:ind w:firstLine="560"/>
      </w:pPr>
      <w:r>
        <w:rPr>
          <w:rFonts w:hint="eastAsia"/>
        </w:rPr>
        <w:t>（3）生活废水管理</w:t>
      </w:r>
    </w:p>
    <w:p w14:paraId="36A2D332">
      <w:pPr>
        <w:ind w:firstLine="560"/>
      </w:pPr>
      <w:r>
        <w:rPr>
          <w:rFonts w:hint="eastAsia"/>
        </w:rPr>
        <w:t>食堂严禁将食物加工废料、食物残渣及剩饭剩菜等倒入下水道，使用无磷洗涤剂清洗餐具。食堂设隔油池，每半月清理一次。</w:t>
      </w:r>
    </w:p>
    <w:p w14:paraId="46B6BA32">
      <w:pPr>
        <w:ind w:firstLine="560"/>
      </w:pPr>
      <w:r>
        <w:rPr>
          <w:rFonts w:hint="eastAsia"/>
        </w:rPr>
        <w:t>现场浴室应控制含磷洗涤品的使用。</w:t>
      </w:r>
    </w:p>
    <w:p w14:paraId="40E1BC6B">
      <w:pPr>
        <w:ind w:firstLine="560"/>
      </w:pPr>
      <w:r>
        <w:rPr>
          <w:rFonts w:hint="eastAsia"/>
        </w:rPr>
        <w:t>生活废水由专用管线引送，经市政管理部门批准后与市政污水管网连接。</w:t>
      </w:r>
    </w:p>
    <w:p w14:paraId="78FD48F0">
      <w:pPr>
        <w:ind w:firstLine="560"/>
      </w:pPr>
      <w:r>
        <w:rPr>
          <w:rFonts w:hint="eastAsia"/>
        </w:rPr>
        <w:t>（4）污水监测</w:t>
      </w:r>
    </w:p>
    <w:p w14:paraId="721C137A">
      <w:pPr>
        <w:ind w:firstLine="560"/>
      </w:pPr>
      <w:r>
        <w:rPr>
          <w:rFonts w:hint="eastAsia"/>
        </w:rPr>
        <w:t>由于公司不具备水污染监测的设备和资质，工程委托环保部门对现场经过处理排放的废水水量、水质进展监测，留存监测报告。</w:t>
      </w:r>
    </w:p>
    <w:p w14:paraId="4551FA7C">
      <w:pPr>
        <w:ind w:firstLine="560"/>
      </w:pPr>
      <w:r>
        <w:rPr>
          <w:rFonts w:hint="eastAsia"/>
        </w:rPr>
        <w:t>3、防止施工噪音污染</w:t>
      </w:r>
    </w:p>
    <w:p w14:paraId="56E74473">
      <w:pPr>
        <w:ind w:firstLine="560"/>
      </w:pPr>
      <w:r>
        <w:rPr>
          <w:rFonts w:hint="eastAsia"/>
        </w:rPr>
        <w:t>（1）施工现场的主要噪声源</w:t>
      </w:r>
    </w:p>
    <w:p w14:paraId="302B4164">
      <w:pPr>
        <w:ind w:firstLine="560"/>
      </w:pPr>
      <w:r>
        <w:rPr>
          <w:rFonts w:hint="eastAsia"/>
        </w:rPr>
        <w:t>土方阶段：挖掘机、运输汽车等</w:t>
      </w:r>
    </w:p>
    <w:p w14:paraId="65CDB078">
      <w:pPr>
        <w:ind w:firstLine="560"/>
      </w:pPr>
      <w:r>
        <w:rPr>
          <w:rFonts w:hint="eastAsia"/>
        </w:rPr>
        <w:t>构造阶段：混凝土泵、振捣棒、支模拆模、搭拆钢管脚手架、电锯等；</w:t>
      </w:r>
    </w:p>
    <w:p w14:paraId="4186F410">
      <w:pPr>
        <w:ind w:firstLine="560"/>
      </w:pPr>
      <w:r>
        <w:rPr>
          <w:rFonts w:hint="eastAsia"/>
        </w:rPr>
        <w:t>装修阶段及机电设备安装阶段：拆脚手架、砂轮机打磨、无齿锯切制、电锯等。</w:t>
      </w:r>
    </w:p>
    <w:p w14:paraId="4BE5D5F9">
      <w:pPr>
        <w:ind w:firstLine="560"/>
      </w:pPr>
      <w:r>
        <w:rPr>
          <w:rFonts w:hint="eastAsia"/>
        </w:rPr>
        <w:t>（2）土方阶段噪声控制</w:t>
      </w:r>
    </w:p>
    <w:p w14:paraId="190DBD9B">
      <w:pPr>
        <w:ind w:firstLine="560"/>
      </w:pPr>
      <w:r>
        <w:rPr>
          <w:rFonts w:hint="eastAsia"/>
        </w:rPr>
        <w:t>所选用的施工机械必须符合环保标准，操作人员应经过环保教育，有一定的相关经历。</w:t>
      </w:r>
    </w:p>
    <w:p w14:paraId="169EE57B">
      <w:pPr>
        <w:ind w:firstLine="560"/>
      </w:pPr>
      <w:r>
        <w:rPr>
          <w:rFonts w:hint="eastAsia"/>
        </w:rPr>
        <w:t>所有运输车辆、挖掘机等车状良好，不超负荷运转，不产生超标噪音，且严禁鸣喇叭。</w:t>
      </w:r>
    </w:p>
    <w:p w14:paraId="241625DC">
      <w:pPr>
        <w:ind w:firstLine="560"/>
      </w:pPr>
      <w:r>
        <w:rPr>
          <w:rFonts w:hint="eastAsia"/>
        </w:rPr>
        <w:t>加强施工机械的维修保养，尽可能降低噪声排放。</w:t>
      </w:r>
    </w:p>
    <w:p w14:paraId="2D728DB5">
      <w:pPr>
        <w:ind w:firstLine="560"/>
      </w:pPr>
      <w:r>
        <w:rPr>
          <w:rFonts w:hint="eastAsia"/>
        </w:rPr>
        <w:t>在土方施工前，必须在施工现场周围按要求设置围墙，并将临建立施全部建好。</w:t>
      </w:r>
    </w:p>
    <w:p w14:paraId="2C1F81F4">
      <w:pPr>
        <w:ind w:firstLine="560"/>
      </w:pPr>
      <w:r>
        <w:rPr>
          <w:rFonts w:hint="eastAsia"/>
        </w:rPr>
        <w:t>（3）构造阶段噪声控制</w:t>
      </w:r>
    </w:p>
    <w:p w14:paraId="2E245006">
      <w:pPr>
        <w:ind w:firstLine="560"/>
      </w:pPr>
      <w:r>
        <w:rPr>
          <w:rFonts w:hint="eastAsia"/>
        </w:rPr>
        <w:t>构造施工时，随着脚手架搭设，在封闭设置密目平安网，必要时在平安网的侧设置彩条布等，以减少施工期间的噪声。</w:t>
      </w:r>
    </w:p>
    <w:p w14:paraId="437CB750">
      <w:pPr>
        <w:ind w:firstLine="560"/>
      </w:pPr>
      <w:r>
        <w:rPr>
          <w:rFonts w:hint="eastAsia"/>
        </w:rPr>
        <w:t>混凝土工程噪声控制</w:t>
      </w:r>
    </w:p>
    <w:p w14:paraId="62F81970">
      <w:pPr>
        <w:ind w:firstLine="560"/>
      </w:pPr>
      <w:r>
        <w:rPr>
          <w:rFonts w:hint="eastAsia"/>
        </w:rPr>
        <w:t>采用环保型振捣棒，振捣棒使用完毕后及时清理干净并保养好；</w:t>
      </w:r>
    </w:p>
    <w:p w14:paraId="643A8798">
      <w:pPr>
        <w:ind w:firstLine="560"/>
      </w:pPr>
      <w:r>
        <w:rPr>
          <w:rFonts w:hint="eastAsia"/>
        </w:rPr>
        <w:t>混凝土振捣时，制止振钢筋或模板，做到快插慢拔，并配备相应人员控制电源线及电源开关，防止振捣棒空转。</w:t>
      </w:r>
    </w:p>
    <w:p w14:paraId="4FE674C4">
      <w:pPr>
        <w:ind w:firstLine="560"/>
      </w:pPr>
      <w:r>
        <w:rPr>
          <w:rFonts w:hint="eastAsia"/>
        </w:rPr>
        <w:t>加强混凝土泵的维修保养，及时监测，对超过噪声限值的混凝土泵进展更换。</w:t>
      </w:r>
    </w:p>
    <w:p w14:paraId="17A21960">
      <w:pPr>
        <w:ind w:firstLine="560"/>
      </w:pPr>
      <w:r>
        <w:rPr>
          <w:rFonts w:hint="eastAsia"/>
        </w:rPr>
        <w:t>产生噪音的机械设备，如混凝土输送泵、无齿锯、电锯等强噪音设备，放置在封闭的工棚，工棚设围护墙，屋顶设吸音或隔音板。</w:t>
      </w:r>
    </w:p>
    <w:p w14:paraId="47FC8AC4">
      <w:pPr>
        <w:ind w:firstLine="560"/>
      </w:pPr>
      <w:r>
        <w:rPr>
          <w:rFonts w:hint="eastAsia"/>
        </w:rPr>
        <w:t>使用电锤开洞、凿眼时，应使用合格的电锤，及时在钻头上注油或水。</w:t>
      </w:r>
    </w:p>
    <w:p w14:paraId="3450D91C">
      <w:pPr>
        <w:ind w:firstLine="560"/>
      </w:pPr>
      <w:r>
        <w:rPr>
          <w:rFonts w:hint="eastAsia"/>
        </w:rPr>
        <w:t>（4）噪声监测</w:t>
      </w:r>
    </w:p>
    <w:p w14:paraId="39ACBC72">
      <w:pPr>
        <w:ind w:firstLine="560"/>
      </w:pPr>
      <w:r>
        <w:rPr>
          <w:rFonts w:hint="eastAsia"/>
        </w:rPr>
        <w:t>工程设专人负责施工现场场界噪声测量，并填写噪声测量记录。各阶段施工开场后3日进展一次测量，进入正常阶段后再测量一次；</w:t>
      </w:r>
    </w:p>
    <w:p w14:paraId="5079EF80">
      <w:pPr>
        <w:ind w:firstLine="560"/>
      </w:pPr>
      <w:r>
        <w:rPr>
          <w:rFonts w:hint="eastAsia"/>
        </w:rPr>
        <w:t>4、防止废弃物污染</w:t>
      </w:r>
    </w:p>
    <w:p w14:paraId="08FB0994">
      <w:pPr>
        <w:ind w:firstLine="560"/>
      </w:pPr>
      <w:r>
        <w:rPr>
          <w:rFonts w:hint="eastAsia"/>
        </w:rPr>
        <w:t>（1）废弃物种类</w:t>
      </w: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984"/>
        <w:gridCol w:w="3080"/>
        <w:gridCol w:w="4387"/>
        <w:gridCol w:w="2045"/>
      </w:tblGrid>
      <w:tr w14:paraId="1A0A0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469" w:type="pct"/>
            <w:shd w:val="clear" w:color="auto" w:fill="auto"/>
            <w:noWrap/>
            <w:vAlign w:val="center"/>
          </w:tcPr>
          <w:p w14:paraId="55DEFAD6">
            <w:pPr>
              <w:pStyle w:val="18"/>
            </w:pPr>
            <w:r>
              <w:rPr>
                <w:lang w:val="en-US"/>
              </w:rPr>
              <w:t>种类</w:t>
            </w:r>
          </w:p>
        </w:tc>
        <w:tc>
          <w:tcPr>
            <w:tcW w:w="1466" w:type="pct"/>
            <w:shd w:val="clear" w:color="auto" w:fill="auto"/>
            <w:noWrap/>
            <w:vAlign w:val="center"/>
          </w:tcPr>
          <w:p w14:paraId="1DD84548">
            <w:pPr>
              <w:pStyle w:val="18"/>
            </w:pPr>
            <w:r>
              <w:rPr>
                <w:lang w:val="en-US"/>
              </w:rPr>
              <w:t>有毒有害</w:t>
            </w:r>
          </w:p>
        </w:tc>
        <w:tc>
          <w:tcPr>
            <w:tcW w:w="2089" w:type="pct"/>
            <w:shd w:val="clear" w:color="auto" w:fill="auto"/>
            <w:noWrap/>
            <w:vAlign w:val="center"/>
          </w:tcPr>
          <w:p w14:paraId="3F328C48">
            <w:pPr>
              <w:pStyle w:val="18"/>
            </w:pPr>
            <w:r>
              <w:rPr>
                <w:lang w:val="en-US"/>
              </w:rPr>
              <w:t>可回收无毒无害</w:t>
            </w:r>
          </w:p>
        </w:tc>
        <w:tc>
          <w:tcPr>
            <w:tcW w:w="974" w:type="pct"/>
            <w:shd w:val="clear" w:color="auto" w:fill="auto"/>
            <w:noWrap/>
            <w:vAlign w:val="center"/>
          </w:tcPr>
          <w:p w14:paraId="3F3E5B66">
            <w:pPr>
              <w:pStyle w:val="18"/>
              <w:rPr>
                <w:lang w:val="en-US"/>
              </w:rPr>
            </w:pPr>
            <w:r>
              <w:rPr>
                <w:lang w:val="en-US"/>
              </w:rPr>
              <w:t>不可回收</w:t>
            </w:r>
          </w:p>
          <w:p w14:paraId="056FC8F6">
            <w:pPr>
              <w:pStyle w:val="18"/>
            </w:pPr>
            <w:r>
              <w:rPr>
                <w:lang w:val="en-US"/>
              </w:rPr>
              <w:t>无毒无害</w:t>
            </w:r>
          </w:p>
        </w:tc>
      </w:tr>
      <w:tr w14:paraId="49D46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469" w:type="pct"/>
            <w:shd w:val="clear" w:color="auto" w:fill="auto"/>
            <w:noWrap/>
            <w:vAlign w:val="center"/>
          </w:tcPr>
          <w:p w14:paraId="71706622">
            <w:pPr>
              <w:pStyle w:val="18"/>
              <w:rPr>
                <w:lang w:val="en-US"/>
              </w:rPr>
            </w:pPr>
            <w:r>
              <w:rPr>
                <w:lang w:val="en-US"/>
              </w:rPr>
              <w:t>办公生活类废</w:t>
            </w:r>
          </w:p>
          <w:p w14:paraId="0C912524">
            <w:pPr>
              <w:pStyle w:val="18"/>
            </w:pPr>
            <w:r>
              <w:rPr>
                <w:lang w:val="en-US"/>
              </w:rPr>
              <w:t>弃物</w:t>
            </w:r>
          </w:p>
        </w:tc>
        <w:tc>
          <w:tcPr>
            <w:tcW w:w="1466" w:type="pct"/>
            <w:shd w:val="clear" w:color="auto" w:fill="auto"/>
            <w:noWrap/>
            <w:vAlign w:val="center"/>
          </w:tcPr>
          <w:p w14:paraId="0616EBC1">
            <w:pPr>
              <w:pStyle w:val="18"/>
              <w:rPr>
                <w:lang w:val="en-US"/>
              </w:rPr>
            </w:pPr>
            <w:r>
              <w:rPr>
                <w:lang w:val="en-US"/>
              </w:rPr>
              <w:t>废旧电池、打印机墨</w:t>
            </w:r>
          </w:p>
          <w:p w14:paraId="4045B15C">
            <w:pPr>
              <w:pStyle w:val="18"/>
              <w:rPr>
                <w:lang w:val="en-US"/>
              </w:rPr>
            </w:pPr>
            <w:r>
              <w:rPr>
                <w:lang w:val="en-US"/>
              </w:rPr>
              <w:t>粉、色带、磁盘、电</w:t>
            </w:r>
          </w:p>
          <w:p w14:paraId="2B46B5A6">
            <w:pPr>
              <w:pStyle w:val="18"/>
              <w:rPr>
                <w:lang w:val="en-US"/>
              </w:rPr>
            </w:pPr>
            <w:r>
              <w:rPr>
                <w:lang w:val="en-US"/>
              </w:rPr>
              <w:t>池、复印机罢盒、日</w:t>
            </w:r>
          </w:p>
          <w:p w14:paraId="6B058B8E">
            <w:pPr>
              <w:pStyle w:val="18"/>
            </w:pPr>
            <w:r>
              <w:rPr>
                <w:lang w:val="en-US"/>
              </w:rPr>
              <w:t>光灯管等</w:t>
            </w:r>
          </w:p>
        </w:tc>
        <w:tc>
          <w:tcPr>
            <w:tcW w:w="2089" w:type="pct"/>
            <w:shd w:val="clear" w:color="auto" w:fill="auto"/>
            <w:noWrap/>
            <w:vAlign w:val="center"/>
          </w:tcPr>
          <w:p w14:paraId="64D88DE9">
            <w:pPr>
              <w:pStyle w:val="18"/>
              <w:rPr>
                <w:lang w:val="en-US"/>
              </w:rPr>
            </w:pPr>
            <w:r>
              <w:rPr>
                <w:lang w:val="en-US"/>
              </w:rPr>
              <w:t>纸类:包括办公学习用纸、复印纸、旧信封信纸、报刊广告纸、包装货物纸、纸壳等</w:t>
            </w:r>
          </w:p>
          <w:p w14:paraId="229E2FC1">
            <w:pPr>
              <w:pStyle w:val="18"/>
              <w:rPr>
                <w:lang w:val="en-US"/>
              </w:rPr>
            </w:pPr>
            <w:r>
              <w:rPr>
                <w:lang w:val="en-US"/>
              </w:rPr>
              <w:t>塑料类:包括塑料手袋、包装泡沫、塑料布、塑料包装、塑料办公用品、泡沫快餐盒、保鲜膜等;</w:t>
            </w:r>
          </w:p>
          <w:p w14:paraId="4A3BC398">
            <w:pPr>
              <w:pStyle w:val="18"/>
              <w:rPr>
                <w:lang w:val="en-US"/>
              </w:rPr>
            </w:pPr>
            <w:r>
              <w:rPr>
                <w:lang w:val="en-US"/>
              </w:rPr>
              <w:t>瓶罐类:包括各种酒瓶、易拉</w:t>
            </w:r>
          </w:p>
          <w:p w14:paraId="54B839ED">
            <w:pPr>
              <w:pStyle w:val="18"/>
              <w:rPr>
                <w:lang w:val="en-US"/>
              </w:rPr>
            </w:pPr>
            <w:r>
              <w:rPr>
                <w:lang w:val="en-US"/>
              </w:rPr>
              <w:t>罐、玻璃瓶、塑料瓶等</w:t>
            </w:r>
          </w:p>
        </w:tc>
        <w:tc>
          <w:tcPr>
            <w:tcW w:w="974" w:type="pct"/>
            <w:shd w:val="clear" w:color="auto" w:fill="auto"/>
            <w:noWrap/>
            <w:vAlign w:val="center"/>
          </w:tcPr>
          <w:p w14:paraId="12AE125B">
            <w:pPr>
              <w:pStyle w:val="18"/>
              <w:rPr>
                <w:lang w:val="en-US"/>
              </w:rPr>
            </w:pPr>
            <w:r>
              <w:rPr>
                <w:lang w:val="en-US"/>
              </w:rPr>
              <w:t>生活垃圾，包括纸巾、厨纸等。</w:t>
            </w:r>
          </w:p>
          <w:p w14:paraId="007EC702">
            <w:pPr>
              <w:pStyle w:val="18"/>
            </w:pPr>
            <w:r>
              <w:rPr>
                <w:lang w:val="en-US"/>
              </w:rPr>
              <w:t>沾油的脏纸、厨房垃圾等</w:t>
            </w:r>
            <w:r>
              <w:rPr>
                <w:rFonts w:hint="eastAsia"/>
                <w:lang w:val="en-US"/>
              </w:rPr>
              <w:t>。</w:t>
            </w:r>
          </w:p>
        </w:tc>
      </w:tr>
      <w:tr w14:paraId="1BC68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469" w:type="pct"/>
            <w:shd w:val="clear" w:color="auto" w:fill="auto"/>
            <w:noWrap/>
            <w:vAlign w:val="center"/>
          </w:tcPr>
          <w:p w14:paraId="42D100A5">
            <w:pPr>
              <w:pStyle w:val="18"/>
              <w:rPr>
                <w:lang w:val="en-US"/>
              </w:rPr>
            </w:pPr>
            <w:r>
              <w:rPr>
                <w:lang w:val="en-US"/>
              </w:rPr>
              <w:t>施工</w:t>
            </w:r>
          </w:p>
          <w:p w14:paraId="12646030">
            <w:pPr>
              <w:pStyle w:val="18"/>
            </w:pPr>
            <w:r>
              <w:rPr>
                <w:lang w:val="en-US"/>
              </w:rPr>
              <w:t>废弃物</w:t>
            </w:r>
          </w:p>
        </w:tc>
        <w:tc>
          <w:tcPr>
            <w:tcW w:w="1466" w:type="pct"/>
            <w:shd w:val="clear" w:color="auto" w:fill="auto"/>
            <w:noWrap/>
            <w:vAlign w:val="center"/>
          </w:tcPr>
          <w:p w14:paraId="231347FC">
            <w:pPr>
              <w:pStyle w:val="18"/>
              <w:rPr>
                <w:lang w:val="en-US"/>
              </w:rPr>
            </w:pPr>
            <w:r>
              <w:rPr>
                <w:lang w:val="en-US"/>
              </w:rPr>
              <w:t>油棉纱、油手套、变</w:t>
            </w:r>
          </w:p>
          <w:p w14:paraId="2C331663">
            <w:pPr>
              <w:pStyle w:val="18"/>
            </w:pPr>
            <w:r>
              <w:rPr>
                <w:lang w:val="en-US"/>
              </w:rPr>
              <w:t>质过期的化学稀料及贮存桶、废油漆、油漆桶、聚苯板、聚脂板、涂料等</w:t>
            </w:r>
          </w:p>
        </w:tc>
        <w:tc>
          <w:tcPr>
            <w:tcW w:w="2089" w:type="pct"/>
            <w:shd w:val="clear" w:color="auto" w:fill="auto"/>
            <w:noWrap/>
            <w:vAlign w:val="center"/>
          </w:tcPr>
          <w:p w14:paraId="14B40DC4">
            <w:pPr>
              <w:pStyle w:val="18"/>
            </w:pPr>
            <w:r>
              <w:rPr>
                <w:lang w:val="en-US"/>
              </w:rPr>
              <w:t>木材、钢材、空材料贮存桶、废密目网</w:t>
            </w:r>
          </w:p>
        </w:tc>
        <w:tc>
          <w:tcPr>
            <w:tcW w:w="974" w:type="pct"/>
            <w:shd w:val="clear" w:color="auto" w:fill="auto"/>
            <w:noWrap/>
            <w:vAlign w:val="center"/>
          </w:tcPr>
          <w:p w14:paraId="40DF6EFC">
            <w:pPr>
              <w:pStyle w:val="18"/>
              <w:rPr>
                <w:lang w:val="en-US"/>
              </w:rPr>
            </w:pPr>
            <w:r>
              <w:rPr>
                <w:lang w:val="en-US"/>
              </w:rPr>
              <w:t>碎砖头、碎瓦块、碎混凝土块、碎石材、过期散装水泥</w:t>
            </w:r>
            <w:r>
              <w:rPr>
                <w:rFonts w:hint="eastAsia"/>
                <w:lang w:val="en-US"/>
              </w:rPr>
              <w:t>。</w:t>
            </w:r>
          </w:p>
          <w:p w14:paraId="777E244E">
            <w:pPr>
              <w:pStyle w:val="18"/>
            </w:pPr>
            <w:r>
              <w:rPr>
                <w:lang w:val="en-US"/>
              </w:rPr>
              <w:t>石膏板、石材、玻璃等的边角料</w:t>
            </w:r>
            <w:r>
              <w:rPr>
                <w:rFonts w:hint="eastAsia"/>
                <w:lang w:val="en-US"/>
              </w:rPr>
              <w:t>。</w:t>
            </w:r>
          </w:p>
        </w:tc>
      </w:tr>
    </w:tbl>
    <w:p w14:paraId="1A857265">
      <w:pPr>
        <w:ind w:firstLine="560"/>
      </w:pPr>
      <w:r>
        <w:rPr>
          <w:rFonts w:hint="eastAsia"/>
        </w:rPr>
        <w:t>（2）</w:t>
      </w:r>
      <w:r>
        <w:t>办公生活类废弃物处置</w:t>
      </w:r>
    </w:p>
    <w:p w14:paraId="1654C682">
      <w:pPr>
        <w:ind w:firstLine="560"/>
      </w:pPr>
      <w:r>
        <w:t>由专人每天负责清扫办公区域，并对办公区域和食堂每日产生的垃圾进展清理、收集。有害废弃物必须单独存放，防止再次污染。</w:t>
      </w:r>
    </w:p>
    <w:p w14:paraId="34FD15FE">
      <w:pPr>
        <w:ind w:firstLine="560"/>
      </w:pPr>
      <w:r>
        <w:t>可回收无毒无害废弃物〔纸类、塑料类、瓶罐类〕统一收集，定期送废品回收站；生活垃圾送环卫部门进展处理；有毒有害废弃物送固体废弃物回收中心进展处理或由厂家回收。</w:t>
      </w:r>
    </w:p>
    <w:p w14:paraId="25B15FF6">
      <w:pPr>
        <w:ind w:firstLine="560"/>
      </w:pPr>
      <w:r>
        <w:t>每月对垃圾分捡情况和有毒有害废弃物的收集做检查记录。</w:t>
      </w:r>
    </w:p>
    <w:p w14:paraId="0D1D4AB3">
      <w:pPr>
        <w:ind w:firstLine="560"/>
      </w:pPr>
      <w:r>
        <w:rPr>
          <w:rFonts w:hint="eastAsia"/>
        </w:rPr>
        <w:t>（3）</w:t>
      </w:r>
      <w:r>
        <w:t>施工废弃物的处置</w:t>
      </w:r>
    </w:p>
    <w:p w14:paraId="6FB163A9">
      <w:pPr>
        <w:ind w:firstLine="560"/>
      </w:pPr>
      <w:r>
        <w:t>现场施工垃圾采用层层清理、集中堆放、统一搬运的方法。各分包单位部指定专人负责各自区域的施工垃圾的收集、清理工作，并按总包单位的要求将施工垃圾分类运至垃圾储存区域。</w:t>
      </w:r>
    </w:p>
    <w:p w14:paraId="741D4015">
      <w:pPr>
        <w:ind w:firstLine="560"/>
      </w:pPr>
      <w:r>
        <w:t>垃圾储存区域分为可回收利用区、无毒无害区、有毒有害区，并设立相应的标志牌。</w:t>
      </w:r>
    </w:p>
    <w:p w14:paraId="36F814FF">
      <w:pPr>
        <w:ind w:firstLine="560"/>
      </w:pPr>
      <w:r>
        <w:t>对于可回收垃圾如钢筋头，按累积数量定期回收；无毒无害废弃物如碎砼块，由专车运至垃圾消纳地点；有毒有害废弃物如废油漆桶等，由厂家回收。</w:t>
      </w:r>
    </w:p>
    <w:p w14:paraId="64EC3AD0">
      <w:pPr>
        <w:ind w:firstLine="560"/>
      </w:pPr>
      <w:r>
        <w:t>每月对垃圾分捡情况和有毒有害废弃物的收集做检查记录，工程竣工交付使用后，把现场的办公和施工有毒有害废弃物交给具有处理能力的处理机构进展一次性处置。</w:t>
      </w:r>
    </w:p>
    <w:p w14:paraId="692B0784">
      <w:pPr>
        <w:ind w:firstLine="560"/>
      </w:pPr>
      <w:r>
        <w:t>对有可能造成二次污染的废弃物必须单独贮存、设置平安防措施且有醒目标识。</w:t>
      </w:r>
    </w:p>
    <w:p w14:paraId="3DB74389">
      <w:pPr>
        <w:ind w:firstLine="560"/>
      </w:pPr>
      <w:r>
        <w:t>对有毒有害和不可回收无毒无害废弃物及时组织清运，运输确保不散撒、不混放，送到政府批准的单位或场所进展处理、消纳。</w:t>
      </w:r>
    </w:p>
    <w:p w14:paraId="38AC7A2B">
      <w:pPr>
        <w:ind w:firstLine="560"/>
      </w:pPr>
      <w:r>
        <w:t>对可回收的废弃物做到再回收利用。</w:t>
      </w:r>
    </w:p>
    <w:p w14:paraId="7C5C3AF9">
      <w:pPr>
        <w:ind w:firstLine="560"/>
      </w:pPr>
      <w:r>
        <w:rPr>
          <w:rFonts w:hint="eastAsia"/>
        </w:rPr>
        <w:t>5、</w:t>
      </w:r>
      <w:r>
        <w:t>防止易燃易爆品、油品、化学品污染</w:t>
      </w:r>
    </w:p>
    <w:p w14:paraId="600C22FB">
      <w:pPr>
        <w:ind w:firstLine="560"/>
      </w:pPr>
      <w:r>
        <w:rPr>
          <w:rFonts w:hint="eastAsia"/>
        </w:rPr>
        <w:t>（1）</w:t>
      </w:r>
      <w:r>
        <w:t>运输管理</w:t>
      </w:r>
    </w:p>
    <w:p w14:paraId="2A52BEBA">
      <w:pPr>
        <w:ind w:firstLine="560"/>
      </w:pPr>
      <w:r>
        <w:t>运输、押运、卸货由有经历的单位或人员进展。</w:t>
      </w:r>
    </w:p>
    <w:p w14:paraId="281D51C9">
      <w:pPr>
        <w:ind w:firstLine="560"/>
      </w:pPr>
      <w:r>
        <w:t>运输、装卸易燃易爆品、油品、化学品时，要轻拿轻放，防止撞击、拖拉和倾倒。</w:t>
      </w:r>
    </w:p>
    <w:p w14:paraId="5C2AA3CE">
      <w:pPr>
        <w:ind w:firstLine="560"/>
      </w:pPr>
      <w:r>
        <w:t>碰撞、互相接触容易引起燃烧、爆炸或造成其它危险的物品，以及化学性质或防护、灭火方法互相抵触的物品，不得违反配装限制和混合装运。</w:t>
      </w:r>
    </w:p>
    <w:p w14:paraId="2A84BAE5">
      <w:pPr>
        <w:ind w:firstLine="560"/>
      </w:pPr>
      <w:r>
        <w:t>遇热、遇潮容易引起燃烧、爆炸或产生有毒气体的物品，在装运时采取隔热、防潮措施。</w:t>
      </w:r>
    </w:p>
    <w:p w14:paraId="72162995">
      <w:pPr>
        <w:ind w:firstLine="560"/>
      </w:pPr>
      <w:r>
        <w:rPr>
          <w:rFonts w:hint="eastAsia"/>
        </w:rPr>
        <w:t>（2）</w:t>
      </w:r>
      <w:r>
        <w:t>易燃易爆品、油品、化学品设专门库房存放保管，库房必须符合平安、消防要求，标识明确、显著。</w:t>
      </w:r>
    </w:p>
    <w:p w14:paraId="58344009">
      <w:pPr>
        <w:ind w:firstLine="560"/>
      </w:pPr>
      <w:r>
        <w:rPr>
          <w:rFonts w:hint="eastAsia"/>
        </w:rPr>
        <w:t>（3）</w:t>
      </w:r>
      <w:r>
        <w:t>所有进场机械必须保证不出现现场漏油、淌油现象。发现滴油、淌油现象，应及时检修。并在检修过程中，铺好塑料布，以免油渗漏到土壤中。</w:t>
      </w:r>
    </w:p>
    <w:p w14:paraId="457D9F0B">
      <w:pPr>
        <w:ind w:firstLine="560"/>
      </w:pPr>
      <w:r>
        <w:rPr>
          <w:rFonts w:hint="eastAsia"/>
        </w:rPr>
        <w:t>（4）</w:t>
      </w:r>
      <w:r>
        <w:t>对大型机械要勤检查、维修。小型机械如空压机、钢筋套丝机等应用钢板做成防止漏油的槽，少量的漏油应流至钢板槽中，防止油料直接污染土地。</w:t>
      </w:r>
    </w:p>
    <w:p w14:paraId="702F2CE3">
      <w:pPr>
        <w:ind w:firstLine="560"/>
      </w:pPr>
      <w:r>
        <w:rPr>
          <w:rFonts w:hint="eastAsia"/>
        </w:rPr>
        <w:t>（5）</w:t>
      </w:r>
      <w:r>
        <w:t>紧急情况的处理</w:t>
      </w:r>
    </w:p>
    <w:p w14:paraId="655BEBC1">
      <w:pPr>
        <w:ind w:firstLine="560"/>
      </w:pPr>
      <w:r>
        <w:t>根据易燃易爆品、油品、化学品的种类及数量，配备相应数量的防护、救助工具。在易燃易爆品、油品、化学品的运输、贮存及使用过程中发生意外情况或事故时，按我公司"应急准备和响应程序"的规定执行。</w:t>
      </w:r>
    </w:p>
    <w:p w14:paraId="2F5268C4">
      <w:pPr>
        <w:ind w:firstLine="560"/>
      </w:pPr>
      <w:r>
        <w:rPr>
          <w:rFonts w:hint="eastAsia"/>
        </w:rPr>
        <w:t>6、</w:t>
      </w:r>
      <w:r>
        <w:t>防止其它污染</w:t>
      </w:r>
    </w:p>
    <w:p w14:paraId="0AE461CF">
      <w:pPr>
        <w:ind w:firstLine="560"/>
      </w:pPr>
      <w:r>
        <w:rPr>
          <w:rFonts w:hint="eastAsia"/>
        </w:rPr>
        <w:t>（1）</w:t>
      </w:r>
      <w:r>
        <w:t>防止光污染</w:t>
      </w:r>
    </w:p>
    <w:p w14:paraId="35705BC2">
      <w:pPr>
        <w:ind w:firstLine="560"/>
      </w:pPr>
      <w:r>
        <w:t>光污染源：探照灯和电焊弧光。</w:t>
      </w:r>
    </w:p>
    <w:p w14:paraId="46264FDB">
      <w:pPr>
        <w:ind w:firstLine="560"/>
      </w:pPr>
      <w:r>
        <w:t>探照灯采用加设灯罩，防止光照污染；</w:t>
      </w:r>
    </w:p>
    <w:p w14:paraId="59623976">
      <w:pPr>
        <w:ind w:firstLine="560"/>
      </w:pPr>
      <w:r>
        <w:t>防止电焊弧光污染，施工现场周围设密目网屏障，以达遮光目的。</w:t>
      </w:r>
    </w:p>
    <w:p w14:paraId="1734F312">
      <w:pPr>
        <w:ind w:firstLine="560"/>
      </w:pPr>
      <w:r>
        <w:rPr>
          <w:rFonts w:hint="eastAsia"/>
        </w:rPr>
        <w:t>（2）</w:t>
      </w:r>
      <w:r>
        <w:t>减少料具污染</w:t>
      </w:r>
    </w:p>
    <w:p w14:paraId="5CC36EB6">
      <w:pPr>
        <w:ind w:firstLine="560"/>
      </w:pPr>
      <w:r>
        <w:t>钢材、木材按品种、规格码放，标识清晰。水泥库不漏雨，门窗结实；水泥按品种、强度等级码放；露天存放时必须上盖下垫，保证先进先用。</w:t>
      </w:r>
    </w:p>
    <w:p w14:paraId="41FB0A5C">
      <w:pPr>
        <w:ind w:firstLine="560"/>
      </w:pPr>
      <w:r>
        <w:t>钢模板、架管及钢跳板等应及时清理、保养，按品种、规格码放整齐，零配件及时回收并存放指定地点，严禁用于垫道盖沟。</w:t>
      </w:r>
    </w:p>
    <w:p w14:paraId="57C991EB">
      <w:pPr>
        <w:ind w:firstLine="560"/>
      </w:pPr>
      <w:r>
        <w:t>指导各分包单位的物资储存管理，并对保管员做物品存放交底。</w:t>
      </w:r>
    </w:p>
    <w:p w14:paraId="3C413F30">
      <w:pPr>
        <w:ind w:firstLine="560"/>
      </w:pPr>
      <w:r>
        <w:rPr>
          <w:rFonts w:hint="eastAsia"/>
        </w:rPr>
        <w:t>（3）</w:t>
      </w:r>
      <w:r>
        <w:t>防止能源浪费</w:t>
      </w:r>
    </w:p>
    <w:p w14:paraId="4C935D63">
      <w:pPr>
        <w:ind w:firstLine="560"/>
      </w:pPr>
      <w:r>
        <w:t>施工用电总包专业分包均需设计量表。地下、室照明分区、分段、分部位手控或安装时控继电器，场区照明设光敏继电器，节电、用电系统安装电容器以提高功率因数。</w:t>
      </w:r>
    </w:p>
    <w:p w14:paraId="7FEE060B">
      <w:pPr>
        <w:ind w:firstLine="560"/>
      </w:pPr>
      <w:r>
        <w:t>所有机械必须符合产品设计匹配电机，根据加工件选用机械，防止大马拉小车。</w:t>
      </w:r>
    </w:p>
    <w:p w14:paraId="5C454A09">
      <w:pPr>
        <w:ind w:firstLine="560"/>
      </w:pPr>
      <w:r>
        <w:t>临时用水上水管接口严密，水龙头严禁跑、冒、滴、漏。</w:t>
      </w:r>
    </w:p>
    <w:p w14:paraId="2476872A">
      <w:pPr>
        <w:ind w:firstLine="560"/>
      </w:pPr>
      <w:r>
        <w:t>原材使用精打细算，降低耗损，提出合理化建议或用低耗能源材料取代。</w:t>
      </w:r>
    </w:p>
    <w:p w14:paraId="6EF59C5E">
      <w:pPr>
        <w:ind w:firstLine="560"/>
      </w:pPr>
      <w:r>
        <w:t>由食堂管理员随时检查生活区域的水龙头，以防浪费生活用水。</w:t>
      </w:r>
    </w:p>
    <w:p w14:paraId="3605B277">
      <w:pPr>
        <w:ind w:firstLine="560"/>
      </w:pPr>
      <w:r>
        <w:t>教育好工人节约用水用电：防止电开工具未作业时空载运转，夜间减少不必要的照明。</w:t>
      </w:r>
    </w:p>
    <w:p w14:paraId="54414443">
      <w:pPr>
        <w:pStyle w:val="5"/>
        <w:spacing w:before="31" w:after="31"/>
        <w:ind w:firstLine="562"/>
      </w:pPr>
      <w:bookmarkStart w:id="4133" w:name="_Toc29008"/>
      <w:bookmarkStart w:id="4134" w:name="_Toc6287"/>
      <w:bookmarkStart w:id="4135" w:name="_Toc30505"/>
      <w:bookmarkStart w:id="4136" w:name="_Toc20742"/>
      <w:bookmarkStart w:id="4137" w:name="_Toc1084"/>
      <w:bookmarkStart w:id="4138" w:name="_Toc15442"/>
      <w:bookmarkStart w:id="4139" w:name="_Toc2922"/>
      <w:bookmarkStart w:id="4140" w:name="_Toc18280"/>
      <w:bookmarkStart w:id="4141" w:name="_Toc8297"/>
      <w:bookmarkStart w:id="4142" w:name="_Toc818"/>
      <w:bookmarkStart w:id="4143" w:name="_Toc29673"/>
      <w:bookmarkStart w:id="4144" w:name="_Toc25203"/>
      <w:bookmarkStart w:id="4145" w:name="_Toc19941"/>
      <w:bookmarkStart w:id="4146" w:name="_Toc5970"/>
      <w:bookmarkStart w:id="4147" w:name="_Toc4124"/>
      <w:bookmarkStart w:id="4148" w:name="_Toc24099"/>
      <w:bookmarkStart w:id="4149" w:name="_Toc15343"/>
      <w:bookmarkStart w:id="4150" w:name="_Toc19614"/>
      <w:bookmarkStart w:id="4151" w:name="_Toc25732"/>
      <w:bookmarkStart w:id="4152" w:name="_Toc4214"/>
      <w:bookmarkStart w:id="4153" w:name="_Toc1390"/>
      <w:bookmarkStart w:id="4154" w:name="_Toc30091"/>
      <w:bookmarkStart w:id="4155" w:name="_Toc14981"/>
      <w:bookmarkStart w:id="4156" w:name="_Toc7287"/>
      <w:bookmarkStart w:id="4157" w:name="_Toc31145"/>
      <w:bookmarkStart w:id="4158" w:name="_Toc4936"/>
      <w:bookmarkStart w:id="4159" w:name="_Toc26109"/>
      <w:bookmarkStart w:id="4160" w:name="_Toc12927"/>
      <w:bookmarkStart w:id="4161" w:name="_Toc15531"/>
      <w:bookmarkStart w:id="4162" w:name="_Toc31533"/>
      <w:bookmarkStart w:id="4163" w:name="_Toc12649"/>
      <w:bookmarkStart w:id="4164" w:name="_Toc31188"/>
      <w:bookmarkStart w:id="4165" w:name="_Toc17916"/>
      <w:bookmarkStart w:id="4166" w:name="_Toc25634"/>
      <w:bookmarkStart w:id="4167" w:name="_Toc32021"/>
      <w:bookmarkStart w:id="4168" w:name="_Toc10410"/>
      <w:bookmarkStart w:id="4169" w:name="_Toc13312"/>
      <w:bookmarkStart w:id="4170" w:name="_Toc21999"/>
      <w:bookmarkStart w:id="4171" w:name="_Toc9147"/>
      <w:bookmarkStart w:id="4172" w:name="_Toc28607"/>
      <w:bookmarkStart w:id="4173" w:name="_Toc4584"/>
      <w:bookmarkStart w:id="4174" w:name="_Toc3088"/>
      <w:bookmarkStart w:id="4175" w:name="_Toc24990"/>
      <w:bookmarkStart w:id="4176" w:name="_Toc31470"/>
      <w:bookmarkStart w:id="4177" w:name="_Toc28017"/>
      <w:bookmarkStart w:id="4178" w:name="_Toc21785"/>
      <w:bookmarkStart w:id="4179" w:name="_Toc25192"/>
      <w:bookmarkStart w:id="4180" w:name="_Toc15362"/>
      <w:bookmarkStart w:id="4181" w:name="_Toc27638"/>
      <w:bookmarkStart w:id="4182" w:name="_Toc8936"/>
      <w:bookmarkStart w:id="4183" w:name="_Toc16230"/>
      <w:bookmarkStart w:id="4184" w:name="_Toc21128"/>
      <w:bookmarkStart w:id="4185" w:name="_Toc2976"/>
      <w:bookmarkStart w:id="4186" w:name="_Toc25985"/>
      <w:bookmarkStart w:id="4187" w:name="_Toc31329"/>
      <w:r>
        <w:rPr>
          <w:rFonts w:hint="eastAsia"/>
        </w:rPr>
        <w:t>（四）</w:t>
      </w:r>
      <w:r>
        <w:t>防止扰民措施</w:t>
      </w:r>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p>
    <w:p w14:paraId="1BD252E0">
      <w:pPr>
        <w:ind w:firstLine="560"/>
      </w:pPr>
      <w:r>
        <w:t>为了保证良好的生活环境，树立我公司良好的形象，尽可能防止施工带来的不便，防止施工过程中发生扰民和民扰事件，针对本工程特制定如下措施：</w:t>
      </w:r>
    </w:p>
    <w:p w14:paraId="620FC035">
      <w:pPr>
        <w:ind w:firstLine="560"/>
      </w:pPr>
      <w:r>
        <w:rPr>
          <w:rFonts w:hint="eastAsia"/>
        </w:rPr>
        <w:t>1、</w:t>
      </w:r>
      <w:r>
        <w:t>根据我公司环境管理体系程序文件规定的标准，严格按照本工程的环保措施执行，特别注意噪声、废弃物、扬尘等污染的防止。</w:t>
      </w:r>
    </w:p>
    <w:p w14:paraId="6ADA23E0">
      <w:pPr>
        <w:ind w:firstLine="560"/>
      </w:pPr>
      <w:r>
        <w:rPr>
          <w:rFonts w:hint="eastAsia"/>
        </w:rPr>
        <w:t>2、</w:t>
      </w:r>
      <w:r>
        <w:t>调整施工噪声分布时间。根据环保噪声标准日夜要求的不同，合理协调安排施工分项的时间，将容易产生噪声污染的分项如混凝土施工尽量安排在白天施工，防止混凝土搅拌和振捣棒扰民。</w:t>
      </w:r>
    </w:p>
    <w:p w14:paraId="033071B3">
      <w:pPr>
        <w:ind w:firstLine="560"/>
      </w:pPr>
      <w:r>
        <w:rPr>
          <w:rFonts w:hint="eastAsia"/>
        </w:rPr>
        <w:t>3、</w:t>
      </w:r>
      <w:r>
        <w:t>严格控制作业时间，晚上作业不超过22时，早晨作业不早于6时。因施工需要场地噪声超过标准限制或因工艺等技术原因需连续施工，必须报建立部门批准，并在环保部门备案。</w:t>
      </w:r>
    </w:p>
    <w:p w14:paraId="47374AD9">
      <w:pPr>
        <w:ind w:firstLine="560"/>
      </w:pPr>
      <w:r>
        <w:rPr>
          <w:rFonts w:hint="eastAsia"/>
        </w:rPr>
        <w:t>4、</w:t>
      </w:r>
      <w:r>
        <w:t>施工现场的木工棚、钢筋棚等应封闭，加工材料时应轻拿轻放，以有效的降低噪声。</w:t>
      </w:r>
    </w:p>
    <w:p w14:paraId="161CF48C">
      <w:pPr>
        <w:ind w:firstLine="560"/>
      </w:pPr>
      <w:r>
        <w:rPr>
          <w:rFonts w:hint="eastAsia"/>
        </w:rPr>
        <w:t>5、</w:t>
      </w:r>
      <w:r>
        <w:t>施工现场设围墙，实行封闭式管理，防止施工人员对周边的干扰。</w:t>
      </w:r>
    </w:p>
    <w:p w14:paraId="009AC1FD">
      <w:pPr>
        <w:ind w:firstLine="560"/>
      </w:pPr>
      <w:r>
        <w:rPr>
          <w:rFonts w:hint="eastAsia"/>
        </w:rPr>
        <w:t>6、</w:t>
      </w:r>
      <w:r>
        <w:t>及时填写施工现场噪声测量记录，凡超过标准的，对有关因素进展调整，到达施工噪声不扰民的目的。</w:t>
      </w:r>
    </w:p>
    <w:p w14:paraId="6E68DC95">
      <w:pPr>
        <w:ind w:firstLine="560"/>
      </w:pPr>
      <w:r>
        <w:rPr>
          <w:rFonts w:hint="eastAsia"/>
        </w:rPr>
        <w:t>7、</w:t>
      </w:r>
      <w:r>
        <w:t>施工现场的探照灯应采取措施使夜间照明只照射现场而不影响周围居民休息。</w:t>
      </w:r>
    </w:p>
    <w:p w14:paraId="49F1B1FD">
      <w:pPr>
        <w:ind w:firstLine="560"/>
      </w:pPr>
      <w:r>
        <w:rPr>
          <w:rFonts w:hint="eastAsia"/>
        </w:rPr>
        <w:t>8、</w:t>
      </w:r>
      <w:r>
        <w:t>如遇特殊情况，应与校方协商，达成一致后执行。并应提前贴出告示，以取得附近居民的谅解和支持。</w:t>
      </w:r>
    </w:p>
    <w:p w14:paraId="742C1BC3">
      <w:pPr>
        <w:ind w:firstLine="560"/>
      </w:pPr>
      <w:r>
        <w:rPr>
          <w:rFonts w:hint="eastAsia"/>
        </w:rPr>
        <w:t>9、</w:t>
      </w:r>
      <w:r>
        <w:t>现场设专人管理扰民和处理民扰问题，并与周边居民保持良好的关系，有利于解决和协调可能出现的问题。</w:t>
      </w:r>
    </w:p>
    <w:p w14:paraId="57C15E4E">
      <w:pPr>
        <w:ind w:firstLine="560"/>
      </w:pPr>
      <w:r>
        <w:br w:type="page"/>
      </w:r>
    </w:p>
    <w:p w14:paraId="24C5B268">
      <w:pPr>
        <w:pStyle w:val="4"/>
        <w:spacing w:before="93" w:after="31"/>
      </w:pPr>
      <w:bookmarkStart w:id="4188" w:name="_Toc12399"/>
      <w:bookmarkStart w:id="4189" w:name="_Toc20303"/>
      <w:bookmarkStart w:id="4190" w:name="_Toc4035"/>
      <w:bookmarkStart w:id="4191" w:name="_Toc18962"/>
      <w:bookmarkStart w:id="4192" w:name="_Toc31942"/>
      <w:bookmarkStart w:id="4193" w:name="_Toc15799"/>
      <w:bookmarkStart w:id="4194" w:name="_Toc17614"/>
      <w:bookmarkStart w:id="4195" w:name="_Toc31129"/>
      <w:bookmarkStart w:id="4196" w:name="_Toc20034"/>
      <w:bookmarkStart w:id="4197" w:name="_Toc8228"/>
      <w:bookmarkStart w:id="4198" w:name="_Toc21022"/>
      <w:bookmarkStart w:id="4199" w:name="_Toc3629"/>
      <w:bookmarkStart w:id="4200" w:name="_Toc26028"/>
      <w:bookmarkStart w:id="4201" w:name="_Toc25320"/>
      <w:bookmarkStart w:id="4202" w:name="_Toc27739"/>
      <w:bookmarkStart w:id="4203" w:name="_Toc25959"/>
      <w:bookmarkStart w:id="4204" w:name="_Toc20756"/>
      <w:bookmarkStart w:id="4205" w:name="_Toc21962"/>
      <w:bookmarkStart w:id="4206" w:name="_Toc15585"/>
      <w:bookmarkStart w:id="4207" w:name="_Toc294"/>
      <w:bookmarkStart w:id="4208" w:name="_Toc28461"/>
      <w:bookmarkStart w:id="4209" w:name="_Toc28710"/>
      <w:bookmarkStart w:id="4210" w:name="_Toc10130"/>
      <w:bookmarkStart w:id="4211" w:name="_Toc11318"/>
      <w:bookmarkStart w:id="4212" w:name="_Toc14952"/>
      <w:bookmarkStart w:id="4213" w:name="_Toc15194"/>
      <w:bookmarkStart w:id="4214" w:name="_Toc4417"/>
      <w:bookmarkStart w:id="4215" w:name="_Toc3969"/>
      <w:bookmarkStart w:id="4216" w:name="_Toc29726"/>
      <w:bookmarkStart w:id="4217" w:name="_Toc31128"/>
      <w:bookmarkStart w:id="4218" w:name="_Toc13140"/>
      <w:bookmarkStart w:id="4219" w:name="_Toc6970"/>
      <w:bookmarkStart w:id="4220" w:name="_Toc12633"/>
      <w:bookmarkStart w:id="4221" w:name="_Toc27999"/>
      <w:bookmarkStart w:id="4222" w:name="_Toc13783"/>
      <w:bookmarkStart w:id="4223" w:name="_Toc22872"/>
      <w:bookmarkStart w:id="4224" w:name="_Toc9798"/>
      <w:bookmarkStart w:id="4225" w:name="_Toc14874"/>
      <w:bookmarkStart w:id="4226" w:name="_Toc760"/>
      <w:bookmarkStart w:id="4227" w:name="_Toc20912"/>
      <w:bookmarkStart w:id="4228" w:name="_Toc1699"/>
      <w:bookmarkStart w:id="4229" w:name="_Toc27268"/>
      <w:bookmarkStart w:id="4230" w:name="_Toc20437"/>
      <w:bookmarkStart w:id="4231" w:name="_Toc14917"/>
      <w:bookmarkStart w:id="4232" w:name="_Toc16004"/>
      <w:bookmarkStart w:id="4233" w:name="_Toc10298"/>
      <w:bookmarkStart w:id="4234" w:name="_Toc16895"/>
      <w:bookmarkStart w:id="4235" w:name="_Toc28729"/>
      <w:bookmarkStart w:id="4236" w:name="_Toc28093"/>
      <w:bookmarkStart w:id="4237" w:name="_Toc14128"/>
      <w:bookmarkStart w:id="4238" w:name="_Toc5749"/>
      <w:r>
        <w:rPr>
          <w:rFonts w:hint="eastAsia"/>
        </w:rPr>
        <w:t>十四、文明施工管理措施及分片管理</w:t>
      </w:r>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p>
    <w:p w14:paraId="74EBA5F6">
      <w:pPr>
        <w:pStyle w:val="5"/>
        <w:spacing w:before="31" w:after="31"/>
        <w:ind w:firstLine="562"/>
      </w:pPr>
      <w:bookmarkStart w:id="4239" w:name="_Toc31582"/>
      <w:bookmarkStart w:id="4240" w:name="_Toc9443"/>
      <w:bookmarkStart w:id="4241" w:name="_Toc9241"/>
      <w:bookmarkStart w:id="4242" w:name="_Toc9158"/>
      <w:bookmarkStart w:id="4243" w:name="_Toc27558"/>
      <w:bookmarkStart w:id="4244" w:name="_Toc27383"/>
      <w:bookmarkStart w:id="4245" w:name="_Toc9291"/>
      <w:bookmarkStart w:id="4246" w:name="_Toc8382"/>
      <w:bookmarkStart w:id="4247" w:name="_Toc6350"/>
      <w:bookmarkStart w:id="4248" w:name="_Toc2856"/>
      <w:bookmarkStart w:id="4249" w:name="_Toc22838"/>
      <w:bookmarkStart w:id="4250" w:name="_Toc9759"/>
      <w:bookmarkStart w:id="4251" w:name="_Toc14097"/>
      <w:bookmarkStart w:id="4252" w:name="_Toc7505"/>
      <w:bookmarkStart w:id="4253" w:name="_Toc28289"/>
      <w:bookmarkStart w:id="4254" w:name="_Toc7638"/>
      <w:bookmarkStart w:id="4255" w:name="_Toc9663"/>
      <w:bookmarkStart w:id="4256" w:name="_Toc4618"/>
      <w:bookmarkStart w:id="4257" w:name="_Toc21066"/>
      <w:bookmarkStart w:id="4258" w:name="_Toc27000"/>
      <w:bookmarkStart w:id="4259" w:name="_Toc7042"/>
      <w:bookmarkStart w:id="4260" w:name="_Toc27945"/>
      <w:bookmarkStart w:id="4261" w:name="_Toc28195"/>
      <w:bookmarkStart w:id="4262" w:name="_Toc31041"/>
      <w:bookmarkStart w:id="4263" w:name="_Toc10358"/>
      <w:bookmarkStart w:id="4264" w:name="_Toc7072"/>
      <w:bookmarkStart w:id="4265" w:name="_Toc21270"/>
      <w:bookmarkStart w:id="4266" w:name="_Toc10107"/>
      <w:bookmarkStart w:id="4267" w:name="_Toc29014"/>
      <w:bookmarkStart w:id="4268" w:name="_Toc20218"/>
      <w:bookmarkStart w:id="4269" w:name="_Toc8769"/>
      <w:bookmarkStart w:id="4270" w:name="_Toc8949"/>
      <w:bookmarkStart w:id="4271" w:name="_Toc17550"/>
      <w:bookmarkStart w:id="4272" w:name="_Toc1047"/>
      <w:bookmarkStart w:id="4273" w:name="_Toc24219"/>
      <w:bookmarkStart w:id="4274" w:name="_Toc13556"/>
      <w:bookmarkStart w:id="4275" w:name="_Toc481"/>
      <w:bookmarkStart w:id="4276" w:name="_Toc28113"/>
      <w:bookmarkStart w:id="4277" w:name="_Toc862"/>
      <w:bookmarkStart w:id="4278" w:name="_Toc27660"/>
      <w:bookmarkStart w:id="4279" w:name="_Toc21169"/>
      <w:bookmarkStart w:id="4280" w:name="_Toc919"/>
      <w:bookmarkStart w:id="4281" w:name="_Toc11795"/>
      <w:bookmarkStart w:id="4282" w:name="_Toc11871"/>
      <w:bookmarkStart w:id="4283" w:name="_Toc9105"/>
      <w:bookmarkStart w:id="4284" w:name="_Toc31804"/>
      <w:bookmarkStart w:id="4285" w:name="_Toc16621"/>
      <w:bookmarkStart w:id="4286" w:name="_Toc28204"/>
      <w:bookmarkStart w:id="4287" w:name="_Toc26433"/>
      <w:r>
        <w:rPr>
          <w:rFonts w:hint="eastAsia"/>
        </w:rPr>
        <w:t>（一）文明施工管理措施</w:t>
      </w:r>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p>
    <w:p w14:paraId="7940F4F1">
      <w:pPr>
        <w:ind w:firstLine="560"/>
      </w:pPr>
      <w:r>
        <w:rPr>
          <w:rFonts w:hint="eastAsia"/>
        </w:rPr>
        <w:t>⑴建立健全组织管理机构，落实责任，建立制度，定期检查评分，项目经理是文明工地建设的第一责任人。</w:t>
      </w:r>
    </w:p>
    <w:p w14:paraId="7343D807">
      <w:pPr>
        <w:ind w:firstLine="560"/>
      </w:pPr>
      <w:r>
        <w:rPr>
          <w:rFonts w:hint="eastAsia"/>
        </w:rPr>
        <w:t>⑵每月召开一次</w:t>
      </w:r>
      <w:r>
        <w:t>“</w:t>
      </w:r>
      <w:r>
        <w:rPr>
          <w:rFonts w:hint="eastAsia"/>
        </w:rPr>
        <w:t>文明工地建设领导小组</w:t>
      </w:r>
      <w:r>
        <w:t>”</w:t>
      </w:r>
      <w:r>
        <w:rPr>
          <w:rFonts w:hint="eastAsia"/>
        </w:rPr>
        <w:t>工作例会，总结一个月的现场文明施工情况，对文明施工检查情况进行考评，布置下一阶段的文明施工工作。</w:t>
      </w:r>
    </w:p>
    <w:p w14:paraId="6F3A64C1">
      <w:pPr>
        <w:ind w:firstLine="560"/>
      </w:pPr>
      <w:r>
        <w:rPr>
          <w:rFonts w:hint="eastAsia"/>
        </w:rPr>
        <w:t>⑶根据不同施工阶段和工程进度情况，公司将安排专人对文明工地建设进行策划和实施。项目部将制定分阶段的文明施工组织方案，对文明施工管理目标进行详细分解，明确岗位职责。</w:t>
      </w:r>
    </w:p>
    <w:p w14:paraId="05B361D7">
      <w:pPr>
        <w:ind w:firstLine="560"/>
      </w:pPr>
      <w:r>
        <w:rPr>
          <w:rFonts w:hint="eastAsia"/>
        </w:rPr>
        <w:t>⑷项目经理部每周组织一次由各施工队生产负责人参加的联合检查，对检查中出现的隐患问题和违章现象，开具</w:t>
      </w:r>
      <w:r>
        <w:t>“</w:t>
      </w:r>
      <w:r>
        <w:rPr>
          <w:rFonts w:hint="eastAsia"/>
        </w:rPr>
        <w:t>重大隐患问题通知单</w:t>
      </w:r>
      <w:r>
        <w:t>”</w:t>
      </w:r>
      <w:r>
        <w:rPr>
          <w:rFonts w:hint="eastAsia"/>
        </w:rPr>
        <w:t>。各施工队在收到通知单后，应根据具体情况定时间、定人、定措施予以解决，项目经理部安全员应监督检查问题的解决情况。如发现重大隐患问题，检查组有权下达停工指令，整改后经检查组批准后方可施工。</w:t>
      </w:r>
    </w:p>
    <w:p w14:paraId="37B78AB4">
      <w:pPr>
        <w:ind w:firstLine="560"/>
      </w:pPr>
      <w:r>
        <w:rPr>
          <w:rFonts w:hint="eastAsia"/>
        </w:rPr>
        <w:t>⑸文明施工检查结果做为各有关部门的考核业绩，与奖金挂钩，对于管理不力，多次在文明施工检查中出现问题的部门或责任人要给予批评甚至撤换人员，被评为先进单位和个人的给予奖励。</w:t>
      </w:r>
    </w:p>
    <w:p w14:paraId="02C55F50">
      <w:pPr>
        <w:ind w:firstLine="560"/>
      </w:pPr>
      <w:r>
        <w:rPr>
          <w:rFonts w:hint="eastAsia"/>
        </w:rPr>
        <w:t>⑹为了进一步加强管理，针对文明工地建设的各项标准，项目经理部要结合本工程的特点，制定各项管理制度和更详细的检查评分办法，把工作做得更实、更细。</w:t>
      </w:r>
    </w:p>
    <w:p w14:paraId="28718883">
      <w:pPr>
        <w:ind w:firstLine="560"/>
      </w:pPr>
      <w:r>
        <w:rPr>
          <w:rFonts w:hint="eastAsia"/>
        </w:rPr>
        <w:t>⑺广泛开展宣传教育活动，让职工都了解创建文明工地的意义，都熟悉创建文明工地的标准，都投入到创建文明工地的活动中来。</w:t>
      </w:r>
    </w:p>
    <w:p w14:paraId="64C5B5C3">
      <w:pPr>
        <w:ind w:firstLine="560"/>
      </w:pPr>
      <w:r>
        <w:rPr>
          <w:rFonts w:hint="eastAsia"/>
        </w:rPr>
        <w:t>⑻创建文明工地要贯彻以人为本，以安全为重点，以质量为核心的宗旨，与工程施工建设过程紧密结合，推动工程质量达标创优。使创建文明工地的活动得到甲方和监理公司的理解和支持。</w:t>
      </w:r>
    </w:p>
    <w:p w14:paraId="123C1279">
      <w:pPr>
        <w:ind w:firstLine="560"/>
      </w:pPr>
      <w:r>
        <w:rPr>
          <w:rFonts w:hint="eastAsia"/>
        </w:rPr>
        <w:t>⑼创建工地需要一定的资金投入，从我司近年来创建文明工地的经验看，文明工地不出事故，工地精神面貌好，劳动效率高，工程质量好，业主满意，施工企业能取得较好的经济效益和社会效益。因此公司总部给项目经理部较优惠的政策，支持项目经理部创建文明工地。</w:t>
      </w:r>
    </w:p>
    <w:p w14:paraId="2AE07AB5">
      <w:pPr>
        <w:ind w:firstLine="560"/>
      </w:pPr>
      <w:r>
        <w:rPr>
          <w:rFonts w:hint="eastAsia"/>
        </w:rPr>
        <w:t>⑽工地设门卫值班室，由</w:t>
      </w:r>
      <w:r>
        <w:t>3</w:t>
      </w:r>
      <w:r>
        <w:rPr>
          <w:rFonts w:hint="eastAsia"/>
        </w:rPr>
        <w:t>人昼夜轮流值班，白天对外来人和进出车辆及所有物资进行登记，夜间值班巡逻护场。重点是仓库、木工棚、办公室、成品、半成品保卫，门卫必须穿保安制服。</w:t>
      </w:r>
    </w:p>
    <w:p w14:paraId="49409AD5">
      <w:pPr>
        <w:ind w:firstLine="560"/>
      </w:pPr>
      <w:r>
        <w:rPr>
          <w:rFonts w:hint="eastAsia"/>
        </w:rPr>
        <w:t>⑾加强对外地民工的管理，摸清人员底数，掌握每个人的思想动态，及时进行教育，把事故消灭在萌芽状态。非施工人员不得住在施工现场，特殊情况要经项目经理批准。</w:t>
      </w:r>
    </w:p>
    <w:p w14:paraId="3C7ACB47">
      <w:pPr>
        <w:ind w:firstLine="560"/>
      </w:pPr>
      <w:r>
        <w:rPr>
          <w:rFonts w:hint="eastAsia"/>
        </w:rPr>
        <w:t>⑿每月对职工进行一次治安教育，每季度召开一次治保会，定期组织保卫检查，并将会议检查整改记录存入内业资料以备检查。</w:t>
      </w:r>
    </w:p>
    <w:p w14:paraId="0DAC70E5">
      <w:pPr>
        <w:ind w:firstLine="560"/>
      </w:pPr>
      <w:r>
        <w:rPr>
          <w:rFonts w:hint="eastAsia"/>
        </w:rPr>
        <w:t>⒀对易燃、易爆、有毒物品设专库、专管，未经单位工程负责人批准，任何人都不得动用，不按此执行，应当造成后果追究当事人的责任。</w:t>
      </w:r>
    </w:p>
    <w:p w14:paraId="1183529F">
      <w:pPr>
        <w:ind w:firstLine="560"/>
      </w:pPr>
      <w:r>
        <w:rPr>
          <w:rFonts w:hint="eastAsia"/>
        </w:rPr>
        <w:t>⒁施工现场必须按照</w:t>
      </w:r>
      <w:r>
        <w:t>“</w:t>
      </w:r>
      <w:r>
        <w:rPr>
          <w:rFonts w:hint="eastAsia"/>
        </w:rPr>
        <w:t>谁主管，谁负责</w:t>
      </w:r>
      <w:r>
        <w:t>”</w:t>
      </w:r>
      <w:r>
        <w:rPr>
          <w:rFonts w:hint="eastAsia"/>
        </w:rPr>
        <w:t>的原则，由各部门、队组承担对其管辖范围的人员及物料的安全保卫工作。</w:t>
      </w:r>
    </w:p>
    <w:p w14:paraId="3BA99B7F">
      <w:pPr>
        <w:ind w:firstLine="560"/>
      </w:pPr>
      <w:r>
        <w:rPr>
          <w:rFonts w:hint="eastAsia"/>
        </w:rPr>
        <w:t>⒂防火措施</w:t>
      </w:r>
    </w:p>
    <w:p w14:paraId="480C2543">
      <w:pPr>
        <w:ind w:firstLine="560"/>
      </w:pPr>
      <w:r>
        <w:rPr>
          <w:rFonts w:hint="eastAsia"/>
        </w:rPr>
        <w:t>现场设有明显的防火宣传标志，每月对职工进行一次防火教育，定期组织防火检查，建立防火工作档案。</w:t>
      </w:r>
    </w:p>
    <w:p w14:paraId="7887EB63">
      <w:pPr>
        <w:ind w:firstLine="560"/>
      </w:pPr>
      <w:r>
        <w:rPr>
          <w:rFonts w:hint="eastAsia"/>
        </w:rPr>
        <w:t>电工、焊工从事电气设备安装和消除附近易燃物，配备看火人员和灭火用具，用火证当日有效，动火地点变换要重新办理用火证手续。</w:t>
      </w:r>
    </w:p>
    <w:p w14:paraId="30E8C62A">
      <w:pPr>
        <w:ind w:firstLine="560"/>
      </w:pPr>
      <w:r>
        <w:rPr>
          <w:rFonts w:hint="eastAsia"/>
        </w:rPr>
        <w:t>使用电气设备和易燃、易爆物品，必须有防火措施，指定防火负责人，配备灭火器材，确保施工安全。</w:t>
      </w:r>
    </w:p>
    <w:p w14:paraId="4FB5A41F">
      <w:pPr>
        <w:ind w:firstLine="560"/>
      </w:pPr>
      <w:r>
        <w:rPr>
          <w:rFonts w:hint="eastAsia"/>
        </w:rPr>
        <w:t>因施工需要搭设的临时，应符合防盗、防火要求，不得使用易燃材料。</w:t>
      </w:r>
    </w:p>
    <w:p w14:paraId="49075578">
      <w:pPr>
        <w:ind w:firstLine="560"/>
      </w:pPr>
      <w:r>
        <w:rPr>
          <w:rFonts w:hint="eastAsia"/>
        </w:rPr>
        <w:t>施工材料的存放、保管，符合防火安全要求，库房用非燃材料支搭。</w:t>
      </w:r>
    </w:p>
    <w:p w14:paraId="396E9720">
      <w:pPr>
        <w:ind w:firstLine="560"/>
      </w:pPr>
      <w:r>
        <w:rPr>
          <w:rFonts w:hint="eastAsia"/>
        </w:rPr>
        <w:t>易燃易爆物品，专库储存，分类单独存放，保持通风，用火符合防火规定。</w:t>
      </w:r>
    </w:p>
    <w:p w14:paraId="04649B70">
      <w:pPr>
        <w:ind w:firstLine="560"/>
      </w:pPr>
      <w:r>
        <w:rPr>
          <w:rFonts w:hint="eastAsia"/>
        </w:rPr>
        <w:t>工程内不准作为仓库使用，不准存放易燃、可燃材料，因施工需要进入工程内的可燃材料，要根据工程计划限量进入并应采取可靠的防火措施。工程内不准住人。</w:t>
      </w:r>
    </w:p>
    <w:p w14:paraId="662E3AE1">
      <w:pPr>
        <w:ind w:firstLine="560"/>
      </w:pPr>
      <w:r>
        <w:rPr>
          <w:rFonts w:hint="eastAsia"/>
        </w:rPr>
        <w:t>施工现场严禁吸烟，必要时，设有防火措施的吸烟室。施工现场和生活区，未经保卫部门批准不得使用电热器具。氧气瓶、乙炔瓶工作间距不少于</w:t>
      </w:r>
      <w:r>
        <w:t>5m</w:t>
      </w:r>
      <w:r>
        <w:rPr>
          <w:rFonts w:hint="eastAsia"/>
        </w:rPr>
        <w:t>，两瓶通明火作业距离不小于</w:t>
      </w:r>
      <w:r>
        <w:t>10m</w:t>
      </w:r>
      <w:r>
        <w:rPr>
          <w:rFonts w:hint="eastAsia"/>
        </w:rPr>
        <w:t>。禁止在工程内使用液化石油气钢瓶。</w:t>
      </w:r>
    </w:p>
    <w:p w14:paraId="465AC00F">
      <w:pPr>
        <w:pStyle w:val="5"/>
        <w:spacing w:before="31" w:after="31"/>
        <w:ind w:firstLine="562"/>
      </w:pPr>
      <w:bookmarkStart w:id="4288" w:name="_Toc25784"/>
      <w:bookmarkStart w:id="4289" w:name="_Toc7830"/>
      <w:bookmarkStart w:id="4290" w:name="_Toc6437"/>
      <w:bookmarkStart w:id="4291" w:name="_Toc9315"/>
      <w:bookmarkStart w:id="4292" w:name="_Toc23689"/>
      <w:bookmarkStart w:id="4293" w:name="_Toc26533"/>
      <w:bookmarkStart w:id="4294" w:name="_Toc19215"/>
      <w:bookmarkStart w:id="4295" w:name="_Toc7447"/>
      <w:bookmarkStart w:id="4296" w:name="_Toc8663"/>
      <w:bookmarkStart w:id="4297" w:name="_Toc13733"/>
      <w:bookmarkStart w:id="4298" w:name="_Toc29895"/>
      <w:bookmarkStart w:id="4299" w:name="_Toc20592"/>
      <w:bookmarkStart w:id="4300" w:name="_Toc23329"/>
      <w:bookmarkStart w:id="4301" w:name="_Toc16028"/>
      <w:bookmarkStart w:id="4302" w:name="_Toc9664"/>
      <w:bookmarkStart w:id="4303" w:name="_Toc23801"/>
      <w:bookmarkStart w:id="4304" w:name="_Toc9760"/>
      <w:bookmarkStart w:id="4305" w:name="_Toc17485"/>
      <w:bookmarkStart w:id="4306" w:name="_Toc32569"/>
      <w:bookmarkStart w:id="4307" w:name="_Toc13972"/>
      <w:bookmarkStart w:id="4308" w:name="_Toc32408"/>
      <w:bookmarkStart w:id="4309" w:name="_Toc23962"/>
      <w:bookmarkStart w:id="4310" w:name="_Toc25112"/>
      <w:bookmarkStart w:id="4311" w:name="_Toc12982"/>
      <w:bookmarkStart w:id="4312" w:name="_Toc15156"/>
      <w:bookmarkStart w:id="4313" w:name="_Toc5832"/>
      <w:bookmarkStart w:id="4314" w:name="_Toc32003"/>
      <w:bookmarkStart w:id="4315" w:name="_Toc13952"/>
      <w:bookmarkStart w:id="4316" w:name="_Toc14737"/>
      <w:bookmarkStart w:id="4317" w:name="_Toc29293"/>
      <w:bookmarkStart w:id="4318" w:name="_Toc20810"/>
      <w:bookmarkStart w:id="4319" w:name="_Toc1981"/>
      <w:bookmarkStart w:id="4320" w:name="_Toc27204"/>
      <w:bookmarkStart w:id="4321" w:name="_Toc3825"/>
      <w:bookmarkStart w:id="4322" w:name="_Toc30927"/>
      <w:bookmarkStart w:id="4323" w:name="_Toc4086"/>
      <w:bookmarkStart w:id="4324" w:name="_Toc6063"/>
      <w:bookmarkStart w:id="4325" w:name="_Toc31467"/>
      <w:bookmarkStart w:id="4326" w:name="_Toc5840"/>
      <w:bookmarkStart w:id="4327" w:name="_Toc22079"/>
      <w:bookmarkStart w:id="4328" w:name="_Toc19915"/>
      <w:bookmarkStart w:id="4329" w:name="_Toc1414"/>
      <w:bookmarkStart w:id="4330" w:name="_Toc29698"/>
      <w:bookmarkStart w:id="4331" w:name="_Toc2258"/>
      <w:bookmarkStart w:id="4332" w:name="_Toc25776"/>
      <w:bookmarkStart w:id="4333" w:name="_Toc13221"/>
      <w:bookmarkStart w:id="4334" w:name="_Toc27126"/>
      <w:bookmarkStart w:id="4335" w:name="_Toc21884"/>
      <w:bookmarkStart w:id="4336" w:name="_Toc28391"/>
      <w:bookmarkStart w:id="4337" w:name="_Toc1354"/>
      <w:bookmarkStart w:id="4338" w:name="_Toc4616"/>
      <w:bookmarkStart w:id="4339" w:name="_Toc13832"/>
      <w:bookmarkStart w:id="4340" w:name="_Toc4191"/>
      <w:r>
        <w:rPr>
          <w:rFonts w:hint="eastAsia"/>
        </w:rPr>
        <w:t>（二）现场文明施工分片管理</w:t>
      </w:r>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p>
    <w:p w14:paraId="147EA29F">
      <w:pPr>
        <w:ind w:firstLine="560"/>
      </w:pPr>
      <w:r>
        <w:rPr>
          <w:rFonts w:hint="eastAsia"/>
        </w:rPr>
        <w:t>（一）、办公区文明施工要求如下：</w:t>
      </w:r>
    </w:p>
    <w:p w14:paraId="5BEF08AB">
      <w:pPr>
        <w:ind w:firstLine="560"/>
      </w:pPr>
      <w:r>
        <w:t>1</w:t>
      </w:r>
      <w:r>
        <w:rPr>
          <w:rFonts w:hint="eastAsia"/>
        </w:rPr>
        <w:t>、办公室、会议室：在室内悬挂</w:t>
      </w:r>
      <w:r>
        <w:t>“</w:t>
      </w:r>
      <w:r>
        <w:rPr>
          <w:rFonts w:hint="eastAsia"/>
        </w:rPr>
        <w:t>工地文明施工管理</w:t>
      </w:r>
      <w:r>
        <w:t>”</w:t>
      </w:r>
      <w:r>
        <w:rPr>
          <w:rFonts w:hint="eastAsia"/>
        </w:rPr>
        <w:t>牌、</w:t>
      </w:r>
      <w:r>
        <w:t>“</w:t>
      </w:r>
      <w:r>
        <w:rPr>
          <w:rFonts w:hint="eastAsia"/>
        </w:rPr>
        <w:t>管理机构</w:t>
      </w:r>
      <w:r>
        <w:t>”</w:t>
      </w:r>
      <w:r>
        <w:rPr>
          <w:rFonts w:hint="eastAsia"/>
        </w:rPr>
        <w:t>牌、</w:t>
      </w:r>
      <w:r>
        <w:t>“</w:t>
      </w:r>
      <w:r>
        <w:rPr>
          <w:rFonts w:hint="eastAsia"/>
        </w:rPr>
        <w:t>进度管理</w:t>
      </w:r>
      <w:r>
        <w:t>”</w:t>
      </w:r>
      <w:r>
        <w:rPr>
          <w:rFonts w:hint="eastAsia"/>
        </w:rPr>
        <w:t>牌和</w:t>
      </w:r>
      <w:r>
        <w:t>“</w:t>
      </w:r>
      <w:r>
        <w:rPr>
          <w:rFonts w:hint="eastAsia"/>
        </w:rPr>
        <w:t>资源管理</w:t>
      </w:r>
      <w:r>
        <w:t>”</w:t>
      </w:r>
      <w:r>
        <w:rPr>
          <w:rFonts w:hint="eastAsia"/>
        </w:rPr>
        <w:t>牌等管理图牌。为了美化环境，改善工作环境，拟在办公室、会议室门外设置多个花盆，在会议室内摆放盆景。</w:t>
      </w:r>
    </w:p>
    <w:p w14:paraId="58289F48">
      <w:pPr>
        <w:ind w:firstLine="560"/>
      </w:pPr>
      <w:r>
        <w:t>2</w:t>
      </w:r>
      <w:r>
        <w:rPr>
          <w:rFonts w:hint="eastAsia"/>
        </w:rPr>
        <w:t>、标牌制作：办公室门牌、路牌、指示牌、材料标牌分别按统一的规格定制，以统一标志、统一形象。</w:t>
      </w:r>
    </w:p>
    <w:p w14:paraId="47D8681A">
      <w:pPr>
        <w:ind w:firstLine="560"/>
      </w:pPr>
      <w:r>
        <w:t>3</w:t>
      </w:r>
      <w:r>
        <w:rPr>
          <w:rFonts w:hint="eastAsia"/>
        </w:rPr>
        <w:t>、工作卡、工作帽的分色管理：现场管理人员、作业人员应分别侧带分色的工作卡，管理人员工作卡为黄底黑字，作业人员工作卡为白底黑字；工作卡有本人相片。姓名、所佩单位、工种、职务和发证单位公章。管理人员和作业人员的安全帽应分色区别，即管理人员为红色，安全员为白色，特殊工种为蓝色，一般作业人员为黄色。</w:t>
      </w:r>
    </w:p>
    <w:p w14:paraId="007BFD8B">
      <w:pPr>
        <w:ind w:firstLine="560"/>
      </w:pPr>
      <w:r>
        <w:t>4</w:t>
      </w:r>
      <w:r>
        <w:rPr>
          <w:rFonts w:hint="eastAsia"/>
        </w:rPr>
        <w:t>、为公用具摆放有序、室内整洁、桌面干净，做到文明办公、文明管理。</w:t>
      </w:r>
    </w:p>
    <w:p w14:paraId="07D556CA">
      <w:pPr>
        <w:ind w:firstLine="560"/>
      </w:pPr>
      <w:r>
        <w:t>5</w:t>
      </w:r>
      <w:r>
        <w:rPr>
          <w:rFonts w:hint="eastAsia"/>
        </w:rPr>
        <w:t>、办公室、会议室门口设置垃圾桶，桌面摆放烟灰缸，不乱丢烟火，不随地吐痰，经常保持环境卫生。</w:t>
      </w:r>
    </w:p>
    <w:p w14:paraId="61336329">
      <w:pPr>
        <w:ind w:firstLine="560"/>
      </w:pPr>
      <w:r>
        <w:t>6</w:t>
      </w:r>
      <w:r>
        <w:rPr>
          <w:rFonts w:hint="eastAsia"/>
        </w:rPr>
        <w:t>、施工现场设简便保健医疗室，有医疗药箱、氧气瓶、担架等器材。</w:t>
      </w:r>
    </w:p>
    <w:p w14:paraId="60A3BD16">
      <w:pPr>
        <w:ind w:firstLine="560"/>
      </w:pPr>
      <w:r>
        <w:rPr>
          <w:rFonts w:hint="eastAsia"/>
        </w:rPr>
        <w:t>（二）、生活区</w:t>
      </w:r>
    </w:p>
    <w:p w14:paraId="41F313BD">
      <w:pPr>
        <w:ind w:firstLine="560"/>
      </w:pPr>
      <w:r>
        <w:rPr>
          <w:rFonts w:hint="eastAsia"/>
        </w:rPr>
        <w:t>（</w:t>
      </w:r>
      <w:r>
        <w:t>1</w:t>
      </w:r>
      <w:r>
        <w:rPr>
          <w:rFonts w:hint="eastAsia"/>
        </w:rPr>
        <w:t>）生活区环境规划：在生活区内设置宣传栏、读报栏和娱乐室，为员工提供一个优美舒适的生活和工作环境。</w:t>
      </w:r>
    </w:p>
    <w:p w14:paraId="77E6DB51">
      <w:pPr>
        <w:ind w:firstLine="560"/>
      </w:pPr>
      <w:r>
        <w:rPr>
          <w:rFonts w:hint="eastAsia"/>
        </w:rPr>
        <w:t>（2）生活区保卫：外挂门卫制度和保安人员轮班值勤表，门卫要严格值勤，对外来人员进入必须先登记后放行，严禁家属和小孩留宿。</w:t>
      </w:r>
    </w:p>
    <w:p w14:paraId="4DB1EB77">
      <w:pPr>
        <w:ind w:firstLine="560"/>
      </w:pPr>
      <w:r>
        <w:rPr>
          <w:rFonts w:hint="eastAsia"/>
        </w:rPr>
        <w:t>（3）工人宿舍：床铺采用统一的钢架双层床，面刷蓝色油漆，床上蚊帐、棉被以及碗筷等个人用品全部统一购买，并按规定摆放整齐划一。</w:t>
      </w:r>
    </w:p>
    <w:p w14:paraId="1407053C">
      <w:pPr>
        <w:ind w:firstLine="560"/>
      </w:pPr>
      <w:r>
        <w:rPr>
          <w:rFonts w:hint="eastAsia"/>
        </w:rPr>
        <w:t>（</w:t>
      </w:r>
      <w:r>
        <w:t>4</w:t>
      </w:r>
      <w:r>
        <w:rPr>
          <w:rFonts w:hint="eastAsia"/>
        </w:rPr>
        <w:t>）卫生管理：宿舍有卫生、防火负责人，室内挂设住房管理制度和卫生值日牌，严格落实</w:t>
      </w:r>
      <w:r>
        <w:t>“</w:t>
      </w:r>
      <w:r>
        <w:rPr>
          <w:rFonts w:hint="eastAsia"/>
        </w:rPr>
        <w:t>门前三包</w:t>
      </w:r>
      <w:r>
        <w:t>”</w:t>
      </w:r>
      <w:r>
        <w:rPr>
          <w:rFonts w:hint="eastAsia"/>
        </w:rPr>
        <w:t>，违反者予以重罚。</w:t>
      </w:r>
    </w:p>
    <w:p w14:paraId="229C60D0">
      <w:pPr>
        <w:ind w:firstLine="560"/>
      </w:pPr>
      <w:r>
        <w:rPr>
          <w:rFonts w:hint="eastAsia"/>
        </w:rPr>
        <w:t>（</w:t>
      </w:r>
      <w:r>
        <w:t>5</w:t>
      </w:r>
      <w:r>
        <w:rPr>
          <w:rFonts w:hint="eastAsia"/>
        </w:rPr>
        <w:t>）用水用电管理：节约用水用电，杜绝长流水长明灯，禁止乱拉乱接电线，严禁私自生火做饭。</w:t>
      </w:r>
    </w:p>
    <w:p w14:paraId="009EC58E">
      <w:pPr>
        <w:ind w:firstLine="560"/>
      </w:pPr>
      <w:r>
        <w:rPr>
          <w:rFonts w:hint="eastAsia"/>
        </w:rPr>
        <w:t>（</w:t>
      </w:r>
      <w:r>
        <w:t>6</w:t>
      </w:r>
      <w:r>
        <w:rPr>
          <w:rFonts w:hint="eastAsia"/>
        </w:rPr>
        <w:t>）宿舍安全管理：不得在宿舍内酗酒、赌博、看黄色录相、吸毒、聚众闹事和进行其它违法活动，晚上</w:t>
      </w:r>
      <w:r>
        <w:t>10</w:t>
      </w:r>
      <w:r>
        <w:rPr>
          <w:rFonts w:hint="eastAsia"/>
        </w:rPr>
        <w:t>点钟以后关闭生活区大门严禁外出。</w:t>
      </w:r>
    </w:p>
    <w:p w14:paraId="435D1BEE">
      <w:pPr>
        <w:ind w:firstLine="560"/>
      </w:pPr>
      <w:r>
        <w:rPr>
          <w:rFonts w:hint="eastAsia"/>
        </w:rPr>
        <w:t>（</w:t>
      </w:r>
      <w:r>
        <w:t>7</w:t>
      </w:r>
      <w:r>
        <w:rPr>
          <w:rFonts w:hint="eastAsia"/>
        </w:rPr>
        <w:t>）食堂做法：灶台面、墙面、地面贴瓷砖、地砖，墙面瓷砖高度</w:t>
      </w:r>
      <w:r>
        <w:t>1.6m</w:t>
      </w:r>
      <w:r>
        <w:rPr>
          <w:rFonts w:hint="eastAsia"/>
        </w:rPr>
        <w:t>。</w:t>
      </w:r>
    </w:p>
    <w:p w14:paraId="36DD5F03">
      <w:pPr>
        <w:ind w:firstLine="560"/>
      </w:pPr>
      <w:r>
        <w:rPr>
          <w:rFonts w:hint="eastAsia"/>
        </w:rPr>
        <w:t>保持室内通风良好，室内有防蝇设施，所有门口、窗口均设纱门窗。</w:t>
      </w:r>
    </w:p>
    <w:p w14:paraId="7C725A5B">
      <w:pPr>
        <w:ind w:firstLine="560"/>
      </w:pPr>
      <w:r>
        <w:rPr>
          <w:rFonts w:hint="eastAsia"/>
        </w:rPr>
        <w:t>（</w:t>
      </w:r>
      <w:r>
        <w:t>8</w:t>
      </w:r>
      <w:r>
        <w:rPr>
          <w:rFonts w:hint="eastAsia"/>
        </w:rPr>
        <w:t>）食品卫生管理：工地设专职领导主管食品卫生工作，有食品管理制度，有卫生许可证。伙房内外整洁，炊具干净卫生，无腐烂变质的食品，设铝合金密闭防蝇间，生、熟食品分开。操作和保管，有防蝇罩；使用食品塑料制品作熟食容器。</w:t>
      </w:r>
    </w:p>
    <w:p w14:paraId="5C754905">
      <w:pPr>
        <w:ind w:firstLine="560"/>
      </w:pPr>
      <w:r>
        <w:rPr>
          <w:rFonts w:hint="eastAsia"/>
        </w:rPr>
        <w:t>（</w:t>
      </w:r>
      <w:r>
        <w:t>9</w:t>
      </w:r>
      <w:r>
        <w:rPr>
          <w:rFonts w:hint="eastAsia"/>
        </w:rPr>
        <w:t>）炊事人员：经常保持个人卫生，工作时统一穿戴白色衣帽，衣着整洁，有合格有效的健康证和卫生知识培训证。</w:t>
      </w:r>
    </w:p>
    <w:p w14:paraId="3D2B6B0D">
      <w:pPr>
        <w:ind w:firstLine="560"/>
      </w:pPr>
      <w:r>
        <w:rPr>
          <w:rFonts w:hint="eastAsia"/>
        </w:rPr>
        <w:t>（</w:t>
      </w:r>
      <w:r>
        <w:t>10</w:t>
      </w:r>
      <w:r>
        <w:rPr>
          <w:rFonts w:hint="eastAsia"/>
        </w:rPr>
        <w:t>）厕所、冲凉房：厕所便槽贴面砖、墙面贴</w:t>
      </w:r>
      <w:r>
        <w:t>1.6m</w:t>
      </w:r>
      <w:r>
        <w:rPr>
          <w:rFonts w:hint="eastAsia"/>
        </w:rPr>
        <w:t>高磁片、地面贴地砖。有化粪池或集粪池，有厕所、冲凉房卫生管理制度，派专人保洁，每天清洗不少于两次，定时喷药，防止蚊蝇滋生，室内通风良好、无明显臭味。</w:t>
      </w:r>
    </w:p>
    <w:p w14:paraId="2CE689E4">
      <w:pPr>
        <w:ind w:firstLine="560"/>
      </w:pPr>
      <w:r>
        <w:rPr>
          <w:rFonts w:hint="eastAsia"/>
        </w:rPr>
        <w:t>（</w:t>
      </w:r>
      <w:r>
        <w:t>11</w:t>
      </w:r>
      <w:r>
        <w:rPr>
          <w:rFonts w:hint="eastAsia"/>
        </w:rPr>
        <w:t>）防暑降温设施：夏季施工，工地现场设有若干茶水亭、茶水桶。</w:t>
      </w:r>
    </w:p>
    <w:p w14:paraId="3DDE94A4">
      <w:pPr>
        <w:pStyle w:val="5"/>
        <w:spacing w:before="31" w:after="31"/>
        <w:ind w:firstLine="562"/>
      </w:pPr>
      <w:bookmarkStart w:id="4341" w:name="_Toc19358"/>
      <w:bookmarkStart w:id="4342" w:name="_Toc18170"/>
      <w:bookmarkStart w:id="4343" w:name="_Toc4558"/>
      <w:bookmarkStart w:id="4344" w:name="_Toc19493"/>
      <w:bookmarkStart w:id="4345" w:name="_Toc9385"/>
      <w:bookmarkStart w:id="4346" w:name="_Toc14021"/>
      <w:bookmarkStart w:id="4347" w:name="_Toc10579"/>
      <w:bookmarkStart w:id="4348" w:name="_Toc9489"/>
      <w:bookmarkStart w:id="4349" w:name="_Toc25022"/>
      <w:bookmarkStart w:id="4350" w:name="_Toc13621"/>
      <w:bookmarkStart w:id="4351" w:name="_Toc11740"/>
      <w:bookmarkStart w:id="4352" w:name="_Toc14417"/>
      <w:bookmarkStart w:id="4353" w:name="_Toc5003"/>
      <w:bookmarkStart w:id="4354" w:name="_Toc15146"/>
      <w:bookmarkStart w:id="4355" w:name="_Toc18707"/>
      <w:bookmarkStart w:id="4356" w:name="_Toc30353"/>
      <w:bookmarkStart w:id="4357" w:name="_Toc19280"/>
      <w:bookmarkStart w:id="4358" w:name="_Toc7209"/>
      <w:bookmarkStart w:id="4359" w:name="_Toc24551"/>
      <w:bookmarkStart w:id="4360" w:name="_Toc17889"/>
      <w:bookmarkStart w:id="4361" w:name="_Toc14741"/>
      <w:bookmarkStart w:id="4362" w:name="_Toc27425"/>
      <w:bookmarkStart w:id="4363" w:name="_Toc1290"/>
      <w:bookmarkStart w:id="4364" w:name="_Toc31512"/>
      <w:bookmarkStart w:id="4365" w:name="_Toc5451"/>
      <w:bookmarkStart w:id="4366" w:name="_Toc5016"/>
      <w:bookmarkStart w:id="4367" w:name="_Toc8169"/>
      <w:bookmarkStart w:id="4368" w:name="_Toc12804"/>
      <w:bookmarkStart w:id="4369" w:name="_Toc31331"/>
      <w:bookmarkStart w:id="4370" w:name="_Toc6917"/>
      <w:bookmarkStart w:id="4371" w:name="_Toc6880"/>
      <w:bookmarkStart w:id="4372" w:name="_Toc8376"/>
      <w:bookmarkStart w:id="4373" w:name="_Toc19584"/>
      <w:bookmarkStart w:id="4374" w:name="_Toc1809"/>
      <w:bookmarkStart w:id="4375" w:name="_Toc29010"/>
      <w:bookmarkStart w:id="4376" w:name="_Toc6178"/>
      <w:bookmarkStart w:id="4377" w:name="_Toc2348"/>
      <w:bookmarkStart w:id="4378" w:name="_Toc28493"/>
      <w:bookmarkStart w:id="4379" w:name="_Toc6342"/>
      <w:bookmarkStart w:id="4380" w:name="_Toc20938"/>
      <w:bookmarkStart w:id="4381" w:name="_Toc10819"/>
      <w:bookmarkStart w:id="4382" w:name="_Toc8347"/>
      <w:bookmarkStart w:id="4383" w:name="_Toc10717"/>
      <w:bookmarkStart w:id="4384" w:name="_Toc23960"/>
      <w:bookmarkStart w:id="4385" w:name="_Toc10212"/>
      <w:bookmarkStart w:id="4386" w:name="_Toc2643"/>
      <w:bookmarkStart w:id="4387" w:name="_Toc17027"/>
      <w:bookmarkStart w:id="4388" w:name="_Toc10362"/>
      <w:bookmarkStart w:id="4389" w:name="_Toc31885"/>
      <w:bookmarkStart w:id="4390" w:name="_Toc3241"/>
      <w:bookmarkStart w:id="4391" w:name="_Toc316"/>
      <w:bookmarkStart w:id="4392" w:name="_Toc31005"/>
      <w:r>
        <w:rPr>
          <w:rFonts w:hint="eastAsia"/>
        </w:rPr>
        <w:t>（三）现场管理措施</w:t>
      </w:r>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p>
    <w:p w14:paraId="49CD5FFC">
      <w:pPr>
        <w:ind w:firstLine="560"/>
      </w:pPr>
      <w:r>
        <w:rPr>
          <w:rFonts w:hint="eastAsia"/>
        </w:rPr>
        <w:t>（</w:t>
      </w:r>
      <w:r>
        <w:t>1)</w:t>
      </w:r>
      <w:r>
        <w:rPr>
          <w:rFonts w:hint="eastAsia"/>
        </w:rPr>
        <w:t>开展</w:t>
      </w:r>
      <w:r>
        <w:t>“</w:t>
      </w:r>
      <w:r>
        <w:rPr>
          <w:rFonts w:hint="eastAsia"/>
        </w:rPr>
        <w:t>整理、整顿、清扫和素养</w:t>
      </w:r>
      <w:r>
        <w:t>”</w:t>
      </w:r>
      <w:r>
        <w:rPr>
          <w:rFonts w:hint="eastAsia"/>
        </w:rPr>
        <w:t>活动。</w:t>
      </w:r>
    </w:p>
    <w:p w14:paraId="32134BE8">
      <w:pPr>
        <w:ind w:firstLine="560"/>
      </w:pPr>
      <w:r>
        <w:t>A</w:t>
      </w:r>
      <w:r>
        <w:rPr>
          <w:rFonts w:hint="eastAsia"/>
        </w:rPr>
        <w:t>整理：对施工现场存在的人、事、物定期进行分析，按照施工要求区分需要或不需要，合理或不合理，对不需要，不合理的给予及时处理。</w:t>
      </w:r>
    </w:p>
    <w:p w14:paraId="236D3813">
      <w:pPr>
        <w:ind w:firstLine="560"/>
      </w:pPr>
      <w:r>
        <w:t>B</w:t>
      </w:r>
      <w:r>
        <w:rPr>
          <w:rFonts w:hint="eastAsia"/>
        </w:rPr>
        <w:t>整顿：通过上一步整理后，把施工现场所需要人、机、物、料等按照施工需要，科学合理安排定位，使人、物、场所在空间处于最佳结合。</w:t>
      </w:r>
    </w:p>
    <w:p w14:paraId="4B325426">
      <w:pPr>
        <w:ind w:firstLine="560"/>
      </w:pPr>
      <w:r>
        <w:t>C</w:t>
      </w:r>
      <w:r>
        <w:rPr>
          <w:rFonts w:hint="eastAsia"/>
        </w:rPr>
        <w:t>清扫：定期对施工现场的场地加以维护打扫，保持现场环境卫生，干净整齐，无垃圾、污物，并使设备运转正常，确保做到现场工完场清，建筑垃圾集中堆放并清运。</w:t>
      </w:r>
    </w:p>
    <w:p w14:paraId="1D2E1C45">
      <w:pPr>
        <w:ind w:firstLine="560"/>
      </w:pPr>
      <w:r>
        <w:t>D</w:t>
      </w:r>
      <w:r>
        <w:rPr>
          <w:rFonts w:hint="eastAsia"/>
        </w:rPr>
        <w:t>素养：努力提高施工现场全体职工的素质，有计划地组织广大职工开展爱国主义、集体主义、社会主义职业道德、职业纪律教育以及岗位和劳动技能培训，经常性组织职工开展丰富多彩的群众文体活动，养成遵章守纪和文明施工习惯，极大地调动全体职工的积极性，自觉管理，自我控制、创造一个整齐、清洁、方便、安全和标准化的施工环境。</w:t>
      </w:r>
    </w:p>
    <w:p w14:paraId="331A11FA">
      <w:pPr>
        <w:ind w:firstLine="560"/>
      </w:pPr>
      <w:r>
        <w:rPr>
          <w:rFonts w:hint="eastAsia"/>
        </w:rPr>
        <w:t>（</w:t>
      </w:r>
      <w:r>
        <w:t>2)</w:t>
      </w:r>
      <w:r>
        <w:rPr>
          <w:rFonts w:hint="eastAsia"/>
        </w:rPr>
        <w:t>合理定置：</w:t>
      </w:r>
    </w:p>
    <w:p w14:paraId="021AAEA4">
      <w:pPr>
        <w:ind w:firstLine="560"/>
      </w:pPr>
      <w:r>
        <w:rPr>
          <w:rFonts w:hint="eastAsia"/>
        </w:rPr>
        <w:t>依据国家、行业、地方、企业关于现场管理的法律、法规、规定、管理办法，设计要求及自然条件，施工方案等，把工地施工期间所需要的资源在空间上合理布置，使施工现场标准化、秩序化、规范化。重点把握物与场所几个方面的布置定位。</w:t>
      </w:r>
    </w:p>
    <w:p w14:paraId="6B7D4661">
      <w:pPr>
        <w:ind w:firstLine="560"/>
      </w:pPr>
      <w:r>
        <w:t>A</w:t>
      </w:r>
      <w:r>
        <w:rPr>
          <w:rFonts w:hint="eastAsia"/>
        </w:rPr>
        <w:t>运输设备的位置。</w:t>
      </w:r>
    </w:p>
    <w:p w14:paraId="11EA626F">
      <w:pPr>
        <w:ind w:firstLine="560"/>
      </w:pPr>
      <w:r>
        <w:t>B</w:t>
      </w:r>
      <w:r>
        <w:rPr>
          <w:rFonts w:hint="eastAsia"/>
        </w:rPr>
        <w:t>生产、生活临时设施、场区临时供水、供电设施的位置。</w:t>
      </w:r>
    </w:p>
    <w:p w14:paraId="747074DF">
      <w:pPr>
        <w:ind w:firstLine="560"/>
      </w:pPr>
      <w:r>
        <w:t>C</w:t>
      </w:r>
      <w:r>
        <w:rPr>
          <w:rFonts w:hint="eastAsia"/>
        </w:rPr>
        <w:t>各种材料，加工半成品，构件和各类机具的存放位置。</w:t>
      </w:r>
    </w:p>
    <w:p w14:paraId="586B8B82">
      <w:pPr>
        <w:ind w:firstLine="560"/>
      </w:pPr>
      <w:r>
        <w:t>D</w:t>
      </w:r>
      <w:r>
        <w:rPr>
          <w:rFonts w:hint="eastAsia"/>
        </w:rPr>
        <w:t>安全防火措施。</w:t>
      </w:r>
    </w:p>
    <w:p w14:paraId="38492E4B">
      <w:pPr>
        <w:ind w:firstLine="560"/>
      </w:pPr>
      <w:r>
        <w:rPr>
          <w:rFonts w:hint="eastAsia"/>
        </w:rPr>
        <w:t>（</w:t>
      </w:r>
      <w:r>
        <w:t>3</w:t>
      </w:r>
      <w:r>
        <w:rPr>
          <w:rFonts w:hint="eastAsia"/>
        </w:rPr>
        <w:t>）目视管理：</w:t>
      </w:r>
    </w:p>
    <w:p w14:paraId="0A4FAF7D">
      <w:pPr>
        <w:ind w:firstLine="560"/>
      </w:pPr>
      <w:r>
        <w:rPr>
          <w:rFonts w:hint="eastAsia"/>
        </w:rPr>
        <w:t>以视觉显示为基本手段，以公开化为基本原则，通过色彩适宜的各种视觉感和信息来组织现场施工生产活动，结合本公司近几年来的创建文明生产经验，主要有以下几方面：</w:t>
      </w:r>
    </w:p>
    <w:p w14:paraId="18C1AAB6">
      <w:pPr>
        <w:ind w:firstLine="560"/>
      </w:pPr>
      <w:r>
        <w:t>A</w:t>
      </w:r>
      <w:r>
        <w:rPr>
          <w:rFonts w:hint="eastAsia"/>
        </w:rPr>
        <w:t>对各阶段及月、旬、日计划制成图表或施工任务书，公布于众或直接下达到班组，使每位职工都知道自己要干什么，要干多少。</w:t>
      </w:r>
    </w:p>
    <w:p w14:paraId="7911FC89">
      <w:pPr>
        <w:ind w:firstLine="560"/>
      </w:pPr>
      <w:r>
        <w:t>B</w:t>
      </w:r>
      <w:r>
        <w:rPr>
          <w:rFonts w:hint="eastAsia"/>
        </w:rPr>
        <w:t>各项管理制度、操作规程、工作标准及文明施工规章等标牌在相关部位挂设张贴。</w:t>
      </w:r>
    </w:p>
    <w:p w14:paraId="59DF813A">
      <w:pPr>
        <w:ind w:firstLine="560"/>
      </w:pPr>
      <w:r>
        <w:t>C</w:t>
      </w:r>
      <w:r>
        <w:rPr>
          <w:rFonts w:hint="eastAsia"/>
        </w:rPr>
        <w:t>针划定的区域将岗位责任人标牌显示，以激发在岗责任人的责任心并有利于互相监督。</w:t>
      </w:r>
    </w:p>
    <w:p w14:paraId="38083EE9">
      <w:pPr>
        <w:ind w:firstLine="560"/>
      </w:pPr>
      <w:r>
        <w:t>D</w:t>
      </w:r>
      <w:r>
        <w:rPr>
          <w:rFonts w:hint="eastAsia"/>
        </w:rPr>
        <w:t>现场利用各种色彩，设立有关安全、消防、交通等区域的安全警示牌，夜间设警示灯。</w:t>
      </w:r>
    </w:p>
    <w:p w14:paraId="0A1C4449">
      <w:pPr>
        <w:pStyle w:val="4"/>
        <w:spacing w:before="93" w:after="31"/>
      </w:pPr>
      <w:bookmarkStart w:id="4393" w:name="_Toc566"/>
      <w:bookmarkStart w:id="4394" w:name="_Toc31378"/>
      <w:bookmarkStart w:id="4395" w:name="_Toc13348"/>
      <w:bookmarkStart w:id="4396" w:name="_Toc14453"/>
      <w:bookmarkStart w:id="4397" w:name="_Toc8732"/>
      <w:bookmarkStart w:id="4398" w:name="_Toc12030"/>
      <w:bookmarkStart w:id="4399" w:name="_Toc17701"/>
      <w:bookmarkStart w:id="4400" w:name="_Toc19247"/>
      <w:bookmarkStart w:id="4401" w:name="_Toc8342"/>
      <w:bookmarkStart w:id="4402" w:name="_Toc2042"/>
      <w:bookmarkStart w:id="4403" w:name="_Toc23983"/>
      <w:bookmarkStart w:id="4404" w:name="_Toc14664"/>
      <w:bookmarkStart w:id="4405" w:name="_Toc20778"/>
      <w:bookmarkStart w:id="4406" w:name="_Toc16926"/>
      <w:bookmarkStart w:id="4407" w:name="_Toc29154"/>
      <w:bookmarkStart w:id="4408" w:name="_Toc23964"/>
      <w:bookmarkStart w:id="4409" w:name="_Toc3382"/>
      <w:bookmarkStart w:id="4410" w:name="_Toc17670"/>
      <w:bookmarkStart w:id="4411" w:name="_Toc23967"/>
      <w:bookmarkStart w:id="4412" w:name="_Toc19521"/>
      <w:bookmarkStart w:id="4413" w:name="_Toc6737"/>
      <w:bookmarkStart w:id="4414" w:name="_Toc6733"/>
      <w:bookmarkStart w:id="4415" w:name="_Toc30566"/>
      <w:bookmarkStart w:id="4416" w:name="_Toc20705"/>
      <w:bookmarkStart w:id="4417" w:name="_Toc14964"/>
      <w:bookmarkStart w:id="4418" w:name="_Toc7458"/>
      <w:r>
        <w:rPr>
          <w:rFonts w:hint="eastAsia"/>
        </w:rPr>
        <w:t>十五、安全文明施工标准化措施</w:t>
      </w:r>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p>
    <w:p w14:paraId="52975442">
      <w:pPr>
        <w:pStyle w:val="5"/>
        <w:spacing w:before="31" w:after="31"/>
        <w:ind w:firstLine="562"/>
      </w:pPr>
      <w:bookmarkStart w:id="4419" w:name="_Toc24928"/>
      <w:bookmarkStart w:id="4420" w:name="_Toc23504"/>
      <w:bookmarkStart w:id="4421" w:name="_Toc28742"/>
      <w:bookmarkStart w:id="4422" w:name="_Toc26128"/>
      <w:bookmarkStart w:id="4423" w:name="_Toc1773"/>
      <w:bookmarkStart w:id="4424" w:name="_Toc13635"/>
      <w:bookmarkStart w:id="4425" w:name="_Toc16691"/>
      <w:bookmarkStart w:id="4426" w:name="_Toc25649"/>
      <w:bookmarkStart w:id="4427" w:name="_Toc9130"/>
      <w:bookmarkStart w:id="4428" w:name="_Toc30062"/>
      <w:bookmarkStart w:id="4429" w:name="_Toc13594"/>
      <w:bookmarkStart w:id="4430" w:name="_Toc19320"/>
      <w:bookmarkStart w:id="4431" w:name="_Toc11882"/>
      <w:bookmarkStart w:id="4432" w:name="_Toc17747"/>
      <w:bookmarkStart w:id="4433" w:name="_Toc25138"/>
      <w:bookmarkStart w:id="4434" w:name="_Toc28580"/>
      <w:bookmarkStart w:id="4435" w:name="_Toc8413"/>
      <w:bookmarkStart w:id="4436" w:name="_Toc18118"/>
      <w:bookmarkStart w:id="4437" w:name="_Toc16243"/>
      <w:bookmarkStart w:id="4438" w:name="_Toc4747"/>
      <w:bookmarkStart w:id="4439" w:name="_Toc4741"/>
      <w:r>
        <w:rPr>
          <w:rFonts w:hint="eastAsia"/>
        </w:rPr>
        <w:t>（一）施工区</w:t>
      </w:r>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p>
    <w:p w14:paraId="13226BB1">
      <w:pPr>
        <w:ind w:firstLine="562"/>
        <w:rPr>
          <w:b/>
          <w:bCs/>
        </w:rPr>
      </w:pPr>
      <w:r>
        <w:rPr>
          <w:rFonts w:hint="eastAsia"/>
          <w:b/>
          <w:bCs/>
        </w:rPr>
        <w:t>（一）工地出入口及围挡</w:t>
      </w:r>
    </w:p>
    <w:p w14:paraId="4A9D585C">
      <w:pPr>
        <w:ind w:firstLine="560"/>
      </w:pPr>
      <w:r>
        <w:rPr>
          <w:rFonts w:hint="eastAsia"/>
        </w:rPr>
        <w:t>1.工地门楼设置要求</w:t>
      </w:r>
    </w:p>
    <w:p w14:paraId="11A070C2">
      <w:pPr>
        <w:pStyle w:val="18"/>
        <w:rPr>
          <w:lang w:val="en-US"/>
        </w:rPr>
      </w:pPr>
      <w:r>
        <w:rPr>
          <w:rFonts w:hint="eastAsia"/>
          <w:lang w:val="en-US" w:bidi="ar-SA"/>
        </w:rPr>
        <w:drawing>
          <wp:inline distT="0" distB="0" distL="114300" distR="114300">
            <wp:extent cx="5272405" cy="2679065"/>
            <wp:effectExtent l="0" t="0" r="4445" b="6985"/>
            <wp:docPr id="321" name="图片 321" descr="166521959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1665219591477"/>
                    <pic:cNvPicPr>
                      <a:picLocks noChangeAspect="1"/>
                    </pic:cNvPicPr>
                  </pic:nvPicPr>
                  <pic:blipFill>
                    <a:blip r:embed="rId17">
                      <a:grayscl/>
                    </a:blip>
                    <a:stretch>
                      <a:fillRect/>
                    </a:stretch>
                  </pic:blipFill>
                  <pic:spPr>
                    <a:xfrm>
                      <a:off x="0" y="0"/>
                      <a:ext cx="5272405" cy="2679065"/>
                    </a:xfrm>
                    <a:prstGeom prst="rect">
                      <a:avLst/>
                    </a:prstGeom>
                  </pic:spPr>
                </pic:pic>
              </a:graphicData>
            </a:graphic>
          </wp:inline>
        </w:drawing>
      </w:r>
    </w:p>
    <w:p w14:paraId="29DFEE4E">
      <w:pPr>
        <w:ind w:firstLine="560"/>
      </w:pPr>
      <w:r>
        <w:rPr>
          <w:rFonts w:hint="eastAsia"/>
        </w:rPr>
        <w:t>要求：</w:t>
      </w:r>
    </w:p>
    <w:p w14:paraId="69DB9405">
      <w:pPr>
        <w:ind w:firstLine="560"/>
      </w:pPr>
      <w:r>
        <w:rPr>
          <w:rFonts w:hint="eastAsia"/>
        </w:rPr>
        <w:t>（1）门楼净高不低于5m，净宽不小于10m（与城市快速路、主次干路交口处门楼净宽度不小于20米）；</w:t>
      </w:r>
    </w:p>
    <w:p w14:paraId="0BA578DA">
      <w:pPr>
        <w:ind w:firstLine="560"/>
      </w:pPr>
      <w:r>
        <w:rPr>
          <w:rFonts w:hint="eastAsia"/>
        </w:rPr>
        <w:t>（2）门楼立柱采用钢架结构或钢管结构，设置适当的宣传标语；</w:t>
      </w:r>
    </w:p>
    <w:p w14:paraId="2821E40D">
      <w:pPr>
        <w:ind w:firstLine="560"/>
      </w:pPr>
      <w:r>
        <w:rPr>
          <w:rFonts w:hint="eastAsia"/>
        </w:rPr>
        <w:t>（3）门楼上方设置成板式或镂空式宣传牌，高度不低于1米，配置灯箱、灯带；</w:t>
      </w:r>
    </w:p>
    <w:p w14:paraId="2E4F17AD">
      <w:pPr>
        <w:ind w:firstLine="560"/>
      </w:pPr>
      <w:r>
        <w:rPr>
          <w:rFonts w:hint="eastAsia"/>
        </w:rPr>
        <w:t>（4）门楼下方为工地进出场大门，采用单开、双开门或电动伸缩门；</w:t>
      </w:r>
    </w:p>
    <w:p w14:paraId="4887C97F">
      <w:pPr>
        <w:ind w:firstLine="560"/>
      </w:pPr>
      <w:r>
        <w:rPr>
          <w:rFonts w:hint="eastAsia"/>
        </w:rPr>
        <w:t>（5）具体实施方案须报建设（监理）单位审批同意后方可实施。</w:t>
      </w:r>
    </w:p>
    <w:p w14:paraId="6EB92607">
      <w:pPr>
        <w:ind w:firstLine="560"/>
      </w:pPr>
      <w:r>
        <w:rPr>
          <w:rFonts w:hint="eastAsia"/>
        </w:rPr>
        <w:t>2.门楼两侧围挡样式</w:t>
      </w:r>
    </w:p>
    <w:p w14:paraId="0F346B9F">
      <w:pPr>
        <w:ind w:firstLine="560"/>
      </w:pPr>
      <w:r>
        <w:rPr>
          <w:rFonts w:hint="eastAsia"/>
        </w:rPr>
        <w:t>要求：</w:t>
      </w:r>
    </w:p>
    <w:p w14:paraId="647FCD22">
      <w:pPr>
        <w:ind w:firstLine="560"/>
      </w:pPr>
      <w:r>
        <w:rPr>
          <w:rFonts w:hint="eastAsia"/>
        </w:rPr>
        <w:t>（1）宣传围挡：门楼两侧须设置宣传围挡，要求钢构式立柱彩钢板封闭式围挡，围挡高度不低于2.5米，向两侧延伸长度不小于10米，并应呈八字形或一字型展开，围挡按现行政策要求设置“五牌一图”、工程宣传画面和公益性广告。</w:t>
      </w:r>
    </w:p>
    <w:p w14:paraId="6B19F57D">
      <w:pPr>
        <w:ind w:firstLine="560"/>
      </w:pPr>
      <w:r>
        <w:rPr>
          <w:rFonts w:hint="eastAsia"/>
        </w:rPr>
        <w:t>（2）门楼两侧围挡需设置自动喷淋系统、视频监控系统、夜间照明及警示系统，围挡前需设置1米宽绿化（盆栽、花池等）。</w:t>
      </w:r>
    </w:p>
    <w:p w14:paraId="7430136A">
      <w:pPr>
        <w:pStyle w:val="18"/>
      </w:pPr>
      <w:r>
        <w:rPr>
          <w:lang w:val="en-US" w:bidi="ar-SA"/>
        </w:rPr>
        <w:drawing>
          <wp:inline distT="0" distB="0" distL="114300" distR="114300">
            <wp:extent cx="2628265" cy="2292985"/>
            <wp:effectExtent l="0" t="0" r="635" b="0"/>
            <wp:docPr id="324" name="图片 5"/>
            <wp:cNvGraphicFramePr/>
            <a:graphic xmlns:a="http://schemas.openxmlformats.org/drawingml/2006/main">
              <a:graphicData uri="http://schemas.openxmlformats.org/drawingml/2006/picture">
                <pic:pic xmlns:pic="http://schemas.openxmlformats.org/drawingml/2006/picture">
                  <pic:nvPicPr>
                    <pic:cNvPr id="324" name="图片 5"/>
                    <pic:cNvPicPr/>
                  </pic:nvPicPr>
                  <pic:blipFill>
                    <a:blip r:embed="rId18">
                      <a:grayscl/>
                    </a:blip>
                    <a:stretch>
                      <a:fillRect/>
                    </a:stretch>
                  </pic:blipFill>
                  <pic:spPr>
                    <a:xfrm>
                      <a:off x="0" y="0"/>
                      <a:ext cx="2628265" cy="2292985"/>
                    </a:xfrm>
                    <a:prstGeom prst="rect">
                      <a:avLst/>
                    </a:prstGeom>
                    <a:noFill/>
                    <a:ln>
                      <a:noFill/>
                    </a:ln>
                  </pic:spPr>
                </pic:pic>
              </a:graphicData>
            </a:graphic>
          </wp:inline>
        </w:drawing>
      </w:r>
      <w:r>
        <w:rPr>
          <w:lang w:val="en-US" w:bidi="ar-SA"/>
        </w:rPr>
        <w:drawing>
          <wp:inline distT="0" distB="0" distL="114300" distR="114300">
            <wp:extent cx="2628265" cy="2292350"/>
            <wp:effectExtent l="0" t="0" r="635" b="0"/>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pic:cNvPicPr>
                  </pic:nvPicPr>
                  <pic:blipFill>
                    <a:blip r:embed="rId19">
                      <a:grayscl/>
                    </a:blip>
                    <a:stretch>
                      <a:fillRect/>
                    </a:stretch>
                  </pic:blipFill>
                  <pic:spPr>
                    <a:xfrm>
                      <a:off x="0" y="0"/>
                      <a:ext cx="2628265" cy="2292350"/>
                    </a:xfrm>
                    <a:prstGeom prst="rect">
                      <a:avLst/>
                    </a:prstGeom>
                    <a:noFill/>
                    <a:ln>
                      <a:noFill/>
                    </a:ln>
                  </pic:spPr>
                </pic:pic>
              </a:graphicData>
            </a:graphic>
          </wp:inline>
        </w:drawing>
      </w:r>
    </w:p>
    <w:p w14:paraId="3266ECF5">
      <w:pPr>
        <w:ind w:firstLine="560"/>
      </w:pPr>
      <w:r>
        <w:rPr>
          <w:rFonts w:hint="eastAsia"/>
        </w:rPr>
        <w:t>3.沿线围挡样式</w:t>
      </w:r>
    </w:p>
    <w:p w14:paraId="0B7EE792">
      <w:pPr>
        <w:pStyle w:val="18"/>
      </w:pPr>
      <w:r>
        <w:rPr>
          <w:lang w:val="en-US" w:bidi="ar-SA"/>
        </w:rPr>
        <w:drawing>
          <wp:inline distT="0" distB="0" distL="114300" distR="114300">
            <wp:extent cx="2628265" cy="1925955"/>
            <wp:effectExtent l="0" t="0" r="635" b="0"/>
            <wp:docPr id="91" name="图片 7"/>
            <wp:cNvGraphicFramePr/>
            <a:graphic xmlns:a="http://schemas.openxmlformats.org/drawingml/2006/main">
              <a:graphicData uri="http://schemas.openxmlformats.org/drawingml/2006/picture">
                <pic:pic xmlns:pic="http://schemas.openxmlformats.org/drawingml/2006/picture">
                  <pic:nvPicPr>
                    <pic:cNvPr id="91" name="图片 7"/>
                    <pic:cNvPicPr/>
                  </pic:nvPicPr>
                  <pic:blipFill>
                    <a:blip r:embed="rId20">
                      <a:grayscl/>
                    </a:blip>
                    <a:stretch>
                      <a:fillRect/>
                    </a:stretch>
                  </pic:blipFill>
                  <pic:spPr>
                    <a:xfrm>
                      <a:off x="0" y="0"/>
                      <a:ext cx="2628265" cy="1925955"/>
                    </a:xfrm>
                    <a:prstGeom prst="rect">
                      <a:avLst/>
                    </a:prstGeom>
                    <a:noFill/>
                    <a:ln>
                      <a:noFill/>
                    </a:ln>
                  </pic:spPr>
                </pic:pic>
              </a:graphicData>
            </a:graphic>
          </wp:inline>
        </w:drawing>
      </w:r>
      <w:r>
        <w:rPr>
          <w:lang w:val="en-US" w:bidi="ar-SA"/>
        </w:rPr>
        <w:drawing>
          <wp:inline distT="0" distB="0" distL="114300" distR="114300">
            <wp:extent cx="2628265" cy="1926590"/>
            <wp:effectExtent l="0" t="0" r="635" b="0"/>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21">
                      <a:grayscl/>
                    </a:blip>
                    <a:stretch>
                      <a:fillRect/>
                    </a:stretch>
                  </pic:blipFill>
                  <pic:spPr>
                    <a:xfrm>
                      <a:off x="0" y="0"/>
                      <a:ext cx="2628265" cy="1926590"/>
                    </a:xfrm>
                    <a:prstGeom prst="rect">
                      <a:avLst/>
                    </a:prstGeom>
                    <a:noFill/>
                    <a:ln>
                      <a:noFill/>
                    </a:ln>
                  </pic:spPr>
                </pic:pic>
              </a:graphicData>
            </a:graphic>
          </wp:inline>
        </w:drawing>
      </w:r>
    </w:p>
    <w:p w14:paraId="1F9180A3">
      <w:pPr>
        <w:ind w:firstLine="560"/>
      </w:pPr>
      <w:r>
        <w:rPr>
          <w:rFonts w:hint="eastAsia"/>
        </w:rPr>
        <w:t>要求：</w:t>
      </w:r>
    </w:p>
    <w:p w14:paraId="2B4019CD">
      <w:pPr>
        <w:ind w:firstLine="560"/>
      </w:pPr>
      <w:r>
        <w:rPr>
          <w:rFonts w:hint="eastAsia"/>
        </w:rPr>
        <w:t>（1）沿道路两侧实施范围线必须设置施工围挡，要求绿色夹芯板或钢构式立柱彩钢板封闭式围挡，高度不低于1.8米，施工现场必须实施全封闭管理；</w:t>
      </w:r>
    </w:p>
    <w:p w14:paraId="11AF36A2">
      <w:pPr>
        <w:ind w:firstLine="560"/>
      </w:pPr>
      <w:r>
        <w:rPr>
          <w:rFonts w:hint="eastAsia"/>
        </w:rPr>
        <w:t>（2）施工围挡应根据现场施工情况随时进行位置调整，安排专人负责维护围挡完整性。</w:t>
      </w:r>
    </w:p>
    <w:p w14:paraId="68E782DE">
      <w:pPr>
        <w:ind w:firstLine="560"/>
      </w:pPr>
      <w:r>
        <w:rPr>
          <w:rFonts w:hint="eastAsia"/>
        </w:rPr>
        <w:t>（3）施工围挡内外每30米须设置项目的宣传旗帜或宣传警示标语，并按施工图设置醒目的里程桩标记，标记填挖高度等信息。</w:t>
      </w:r>
    </w:p>
    <w:p w14:paraId="2AE7387E">
      <w:pPr>
        <w:ind w:firstLine="560"/>
      </w:pPr>
      <w:r>
        <w:rPr>
          <w:rFonts w:hint="eastAsia"/>
        </w:rPr>
        <w:t>4.工地出入口布置</w:t>
      </w:r>
    </w:p>
    <w:p w14:paraId="478DC964">
      <w:pPr>
        <w:pStyle w:val="18"/>
      </w:pPr>
      <w:r>
        <w:rPr>
          <w:lang w:val="en-US" w:bidi="ar-SA"/>
        </w:rPr>
        <w:drawing>
          <wp:inline distT="0" distB="0" distL="114300" distR="114300">
            <wp:extent cx="2628265" cy="1781810"/>
            <wp:effectExtent l="0" t="0" r="635" b="8890"/>
            <wp:docPr id="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pic:cNvPicPr>
                      <a:picLocks noChangeAspect="1"/>
                    </pic:cNvPicPr>
                  </pic:nvPicPr>
                  <pic:blipFill>
                    <a:blip r:embed="rId22">
                      <a:grayscl/>
                    </a:blip>
                    <a:stretch>
                      <a:fillRect/>
                    </a:stretch>
                  </pic:blipFill>
                  <pic:spPr>
                    <a:xfrm>
                      <a:off x="0" y="0"/>
                      <a:ext cx="2628265" cy="1781810"/>
                    </a:xfrm>
                    <a:prstGeom prst="rect">
                      <a:avLst/>
                    </a:prstGeom>
                    <a:noFill/>
                    <a:ln>
                      <a:noFill/>
                    </a:ln>
                  </pic:spPr>
                </pic:pic>
              </a:graphicData>
            </a:graphic>
          </wp:inline>
        </w:drawing>
      </w:r>
      <w:r>
        <w:rPr>
          <w:lang w:val="en-US" w:bidi="ar-SA"/>
        </w:rPr>
        <w:drawing>
          <wp:inline distT="0" distB="0" distL="114300" distR="114300">
            <wp:extent cx="2628265" cy="1781810"/>
            <wp:effectExtent l="0" t="0" r="635" b="8890"/>
            <wp:docPr id="106" name="图片 10"/>
            <wp:cNvGraphicFramePr/>
            <a:graphic xmlns:a="http://schemas.openxmlformats.org/drawingml/2006/main">
              <a:graphicData uri="http://schemas.openxmlformats.org/drawingml/2006/picture">
                <pic:pic xmlns:pic="http://schemas.openxmlformats.org/drawingml/2006/picture">
                  <pic:nvPicPr>
                    <pic:cNvPr id="106" name="图片 10"/>
                    <pic:cNvPicPr/>
                  </pic:nvPicPr>
                  <pic:blipFill>
                    <a:blip r:embed="rId23">
                      <a:grayscl/>
                    </a:blip>
                    <a:stretch>
                      <a:fillRect/>
                    </a:stretch>
                  </pic:blipFill>
                  <pic:spPr>
                    <a:xfrm>
                      <a:off x="0" y="0"/>
                      <a:ext cx="2628265" cy="1781810"/>
                    </a:xfrm>
                    <a:prstGeom prst="rect">
                      <a:avLst/>
                    </a:prstGeom>
                    <a:noFill/>
                    <a:ln>
                      <a:noFill/>
                    </a:ln>
                  </pic:spPr>
                </pic:pic>
              </a:graphicData>
            </a:graphic>
          </wp:inline>
        </w:drawing>
      </w:r>
    </w:p>
    <w:p w14:paraId="1119FD58">
      <w:pPr>
        <w:ind w:firstLine="560"/>
      </w:pPr>
      <w:r>
        <w:rPr>
          <w:rFonts w:hint="eastAsia"/>
        </w:rPr>
        <w:t>要求：</w:t>
      </w:r>
    </w:p>
    <w:p w14:paraId="164BD164">
      <w:pPr>
        <w:ind w:firstLine="560"/>
      </w:pPr>
      <w:r>
        <w:rPr>
          <w:rFonts w:hint="eastAsia"/>
        </w:rPr>
        <w:t>（1）工地主要出入口往内30米范围须做硬化处理，并设置车辆冲洗平台、排水管沟、沉淀池、门卫室、形象展示栏、安全宣讲台等，位置不许设置在机动车道上。</w:t>
      </w:r>
    </w:p>
    <w:p w14:paraId="13E8FA7E">
      <w:pPr>
        <w:ind w:firstLine="560"/>
      </w:pPr>
      <w:r>
        <w:rPr>
          <w:rFonts w:hint="eastAsia"/>
        </w:rPr>
        <w:t>（2）施工现场人员进出采用实名制门禁管理系统；车辆通道除设置封闭式大门外还需设置减速带及减速标识。</w:t>
      </w:r>
    </w:p>
    <w:p w14:paraId="12239FF8">
      <w:pPr>
        <w:ind w:firstLine="560"/>
      </w:pPr>
      <w:r>
        <w:rPr>
          <w:rFonts w:hint="eastAsia"/>
        </w:rPr>
        <w:t>（3）按要求设置“五牌一图”：工程概况牌、管理人员名单及监督电话牌、消防保卫（防火责任）牌、安全生产牌、文明施工牌和施工现场平面图。</w:t>
      </w:r>
    </w:p>
    <w:p w14:paraId="5119607E">
      <w:pPr>
        <w:ind w:firstLine="560"/>
      </w:pPr>
      <w:r>
        <w:rPr>
          <w:rFonts w:hint="eastAsia"/>
        </w:rPr>
        <w:t>5.大门设置</w:t>
      </w:r>
    </w:p>
    <w:p w14:paraId="19A101FF">
      <w:pPr>
        <w:ind w:firstLine="560"/>
      </w:pPr>
      <w:r>
        <w:rPr>
          <w:rFonts w:hint="eastAsia"/>
        </w:rPr>
        <w:t>要求：</w:t>
      </w:r>
    </w:p>
    <w:p w14:paraId="416BACE0">
      <w:pPr>
        <w:ind w:firstLine="560"/>
      </w:pPr>
      <w:r>
        <w:rPr>
          <w:rFonts w:hint="eastAsia"/>
        </w:rPr>
        <w:t>工地大门入口设置实名制门禁管理系统，闸门数量根据工地需求。</w:t>
      </w:r>
    </w:p>
    <w:p w14:paraId="5427BB93">
      <w:pPr>
        <w:pStyle w:val="18"/>
      </w:pPr>
      <w:r>
        <w:rPr>
          <w:lang w:val="en-US" w:bidi="ar-SA"/>
        </w:rPr>
        <w:drawing>
          <wp:inline distT="0" distB="0" distL="114300" distR="114300">
            <wp:extent cx="5181600" cy="2242820"/>
            <wp:effectExtent l="0" t="0" r="0" b="5080"/>
            <wp:docPr id="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
                    <pic:cNvPicPr>
                      <a:picLocks noChangeAspect="1"/>
                    </pic:cNvPicPr>
                  </pic:nvPicPr>
                  <pic:blipFill>
                    <a:blip r:embed="rId24">
                      <a:grayscl/>
                    </a:blip>
                    <a:srcRect t="19636"/>
                    <a:stretch>
                      <a:fillRect/>
                    </a:stretch>
                  </pic:blipFill>
                  <pic:spPr>
                    <a:xfrm>
                      <a:off x="0" y="0"/>
                      <a:ext cx="5181600" cy="2242820"/>
                    </a:xfrm>
                    <a:prstGeom prst="rect">
                      <a:avLst/>
                    </a:prstGeom>
                    <a:noFill/>
                    <a:ln>
                      <a:noFill/>
                    </a:ln>
                  </pic:spPr>
                </pic:pic>
              </a:graphicData>
            </a:graphic>
          </wp:inline>
        </w:drawing>
      </w:r>
    </w:p>
    <w:p w14:paraId="1512A408">
      <w:pPr>
        <w:pStyle w:val="18"/>
        <w:rPr>
          <w:u w:val="double"/>
          <w:lang w:val="en-US"/>
        </w:rPr>
      </w:pPr>
      <w:r>
        <w:rPr>
          <w:rFonts w:hint="eastAsia"/>
          <w:u w:val="double"/>
          <w:lang w:val="en-US"/>
        </w:rPr>
        <w:t>实名制门禁管理系统</w:t>
      </w:r>
    </w:p>
    <w:p w14:paraId="783DD295">
      <w:pPr>
        <w:ind w:firstLine="560"/>
      </w:pPr>
      <w:r>
        <w:rPr>
          <w:rFonts w:hint="eastAsia"/>
        </w:rPr>
        <w:t>6.门卫设置</w:t>
      </w:r>
    </w:p>
    <w:p w14:paraId="0CAECD7A">
      <w:pPr>
        <w:pStyle w:val="18"/>
      </w:pPr>
      <w:r>
        <w:rPr>
          <w:lang w:val="en-US" w:bidi="ar-SA"/>
        </w:rPr>
        <w:drawing>
          <wp:inline distT="0" distB="0" distL="114300" distR="114300">
            <wp:extent cx="5086350" cy="3009900"/>
            <wp:effectExtent l="0" t="0" r="0" b="0"/>
            <wp:docPr id="3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2"/>
                    <pic:cNvPicPr>
                      <a:picLocks noChangeAspect="1"/>
                    </pic:cNvPicPr>
                  </pic:nvPicPr>
                  <pic:blipFill>
                    <a:blip r:embed="rId25">
                      <a:grayscl/>
                    </a:blip>
                    <a:stretch>
                      <a:fillRect/>
                    </a:stretch>
                  </pic:blipFill>
                  <pic:spPr>
                    <a:xfrm>
                      <a:off x="0" y="0"/>
                      <a:ext cx="5086350" cy="3009900"/>
                    </a:xfrm>
                    <a:prstGeom prst="rect">
                      <a:avLst/>
                    </a:prstGeom>
                    <a:noFill/>
                    <a:ln>
                      <a:noFill/>
                    </a:ln>
                  </pic:spPr>
                </pic:pic>
              </a:graphicData>
            </a:graphic>
          </wp:inline>
        </w:drawing>
      </w:r>
    </w:p>
    <w:p w14:paraId="5F8D12CD">
      <w:pPr>
        <w:pStyle w:val="18"/>
      </w:pPr>
      <w:r>
        <w:rPr>
          <w:lang w:val="en-US" w:bidi="ar-SA"/>
        </w:rPr>
        <w:drawing>
          <wp:inline distT="0" distB="0" distL="114300" distR="114300">
            <wp:extent cx="2628265" cy="2109470"/>
            <wp:effectExtent l="0" t="0" r="635" b="5080"/>
            <wp:docPr id="332" name="图片 13"/>
            <wp:cNvGraphicFramePr/>
            <a:graphic xmlns:a="http://schemas.openxmlformats.org/drawingml/2006/main">
              <a:graphicData uri="http://schemas.openxmlformats.org/drawingml/2006/picture">
                <pic:pic xmlns:pic="http://schemas.openxmlformats.org/drawingml/2006/picture">
                  <pic:nvPicPr>
                    <pic:cNvPr id="332" name="图片 13"/>
                    <pic:cNvPicPr/>
                  </pic:nvPicPr>
                  <pic:blipFill>
                    <a:blip r:embed="rId26">
                      <a:grayscl/>
                    </a:blip>
                    <a:stretch>
                      <a:fillRect/>
                    </a:stretch>
                  </pic:blipFill>
                  <pic:spPr>
                    <a:xfrm>
                      <a:off x="0" y="0"/>
                      <a:ext cx="2628265" cy="2109470"/>
                    </a:xfrm>
                    <a:prstGeom prst="rect">
                      <a:avLst/>
                    </a:prstGeom>
                    <a:noFill/>
                    <a:ln>
                      <a:noFill/>
                    </a:ln>
                  </pic:spPr>
                </pic:pic>
              </a:graphicData>
            </a:graphic>
          </wp:inline>
        </w:drawing>
      </w:r>
      <w:r>
        <w:rPr>
          <w:lang w:val="en-US" w:bidi="ar-SA"/>
        </w:rPr>
        <w:drawing>
          <wp:inline distT="0" distB="0" distL="114300" distR="114300">
            <wp:extent cx="2628265" cy="2108200"/>
            <wp:effectExtent l="0" t="0" r="635" b="6350"/>
            <wp:docPr id="3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4"/>
                    <pic:cNvPicPr>
                      <a:picLocks noChangeAspect="1"/>
                    </pic:cNvPicPr>
                  </pic:nvPicPr>
                  <pic:blipFill>
                    <a:blip r:embed="rId27">
                      <a:grayscl/>
                    </a:blip>
                    <a:stretch>
                      <a:fillRect/>
                    </a:stretch>
                  </pic:blipFill>
                  <pic:spPr>
                    <a:xfrm>
                      <a:off x="0" y="0"/>
                      <a:ext cx="2628265" cy="2108200"/>
                    </a:xfrm>
                    <a:prstGeom prst="rect">
                      <a:avLst/>
                    </a:prstGeom>
                    <a:noFill/>
                    <a:ln>
                      <a:noFill/>
                    </a:ln>
                  </pic:spPr>
                </pic:pic>
              </a:graphicData>
            </a:graphic>
          </wp:inline>
        </w:drawing>
      </w:r>
    </w:p>
    <w:p w14:paraId="07B89D54">
      <w:pPr>
        <w:ind w:firstLine="560"/>
      </w:pPr>
      <w:r>
        <w:rPr>
          <w:rFonts w:hint="eastAsia"/>
        </w:rPr>
        <w:t>要求：</w:t>
      </w:r>
    </w:p>
    <w:p w14:paraId="0AB3A102">
      <w:pPr>
        <w:ind w:firstLine="560"/>
      </w:pPr>
      <w:r>
        <w:rPr>
          <w:rFonts w:hint="eastAsia"/>
        </w:rPr>
        <w:t>（1）施工现场出入口应设置门卫值班室，面积不小于10m</w:t>
      </w:r>
      <w:r>
        <w:rPr>
          <w:rFonts w:hint="eastAsia"/>
          <w:vertAlign w:val="superscript"/>
        </w:rPr>
        <w:t>2</w:t>
      </w:r>
      <w:r>
        <w:rPr>
          <w:rFonts w:hint="eastAsia"/>
        </w:rPr>
        <w:t>；</w:t>
      </w:r>
    </w:p>
    <w:p w14:paraId="7C873340">
      <w:pPr>
        <w:ind w:firstLine="560"/>
      </w:pPr>
      <w:r>
        <w:rPr>
          <w:rFonts w:hint="eastAsia"/>
        </w:rPr>
        <w:t>（2）建立门卫值班管理及登记制度；</w:t>
      </w:r>
    </w:p>
    <w:p w14:paraId="0112A6BE">
      <w:pPr>
        <w:ind w:firstLine="560"/>
      </w:pPr>
      <w:r>
        <w:rPr>
          <w:rFonts w:hint="eastAsia"/>
        </w:rPr>
        <w:t>（3）配备安全语音提示装置，并配备足够数量的安全帽。</w:t>
      </w:r>
    </w:p>
    <w:p w14:paraId="74267F18">
      <w:pPr>
        <w:ind w:firstLine="560"/>
      </w:pPr>
      <w:r>
        <w:rPr>
          <w:rFonts w:hint="eastAsia"/>
        </w:rPr>
        <w:t>（4）设置视频监控系统，对施工现场进行全方位监控，施工单位需提供监理（建设）单位不少于2台远程视频监控系统及相应设施。</w:t>
      </w:r>
    </w:p>
    <w:p w14:paraId="4A1F940B">
      <w:pPr>
        <w:ind w:firstLine="560"/>
      </w:pPr>
      <w:r>
        <w:rPr>
          <w:rFonts w:hint="eastAsia"/>
        </w:rPr>
        <w:t>7.施工图牌</w:t>
      </w:r>
    </w:p>
    <w:p w14:paraId="4A00E522">
      <w:pPr>
        <w:pStyle w:val="18"/>
        <w:rPr>
          <w:lang w:val="en-US"/>
        </w:rPr>
      </w:pPr>
      <w:r>
        <w:rPr>
          <w:rFonts w:hint="eastAsia"/>
          <w:lang w:val="en-US" w:bidi="ar-SA"/>
        </w:rPr>
        <w:drawing>
          <wp:inline distT="0" distB="0" distL="114300" distR="114300">
            <wp:extent cx="5267960" cy="3415665"/>
            <wp:effectExtent l="0" t="0" r="8890" b="0"/>
            <wp:docPr id="334" name="图片 334" descr="166522038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1665220388161"/>
                    <pic:cNvPicPr>
                      <a:picLocks noChangeAspect="1"/>
                    </pic:cNvPicPr>
                  </pic:nvPicPr>
                  <pic:blipFill>
                    <a:blip r:embed="rId28">
                      <a:grayscl/>
                    </a:blip>
                    <a:stretch>
                      <a:fillRect/>
                    </a:stretch>
                  </pic:blipFill>
                  <pic:spPr>
                    <a:xfrm>
                      <a:off x="0" y="0"/>
                      <a:ext cx="5267960" cy="3415665"/>
                    </a:xfrm>
                    <a:prstGeom prst="rect">
                      <a:avLst/>
                    </a:prstGeom>
                  </pic:spPr>
                </pic:pic>
              </a:graphicData>
            </a:graphic>
          </wp:inline>
        </w:drawing>
      </w:r>
    </w:p>
    <w:p w14:paraId="09FAA4C6">
      <w:pPr>
        <w:pStyle w:val="18"/>
        <w:rPr>
          <w:u w:val="double"/>
          <w:lang w:val="en-US"/>
        </w:rPr>
      </w:pPr>
      <w:r>
        <w:rPr>
          <w:rFonts w:hint="eastAsia"/>
          <w:u w:val="double"/>
          <w:lang w:val="en-US"/>
        </w:rPr>
        <w:t>工程概况牌示意图（配效果图）</w:t>
      </w:r>
    </w:p>
    <w:p w14:paraId="584C640D">
      <w:pPr>
        <w:ind w:firstLine="560"/>
      </w:pPr>
      <w:r>
        <w:rPr>
          <w:rFonts w:hint="eastAsia"/>
        </w:rPr>
        <w:t>8.车辆冲洗设备</w:t>
      </w:r>
    </w:p>
    <w:p w14:paraId="7CC658CB">
      <w:pPr>
        <w:ind w:firstLine="560"/>
      </w:pPr>
      <w:r>
        <w:rPr>
          <w:rFonts w:hint="eastAsia"/>
        </w:rPr>
        <w:t>要求：</w:t>
      </w:r>
    </w:p>
    <w:p w14:paraId="4BE37121">
      <w:pPr>
        <w:ind w:firstLine="560"/>
      </w:pPr>
      <w:r>
        <w:rPr>
          <w:rFonts w:hint="eastAsia"/>
        </w:rPr>
        <w:t>（1）地面主干管为4根80X80mm方管，长3.8m，每根方管有12个出水孔，两侧挡板各有2根1.4m竖管，竖管中间布置3根1.97m的60*60mm横方管，每根横方管安装8个喷嘴，间距232mm，横方管外表面用黄色钢板覆盖；</w:t>
      </w:r>
    </w:p>
    <w:p w14:paraId="508757AC">
      <w:pPr>
        <w:ind w:firstLine="560"/>
      </w:pPr>
      <w:r>
        <w:rPr>
          <w:rFonts w:hint="eastAsia"/>
        </w:rPr>
        <w:t>（2）水压不小于0.3Mpa，设置文明宣传标牌，尺寸：2000mmX940mm；</w:t>
      </w:r>
    </w:p>
    <w:p w14:paraId="27288BD5">
      <w:pPr>
        <w:ind w:firstLine="560"/>
      </w:pPr>
      <w:r>
        <w:rPr>
          <w:rFonts w:hint="eastAsia"/>
        </w:rPr>
        <w:t>（3）冲洗平台需设置过水区，四周设置排水沟，一侧设置沉淀池。</w:t>
      </w:r>
    </w:p>
    <w:p w14:paraId="3B2C53A5">
      <w:pPr>
        <w:ind w:firstLine="560"/>
      </w:pPr>
      <w:r>
        <w:rPr>
          <w:rFonts w:hint="eastAsia"/>
        </w:rPr>
        <w:t>（4）洗车台同时需配置至少1套高压水枪配合冲洗。</w:t>
      </w:r>
    </w:p>
    <w:p w14:paraId="1C5E2653">
      <w:pPr>
        <w:pStyle w:val="18"/>
      </w:pPr>
      <w:r>
        <w:rPr>
          <w:lang w:val="en-US" w:bidi="ar-SA"/>
        </w:rPr>
        <w:drawing>
          <wp:inline distT="0" distB="0" distL="114300" distR="114300">
            <wp:extent cx="5271135" cy="2818130"/>
            <wp:effectExtent l="0" t="0" r="5715" b="1270"/>
            <wp:docPr id="3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5"/>
                    <pic:cNvPicPr>
                      <a:picLocks noChangeAspect="1"/>
                    </pic:cNvPicPr>
                  </pic:nvPicPr>
                  <pic:blipFill>
                    <a:blip r:embed="rId29">
                      <a:grayscl/>
                    </a:blip>
                    <a:stretch>
                      <a:fillRect/>
                    </a:stretch>
                  </pic:blipFill>
                  <pic:spPr>
                    <a:xfrm>
                      <a:off x="0" y="0"/>
                      <a:ext cx="5271135" cy="2818130"/>
                    </a:xfrm>
                    <a:prstGeom prst="rect">
                      <a:avLst/>
                    </a:prstGeom>
                    <a:noFill/>
                    <a:ln>
                      <a:noFill/>
                    </a:ln>
                  </pic:spPr>
                </pic:pic>
              </a:graphicData>
            </a:graphic>
          </wp:inline>
        </w:drawing>
      </w:r>
    </w:p>
    <w:p w14:paraId="0B1C4323">
      <w:pPr>
        <w:pStyle w:val="18"/>
      </w:pPr>
      <w:r>
        <w:rPr>
          <w:lang w:val="en-US" w:bidi="ar-SA"/>
        </w:rPr>
        <w:drawing>
          <wp:inline distT="0" distB="0" distL="114300" distR="114300">
            <wp:extent cx="5274310" cy="3332480"/>
            <wp:effectExtent l="0" t="0" r="2540" b="1270"/>
            <wp:docPr id="3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6"/>
                    <pic:cNvPicPr>
                      <a:picLocks noChangeAspect="1"/>
                    </pic:cNvPicPr>
                  </pic:nvPicPr>
                  <pic:blipFill>
                    <a:blip r:embed="rId30">
                      <a:grayscl/>
                    </a:blip>
                    <a:stretch>
                      <a:fillRect/>
                    </a:stretch>
                  </pic:blipFill>
                  <pic:spPr>
                    <a:xfrm>
                      <a:off x="0" y="0"/>
                      <a:ext cx="5274310" cy="3332480"/>
                    </a:xfrm>
                    <a:prstGeom prst="rect">
                      <a:avLst/>
                    </a:prstGeom>
                    <a:noFill/>
                    <a:ln>
                      <a:noFill/>
                    </a:ln>
                  </pic:spPr>
                </pic:pic>
              </a:graphicData>
            </a:graphic>
          </wp:inline>
        </w:drawing>
      </w:r>
    </w:p>
    <w:p w14:paraId="7731411F">
      <w:pPr>
        <w:ind w:firstLine="560"/>
      </w:pPr>
      <w:r>
        <w:rPr>
          <w:rFonts w:hint="eastAsia"/>
        </w:rPr>
        <w:t>9.安全宣讲台</w:t>
      </w:r>
    </w:p>
    <w:p w14:paraId="4BB5DB48">
      <w:pPr>
        <w:ind w:firstLine="560"/>
      </w:pPr>
      <w:r>
        <w:rPr>
          <w:rFonts w:hint="eastAsia"/>
        </w:rPr>
        <w:t>要求：</w:t>
      </w:r>
    </w:p>
    <w:p w14:paraId="6F172B5D">
      <w:pPr>
        <w:ind w:firstLine="560"/>
      </w:pPr>
      <w:r>
        <w:rPr>
          <w:rFonts w:hint="eastAsia"/>
        </w:rPr>
        <w:t>（1）现场入口处应设“安全文明施工宣讲台”。各工种进场前及每日班前，项目部管理人员应在宣讲台进行技术交底、安全教育。</w:t>
      </w:r>
    </w:p>
    <w:p w14:paraId="27005251">
      <w:pPr>
        <w:ind w:firstLine="560"/>
      </w:pPr>
      <w:r>
        <w:rPr>
          <w:rFonts w:hint="eastAsia"/>
        </w:rPr>
        <w:t>（2）宣讲台附近场地必须进行硬化处理，并进行一定规模的绿化处理，营造干净、文明、怡人的宣讲环境。</w:t>
      </w:r>
    </w:p>
    <w:p w14:paraId="46F73E8A">
      <w:pPr>
        <w:pStyle w:val="18"/>
      </w:pPr>
      <w:r>
        <w:rPr>
          <w:lang w:val="en-US" w:bidi="ar-SA"/>
        </w:rPr>
        <w:drawing>
          <wp:inline distT="0" distB="0" distL="114300" distR="114300">
            <wp:extent cx="5266690" cy="2871470"/>
            <wp:effectExtent l="0" t="0" r="0" b="5080"/>
            <wp:docPr id="3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7"/>
                    <pic:cNvPicPr>
                      <a:picLocks noChangeAspect="1"/>
                    </pic:cNvPicPr>
                  </pic:nvPicPr>
                  <pic:blipFill>
                    <a:blip r:embed="rId31">
                      <a:grayscl/>
                    </a:blip>
                    <a:stretch>
                      <a:fillRect/>
                    </a:stretch>
                  </pic:blipFill>
                  <pic:spPr>
                    <a:xfrm>
                      <a:off x="0" y="0"/>
                      <a:ext cx="5266690" cy="2871470"/>
                    </a:xfrm>
                    <a:prstGeom prst="rect">
                      <a:avLst/>
                    </a:prstGeom>
                    <a:noFill/>
                    <a:ln>
                      <a:noFill/>
                    </a:ln>
                  </pic:spPr>
                </pic:pic>
              </a:graphicData>
            </a:graphic>
          </wp:inline>
        </w:drawing>
      </w:r>
    </w:p>
    <w:p w14:paraId="71BD9D3B">
      <w:pPr>
        <w:ind w:firstLine="562"/>
        <w:rPr>
          <w:b/>
          <w:bCs/>
        </w:rPr>
      </w:pPr>
      <w:r>
        <w:rPr>
          <w:rFonts w:hint="eastAsia"/>
          <w:b/>
          <w:bCs/>
        </w:rPr>
        <w:t>（二）施工便道</w:t>
      </w:r>
    </w:p>
    <w:p w14:paraId="6CAA0F56">
      <w:pPr>
        <w:pStyle w:val="18"/>
        <w:rPr>
          <w:lang w:val="en-US"/>
        </w:rPr>
      </w:pPr>
      <w:r>
        <w:rPr>
          <w:rFonts w:hint="eastAsia"/>
          <w:lang w:val="en-US" w:bidi="ar-SA"/>
        </w:rPr>
        <w:drawing>
          <wp:inline distT="0" distB="0" distL="114300" distR="114300">
            <wp:extent cx="5269865" cy="3221355"/>
            <wp:effectExtent l="0" t="0" r="6985" b="0"/>
            <wp:docPr id="338" name="图片 338" descr="166522092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1665220923610"/>
                    <pic:cNvPicPr>
                      <a:picLocks noChangeAspect="1"/>
                    </pic:cNvPicPr>
                  </pic:nvPicPr>
                  <pic:blipFill>
                    <a:blip r:embed="rId32">
                      <a:grayscl/>
                    </a:blip>
                    <a:stretch>
                      <a:fillRect/>
                    </a:stretch>
                  </pic:blipFill>
                  <pic:spPr>
                    <a:xfrm>
                      <a:off x="0" y="0"/>
                      <a:ext cx="5269865" cy="3221355"/>
                    </a:xfrm>
                    <a:prstGeom prst="rect">
                      <a:avLst/>
                    </a:prstGeom>
                  </pic:spPr>
                </pic:pic>
              </a:graphicData>
            </a:graphic>
          </wp:inline>
        </w:drawing>
      </w:r>
    </w:p>
    <w:p w14:paraId="228F99E8">
      <w:pPr>
        <w:ind w:firstLine="560"/>
      </w:pPr>
      <w:r>
        <w:rPr>
          <w:rFonts w:hint="eastAsia"/>
        </w:rPr>
        <w:t>要求：</w:t>
      </w:r>
    </w:p>
    <w:p w14:paraId="6B33D513">
      <w:pPr>
        <w:ind w:firstLine="560"/>
      </w:pPr>
      <w:r>
        <w:rPr>
          <w:rFonts w:hint="eastAsia"/>
        </w:rPr>
        <w:t>（1）场外施工便道：混凝土硬化厚度不小于20cm，宽度不小于6m，应达到平整、密实、满足重载车辆24h通行要求；</w:t>
      </w:r>
    </w:p>
    <w:p w14:paraId="1ABBAFE5">
      <w:pPr>
        <w:ind w:firstLine="560"/>
      </w:pPr>
      <w:r>
        <w:rPr>
          <w:rFonts w:hint="eastAsia"/>
        </w:rPr>
        <w:t>（2）场内施工便道：采用厚度不小于50cm的建筑碎砖或碎石修筑，或采用钢板铺设，宽度不小于6m，应达到平整、密实、满足重载车辆24h通行要求；</w:t>
      </w:r>
    </w:p>
    <w:p w14:paraId="4EE3C2CD">
      <w:pPr>
        <w:ind w:firstLine="560"/>
      </w:pPr>
      <w:r>
        <w:rPr>
          <w:rFonts w:hint="eastAsia"/>
        </w:rPr>
        <w:t>（3）施工便道外侧根据地形设置排水沟及集水井，配备一定数量的抽水设备，按要求有组织排放至周边市政管网或指定的汇水点；</w:t>
      </w:r>
    </w:p>
    <w:p w14:paraId="46BF9704">
      <w:pPr>
        <w:ind w:firstLine="560"/>
      </w:pPr>
      <w:r>
        <w:rPr>
          <w:rFonts w:hint="eastAsia"/>
        </w:rPr>
        <w:t>（4）施工便道须设限速牌，限速不高于10km/h。</w:t>
      </w:r>
    </w:p>
    <w:p w14:paraId="48279D2F">
      <w:pPr>
        <w:ind w:firstLine="562"/>
        <w:rPr>
          <w:b/>
          <w:bCs/>
        </w:rPr>
      </w:pPr>
      <w:r>
        <w:rPr>
          <w:rFonts w:hint="eastAsia"/>
          <w:b/>
          <w:bCs/>
        </w:rPr>
        <w:t>（三）场区布置</w:t>
      </w:r>
    </w:p>
    <w:p w14:paraId="2D18A48B">
      <w:pPr>
        <w:ind w:firstLine="560"/>
      </w:pPr>
      <w:r>
        <w:rPr>
          <w:rFonts w:hint="eastAsia"/>
        </w:rPr>
        <w:t>1.材料加工区</w:t>
      </w:r>
    </w:p>
    <w:p w14:paraId="44E9CF88">
      <w:pPr>
        <w:pStyle w:val="18"/>
      </w:pPr>
      <w:r>
        <w:rPr>
          <w:lang w:val="en-US" w:bidi="ar-SA"/>
        </w:rPr>
        <w:drawing>
          <wp:inline distT="0" distB="0" distL="114300" distR="114300">
            <wp:extent cx="2628265" cy="1800225"/>
            <wp:effectExtent l="0" t="0" r="635" b="9525"/>
            <wp:docPr id="340" name="图片 18"/>
            <wp:cNvGraphicFramePr/>
            <a:graphic xmlns:a="http://schemas.openxmlformats.org/drawingml/2006/main">
              <a:graphicData uri="http://schemas.openxmlformats.org/drawingml/2006/picture">
                <pic:pic xmlns:pic="http://schemas.openxmlformats.org/drawingml/2006/picture">
                  <pic:nvPicPr>
                    <pic:cNvPr id="340" name="图片 18"/>
                    <pic:cNvPicPr/>
                  </pic:nvPicPr>
                  <pic:blipFill>
                    <a:blip r:embed="rId33">
                      <a:grayscl/>
                    </a:blip>
                    <a:stretch>
                      <a:fillRect/>
                    </a:stretch>
                  </pic:blipFill>
                  <pic:spPr>
                    <a:xfrm>
                      <a:off x="0" y="0"/>
                      <a:ext cx="2628265" cy="1800225"/>
                    </a:xfrm>
                    <a:prstGeom prst="rect">
                      <a:avLst/>
                    </a:prstGeom>
                    <a:noFill/>
                    <a:ln>
                      <a:noFill/>
                    </a:ln>
                  </pic:spPr>
                </pic:pic>
              </a:graphicData>
            </a:graphic>
          </wp:inline>
        </w:drawing>
      </w:r>
      <w:r>
        <w:rPr>
          <w:lang w:val="en-US" w:bidi="ar-SA"/>
        </w:rPr>
        <w:drawing>
          <wp:inline distT="0" distB="0" distL="114300" distR="114300">
            <wp:extent cx="2628265" cy="1801495"/>
            <wp:effectExtent l="0" t="0" r="635" b="8255"/>
            <wp:docPr id="3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9"/>
                    <pic:cNvPicPr>
                      <a:picLocks noChangeAspect="1"/>
                    </pic:cNvPicPr>
                  </pic:nvPicPr>
                  <pic:blipFill>
                    <a:blip r:embed="rId34">
                      <a:grayscl/>
                    </a:blip>
                    <a:stretch>
                      <a:fillRect/>
                    </a:stretch>
                  </pic:blipFill>
                  <pic:spPr>
                    <a:xfrm>
                      <a:off x="0" y="0"/>
                      <a:ext cx="2628265" cy="1801495"/>
                    </a:xfrm>
                    <a:prstGeom prst="rect">
                      <a:avLst/>
                    </a:prstGeom>
                    <a:noFill/>
                    <a:ln>
                      <a:noFill/>
                    </a:ln>
                  </pic:spPr>
                </pic:pic>
              </a:graphicData>
            </a:graphic>
          </wp:inline>
        </w:drawing>
      </w:r>
    </w:p>
    <w:p w14:paraId="176B7721">
      <w:pPr>
        <w:ind w:firstLine="560"/>
      </w:pPr>
      <w:r>
        <w:rPr>
          <w:rFonts w:hint="eastAsia"/>
        </w:rPr>
        <w:t>要求：</w:t>
      </w:r>
    </w:p>
    <w:p w14:paraId="5B2C3BFE">
      <w:pPr>
        <w:ind w:firstLine="560"/>
      </w:pPr>
      <w:r>
        <w:rPr>
          <w:rFonts w:hint="eastAsia"/>
        </w:rPr>
        <w:t>（1）项目有混凝土结构工程施工时必须设置材料加工区，包括木工加工棚、钢筋加工棚等；</w:t>
      </w:r>
    </w:p>
    <w:p w14:paraId="7029F125">
      <w:pPr>
        <w:ind w:firstLine="560"/>
      </w:pPr>
      <w:r>
        <w:rPr>
          <w:rFonts w:hint="eastAsia"/>
        </w:rPr>
        <w:t>（2）加工棚分为敞开式和封闭式，高度不低于3米，大小根据具体需要设置，场地必须进行混凝土硬化处理；</w:t>
      </w:r>
    </w:p>
    <w:p w14:paraId="64CFB245">
      <w:pPr>
        <w:ind w:firstLine="560"/>
      </w:pPr>
      <w:r>
        <w:rPr>
          <w:rFonts w:hint="eastAsia"/>
        </w:rPr>
        <w:t>（3）加工棚内临时用电设置必须满足临时用电验收规范。</w:t>
      </w:r>
    </w:p>
    <w:p w14:paraId="6BFF6F73">
      <w:pPr>
        <w:ind w:firstLine="560"/>
      </w:pPr>
      <w:r>
        <w:rPr>
          <w:rFonts w:hint="eastAsia"/>
        </w:rPr>
        <w:t>（4）加工棚结构应进行计算，须通过风载、雪载等荷载稳定性计算，棚内配备灭火器、操作规程、警示牌及宣传标语等。</w:t>
      </w:r>
    </w:p>
    <w:p w14:paraId="19976948">
      <w:pPr>
        <w:ind w:firstLine="560"/>
      </w:pPr>
      <w:r>
        <w:rPr>
          <w:rFonts w:hint="eastAsia"/>
        </w:rPr>
        <w:t>2.材料堆放区（含应急物资）</w:t>
      </w:r>
    </w:p>
    <w:p w14:paraId="1DE56930">
      <w:pPr>
        <w:pStyle w:val="18"/>
      </w:pPr>
      <w:r>
        <w:rPr>
          <w:lang w:val="en-US" w:bidi="ar-SA"/>
        </w:rPr>
        <w:drawing>
          <wp:inline distT="0" distB="0" distL="114300" distR="114300">
            <wp:extent cx="2628265" cy="1748790"/>
            <wp:effectExtent l="0" t="0" r="635" b="3810"/>
            <wp:docPr id="3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20"/>
                    <pic:cNvPicPr>
                      <a:picLocks noChangeAspect="1"/>
                    </pic:cNvPicPr>
                  </pic:nvPicPr>
                  <pic:blipFill>
                    <a:blip r:embed="rId35">
                      <a:grayscl/>
                    </a:blip>
                    <a:stretch>
                      <a:fillRect/>
                    </a:stretch>
                  </pic:blipFill>
                  <pic:spPr>
                    <a:xfrm>
                      <a:off x="0" y="0"/>
                      <a:ext cx="2628265" cy="1748790"/>
                    </a:xfrm>
                    <a:prstGeom prst="rect">
                      <a:avLst/>
                    </a:prstGeom>
                    <a:noFill/>
                    <a:ln>
                      <a:noFill/>
                    </a:ln>
                  </pic:spPr>
                </pic:pic>
              </a:graphicData>
            </a:graphic>
          </wp:inline>
        </w:drawing>
      </w:r>
      <w:r>
        <w:rPr>
          <w:lang w:val="en-US" w:bidi="ar-SA"/>
        </w:rPr>
        <w:drawing>
          <wp:inline distT="0" distB="0" distL="114300" distR="114300">
            <wp:extent cx="2628265" cy="1749425"/>
            <wp:effectExtent l="0" t="0" r="635" b="3175"/>
            <wp:docPr id="346" name="图片 21"/>
            <wp:cNvGraphicFramePr/>
            <a:graphic xmlns:a="http://schemas.openxmlformats.org/drawingml/2006/main">
              <a:graphicData uri="http://schemas.openxmlformats.org/drawingml/2006/picture">
                <pic:pic xmlns:pic="http://schemas.openxmlformats.org/drawingml/2006/picture">
                  <pic:nvPicPr>
                    <pic:cNvPr id="346" name="图片 21"/>
                    <pic:cNvPicPr/>
                  </pic:nvPicPr>
                  <pic:blipFill>
                    <a:blip r:embed="rId36">
                      <a:grayscl/>
                    </a:blip>
                    <a:stretch>
                      <a:fillRect/>
                    </a:stretch>
                  </pic:blipFill>
                  <pic:spPr>
                    <a:xfrm>
                      <a:off x="0" y="0"/>
                      <a:ext cx="2628265" cy="1749425"/>
                    </a:xfrm>
                    <a:prstGeom prst="rect">
                      <a:avLst/>
                    </a:prstGeom>
                    <a:noFill/>
                    <a:ln>
                      <a:noFill/>
                    </a:ln>
                  </pic:spPr>
                </pic:pic>
              </a:graphicData>
            </a:graphic>
          </wp:inline>
        </w:drawing>
      </w:r>
    </w:p>
    <w:p w14:paraId="245E9682">
      <w:pPr>
        <w:ind w:firstLine="560"/>
      </w:pPr>
      <w:r>
        <w:rPr>
          <w:rFonts w:hint="eastAsia"/>
        </w:rPr>
        <w:t>要求：</w:t>
      </w:r>
    </w:p>
    <w:p w14:paraId="7D5AB557">
      <w:pPr>
        <w:ind w:firstLine="560"/>
      </w:pPr>
      <w:r>
        <w:rPr>
          <w:rFonts w:hint="eastAsia"/>
        </w:rPr>
        <w:t>（1）材料、构件、设备按总平面布置分类堆放，零散材料设置容器或封闭覆盖；</w:t>
      </w:r>
    </w:p>
    <w:p w14:paraId="0C25B3C6">
      <w:pPr>
        <w:ind w:firstLine="560"/>
      </w:pPr>
      <w:r>
        <w:rPr>
          <w:rFonts w:hint="eastAsia"/>
        </w:rPr>
        <w:t>（2）标识牌支架采用方钢和槽钢接；</w:t>
      </w:r>
    </w:p>
    <w:p w14:paraId="3E87BA21">
      <w:pPr>
        <w:ind w:firstLine="560"/>
      </w:pPr>
      <w:r>
        <w:rPr>
          <w:rFonts w:hint="eastAsia"/>
        </w:rPr>
        <w:t>（3）材料标识牌采用镀锌铁板或铝塑板制作，尺寸为450mm×300mm；</w:t>
      </w:r>
    </w:p>
    <w:p w14:paraId="4A9D12E9">
      <w:pPr>
        <w:ind w:firstLine="560"/>
      </w:pPr>
      <w:r>
        <w:rPr>
          <w:rFonts w:hint="eastAsia"/>
        </w:rPr>
        <w:t>（4）现场还须设置应急物资仓库，储备的应急物资包括但不限于：砂袋、铁锹、塑料薄膜、槽钢、钢管、水泥、速凝剂、锚杆等（按风险识别方案设置）。</w:t>
      </w:r>
    </w:p>
    <w:p w14:paraId="0FE3872E">
      <w:pPr>
        <w:ind w:firstLine="562"/>
        <w:rPr>
          <w:b/>
          <w:bCs/>
        </w:rPr>
      </w:pPr>
      <w:r>
        <w:rPr>
          <w:rFonts w:hint="eastAsia"/>
          <w:b/>
          <w:bCs/>
        </w:rPr>
        <w:t>（四）安全防护</w:t>
      </w:r>
    </w:p>
    <w:p w14:paraId="03D6D940">
      <w:pPr>
        <w:ind w:firstLine="560"/>
      </w:pPr>
      <w:r>
        <w:rPr>
          <w:rFonts w:hint="eastAsia"/>
        </w:rPr>
        <w:t>1.基坑防护</w:t>
      </w:r>
    </w:p>
    <w:p w14:paraId="295BA251">
      <w:pPr>
        <w:ind w:firstLine="560"/>
      </w:pPr>
      <w:r>
        <w:rPr>
          <w:rFonts w:hint="eastAsia"/>
        </w:rPr>
        <w:t>要求：</w:t>
      </w:r>
    </w:p>
    <w:p w14:paraId="66A4B0D5">
      <w:pPr>
        <w:ind w:firstLine="560"/>
      </w:pPr>
      <w:r>
        <w:rPr>
          <w:rFonts w:hint="eastAsia"/>
        </w:rPr>
        <w:t>（1）采用Ø35×3.5mm钢管搭设，高度不小于1.2m；钢管进场前全部喷漆翻新。</w:t>
      </w:r>
    </w:p>
    <w:p w14:paraId="1B63874D">
      <w:pPr>
        <w:ind w:firstLine="560"/>
      </w:pPr>
      <w:r>
        <w:rPr>
          <w:rFonts w:hint="eastAsia"/>
        </w:rPr>
        <w:t>（2）立杆高度为1.3m，立杆间距不大于2m，水平栏杆高度分别为200、500及1200mm，立杆距基坑间距不小于500mm，内侧张挂安全网。</w:t>
      </w:r>
    </w:p>
    <w:p w14:paraId="5DE84EA8">
      <w:pPr>
        <w:pStyle w:val="18"/>
      </w:pPr>
      <w:r>
        <w:rPr>
          <w:lang w:val="en-US" w:bidi="ar-SA"/>
        </w:rPr>
        <w:drawing>
          <wp:inline distT="0" distB="0" distL="114300" distR="114300">
            <wp:extent cx="5267960" cy="3331845"/>
            <wp:effectExtent l="0" t="0" r="8890" b="1905"/>
            <wp:docPr id="3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22"/>
                    <pic:cNvPicPr>
                      <a:picLocks noChangeAspect="1"/>
                    </pic:cNvPicPr>
                  </pic:nvPicPr>
                  <pic:blipFill>
                    <a:blip r:embed="rId37">
                      <a:grayscl/>
                    </a:blip>
                    <a:stretch>
                      <a:fillRect/>
                    </a:stretch>
                  </pic:blipFill>
                  <pic:spPr>
                    <a:xfrm>
                      <a:off x="0" y="0"/>
                      <a:ext cx="5267960" cy="3331845"/>
                    </a:xfrm>
                    <a:prstGeom prst="rect">
                      <a:avLst/>
                    </a:prstGeom>
                    <a:noFill/>
                    <a:ln>
                      <a:noFill/>
                    </a:ln>
                  </pic:spPr>
                </pic:pic>
              </a:graphicData>
            </a:graphic>
          </wp:inline>
        </w:drawing>
      </w:r>
    </w:p>
    <w:p w14:paraId="2453C448">
      <w:pPr>
        <w:ind w:firstLine="560"/>
      </w:pPr>
      <w:r>
        <w:rPr>
          <w:rFonts w:hint="eastAsia"/>
        </w:rPr>
        <w:t>2.临边防护</w:t>
      </w:r>
    </w:p>
    <w:p w14:paraId="4F601FA3">
      <w:pPr>
        <w:pStyle w:val="18"/>
      </w:pPr>
      <w:r>
        <w:rPr>
          <w:lang w:val="en-US" w:bidi="ar-SA"/>
        </w:rPr>
        <w:drawing>
          <wp:inline distT="0" distB="0" distL="114300" distR="114300">
            <wp:extent cx="5268595" cy="3074670"/>
            <wp:effectExtent l="0" t="0" r="8255" b="0"/>
            <wp:docPr id="3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3"/>
                    <pic:cNvPicPr>
                      <a:picLocks noChangeAspect="1"/>
                    </pic:cNvPicPr>
                  </pic:nvPicPr>
                  <pic:blipFill>
                    <a:blip r:embed="rId38">
                      <a:grayscl/>
                    </a:blip>
                    <a:stretch>
                      <a:fillRect/>
                    </a:stretch>
                  </pic:blipFill>
                  <pic:spPr>
                    <a:xfrm>
                      <a:off x="0" y="0"/>
                      <a:ext cx="5268595" cy="3074670"/>
                    </a:xfrm>
                    <a:prstGeom prst="rect">
                      <a:avLst/>
                    </a:prstGeom>
                    <a:noFill/>
                    <a:ln>
                      <a:noFill/>
                    </a:ln>
                  </pic:spPr>
                </pic:pic>
              </a:graphicData>
            </a:graphic>
          </wp:inline>
        </w:drawing>
      </w:r>
    </w:p>
    <w:p w14:paraId="4AD6199A">
      <w:pPr>
        <w:pStyle w:val="18"/>
        <w:rPr>
          <w:u w:val="double"/>
          <w:lang w:val="en-US"/>
        </w:rPr>
      </w:pPr>
      <w:r>
        <w:rPr>
          <w:rFonts w:hint="eastAsia"/>
          <w:u w:val="double"/>
          <w:lang w:val="en-US"/>
        </w:rPr>
        <w:t>形式一：护栏防护</w:t>
      </w:r>
    </w:p>
    <w:p w14:paraId="6291A0D7">
      <w:pPr>
        <w:ind w:firstLine="560"/>
      </w:pPr>
      <w:r>
        <w:rPr>
          <w:rFonts w:hint="eastAsia"/>
        </w:rPr>
        <w:t>要求：</w:t>
      </w:r>
    </w:p>
    <w:p w14:paraId="5EF338AE">
      <w:pPr>
        <w:ind w:firstLine="560"/>
      </w:pPr>
      <w:r>
        <w:rPr>
          <w:rFonts w:hint="eastAsia"/>
        </w:rPr>
        <w:t>（1）采用30×30×1.35mm方刚制作，立柱采用50×50×2.5mm方钢，底座为150×100×8mm钢板，并使用膨胀螺栓固定，进场前全部喷漆翻新；</w:t>
      </w:r>
    </w:p>
    <w:p w14:paraId="36FBA9F0">
      <w:pPr>
        <w:ind w:firstLine="560"/>
      </w:pPr>
      <w:r>
        <w:rPr>
          <w:rFonts w:hint="eastAsia"/>
        </w:rPr>
        <w:t>（2）防护栏杆立杆高度1.2m，标准长度为2m每档，悬挂安全标语；</w:t>
      </w:r>
    </w:p>
    <w:p w14:paraId="60C9C557">
      <w:pPr>
        <w:ind w:firstLine="560"/>
      </w:pPr>
      <w:r>
        <w:rPr>
          <w:rFonts w:hint="eastAsia"/>
        </w:rPr>
        <w:t>（3）底部设置挡脚板，高度不小于200mm，并固定到位，涂刷警示漆。</w:t>
      </w:r>
    </w:p>
    <w:p w14:paraId="42A13D54">
      <w:pPr>
        <w:ind w:firstLine="560"/>
      </w:pPr>
      <w:r>
        <w:rPr>
          <w:rFonts w:hint="eastAsia"/>
        </w:rPr>
        <w:t>（4）夜间设置警示灯，间距不大于5米。</w:t>
      </w:r>
    </w:p>
    <w:p w14:paraId="0C72C48C">
      <w:pPr>
        <w:pStyle w:val="18"/>
      </w:pPr>
      <w:r>
        <w:rPr>
          <w:lang w:val="en-US" w:bidi="ar-SA"/>
        </w:rPr>
        <w:drawing>
          <wp:inline distT="0" distB="0" distL="114300" distR="114300">
            <wp:extent cx="5266690" cy="2638425"/>
            <wp:effectExtent l="0" t="0" r="0" b="9525"/>
            <wp:docPr id="3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4"/>
                    <pic:cNvPicPr>
                      <a:picLocks noChangeAspect="1"/>
                    </pic:cNvPicPr>
                  </pic:nvPicPr>
                  <pic:blipFill>
                    <a:blip r:embed="rId39">
                      <a:grayscl/>
                    </a:blip>
                    <a:stretch>
                      <a:fillRect/>
                    </a:stretch>
                  </pic:blipFill>
                  <pic:spPr>
                    <a:xfrm>
                      <a:off x="0" y="0"/>
                      <a:ext cx="5266690" cy="2638425"/>
                    </a:xfrm>
                    <a:prstGeom prst="rect">
                      <a:avLst/>
                    </a:prstGeom>
                    <a:noFill/>
                    <a:ln>
                      <a:noFill/>
                    </a:ln>
                  </pic:spPr>
                </pic:pic>
              </a:graphicData>
            </a:graphic>
          </wp:inline>
        </w:drawing>
      </w:r>
    </w:p>
    <w:p w14:paraId="26AC2F71">
      <w:pPr>
        <w:pStyle w:val="18"/>
        <w:rPr>
          <w:u w:val="double"/>
          <w:lang w:val="en-US"/>
        </w:rPr>
      </w:pPr>
      <w:r>
        <w:rPr>
          <w:rFonts w:hint="eastAsia"/>
          <w:u w:val="double"/>
          <w:lang w:val="en-US"/>
        </w:rPr>
        <w:t>形式二：钢管防护</w:t>
      </w:r>
    </w:p>
    <w:p w14:paraId="7CF0742C">
      <w:pPr>
        <w:ind w:firstLine="560"/>
      </w:pPr>
      <w:r>
        <w:rPr>
          <w:rFonts w:hint="eastAsia"/>
        </w:rPr>
        <w:t>要求：</w:t>
      </w:r>
    </w:p>
    <w:p w14:paraId="5D5A90D1">
      <w:pPr>
        <w:ind w:firstLine="560"/>
      </w:pPr>
      <w:r>
        <w:rPr>
          <w:rFonts w:hint="eastAsia"/>
        </w:rPr>
        <w:t>（1）采用Ø35×3.5mm钢管搭设，高度不小于1.2m；钢管进场前全部喷漆翻新。</w:t>
      </w:r>
    </w:p>
    <w:p w14:paraId="47D28E03">
      <w:pPr>
        <w:ind w:firstLine="560"/>
      </w:pPr>
      <w:r>
        <w:rPr>
          <w:rFonts w:hint="eastAsia"/>
        </w:rPr>
        <w:t>（2）立杆距基坑外侧水平距离不小于1.2米，立杆预埋深度不小于1米，外露高度1.3m，立杆间距不大于1.8m，水平栏杆高度分别为200、500及1200mm，可采用斜撑或钢管连接，并与柱抱接，内侧张挂安全网；</w:t>
      </w:r>
    </w:p>
    <w:p w14:paraId="0D939E22">
      <w:pPr>
        <w:ind w:firstLine="560"/>
      </w:pPr>
      <w:r>
        <w:rPr>
          <w:rFonts w:hint="eastAsia"/>
        </w:rPr>
        <w:t>（3）底部设置挡脚板，高度不小于200mm，并固定到位，钢管及挡脚板涂刷警示漆。</w:t>
      </w:r>
    </w:p>
    <w:p w14:paraId="1B1FC987">
      <w:pPr>
        <w:ind w:firstLine="560"/>
      </w:pPr>
      <w:r>
        <w:rPr>
          <w:rFonts w:hint="eastAsia"/>
        </w:rPr>
        <w:t>（4）夜间设置警示灯，间距不大于5米。</w:t>
      </w:r>
    </w:p>
    <w:p w14:paraId="37D8BBA5">
      <w:pPr>
        <w:ind w:firstLine="560"/>
      </w:pPr>
      <w:r>
        <w:rPr>
          <w:rFonts w:hint="eastAsia"/>
        </w:rPr>
        <w:t>3.洞口防护（坑穴、井口防护）</w:t>
      </w:r>
    </w:p>
    <w:p w14:paraId="6A7DBA00">
      <w:pPr>
        <w:pStyle w:val="18"/>
      </w:pPr>
      <w:r>
        <w:rPr>
          <w:lang w:val="en-US" w:bidi="ar-SA"/>
        </w:rPr>
        <w:drawing>
          <wp:inline distT="0" distB="0" distL="114300" distR="114300">
            <wp:extent cx="2628265" cy="2390140"/>
            <wp:effectExtent l="0" t="0" r="635" b="0"/>
            <wp:docPr id="350" name="图片 25"/>
            <wp:cNvGraphicFramePr/>
            <a:graphic xmlns:a="http://schemas.openxmlformats.org/drawingml/2006/main">
              <a:graphicData uri="http://schemas.openxmlformats.org/drawingml/2006/picture">
                <pic:pic xmlns:pic="http://schemas.openxmlformats.org/drawingml/2006/picture">
                  <pic:nvPicPr>
                    <pic:cNvPr id="350" name="图片 25"/>
                    <pic:cNvPicPr/>
                  </pic:nvPicPr>
                  <pic:blipFill>
                    <a:blip r:embed="rId40">
                      <a:grayscl/>
                    </a:blip>
                    <a:stretch>
                      <a:fillRect/>
                    </a:stretch>
                  </pic:blipFill>
                  <pic:spPr>
                    <a:xfrm>
                      <a:off x="0" y="0"/>
                      <a:ext cx="2628265" cy="2390140"/>
                    </a:xfrm>
                    <a:prstGeom prst="rect">
                      <a:avLst/>
                    </a:prstGeom>
                    <a:noFill/>
                    <a:ln>
                      <a:noFill/>
                    </a:ln>
                  </pic:spPr>
                </pic:pic>
              </a:graphicData>
            </a:graphic>
          </wp:inline>
        </w:drawing>
      </w:r>
      <w:r>
        <w:rPr>
          <w:lang w:val="en-US" w:bidi="ar-SA"/>
        </w:rPr>
        <w:drawing>
          <wp:inline distT="0" distB="0" distL="114300" distR="114300">
            <wp:extent cx="2628265" cy="2390140"/>
            <wp:effectExtent l="0" t="0" r="635" b="0"/>
            <wp:docPr id="3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26"/>
                    <pic:cNvPicPr>
                      <a:picLocks noChangeAspect="1"/>
                    </pic:cNvPicPr>
                  </pic:nvPicPr>
                  <pic:blipFill>
                    <a:blip r:embed="rId41">
                      <a:grayscl/>
                    </a:blip>
                    <a:stretch>
                      <a:fillRect/>
                    </a:stretch>
                  </pic:blipFill>
                  <pic:spPr>
                    <a:xfrm>
                      <a:off x="0" y="0"/>
                      <a:ext cx="2628265" cy="2390140"/>
                    </a:xfrm>
                    <a:prstGeom prst="rect">
                      <a:avLst/>
                    </a:prstGeom>
                    <a:noFill/>
                    <a:ln>
                      <a:noFill/>
                    </a:ln>
                  </pic:spPr>
                </pic:pic>
              </a:graphicData>
            </a:graphic>
          </wp:inline>
        </w:drawing>
      </w:r>
    </w:p>
    <w:p w14:paraId="36716AB7">
      <w:pPr>
        <w:ind w:firstLine="560"/>
      </w:pPr>
      <w:r>
        <w:rPr>
          <w:rFonts w:hint="eastAsia"/>
        </w:rPr>
        <w:t>要求：</w:t>
      </w:r>
    </w:p>
    <w:p w14:paraId="7BA692AD">
      <w:pPr>
        <w:ind w:firstLine="560"/>
      </w:pPr>
      <w:r>
        <w:rPr>
          <w:rFonts w:hint="eastAsia"/>
        </w:rPr>
        <w:t>（1）所有深度大于0.5m的坑穴、井口必须进行采用钢板或混凝土盖板密闭覆盖；</w:t>
      </w:r>
    </w:p>
    <w:p w14:paraId="2A140EBA">
      <w:pPr>
        <w:ind w:firstLine="560"/>
      </w:pPr>
      <w:r>
        <w:rPr>
          <w:rFonts w:hint="eastAsia"/>
        </w:rPr>
        <w:t>（2）预制钢筋混凝土盖板须进行受力计算，厚度不小于15cm；</w:t>
      </w:r>
    </w:p>
    <w:p w14:paraId="49364568">
      <w:pPr>
        <w:ind w:firstLine="560"/>
      </w:pPr>
      <w:r>
        <w:rPr>
          <w:rFonts w:hint="eastAsia"/>
        </w:rPr>
        <w:t>（3）钢板、盖板外侧应距洞口边沿距离不得小于0.3m，表面涂刷红白相间反光漆，外侧设置三角旗、反光锥等警示标识。</w:t>
      </w:r>
    </w:p>
    <w:p w14:paraId="7667F9C7">
      <w:pPr>
        <w:ind w:firstLine="562"/>
        <w:rPr>
          <w:b/>
          <w:bCs/>
        </w:rPr>
      </w:pPr>
      <w:r>
        <w:rPr>
          <w:rFonts w:hint="eastAsia"/>
          <w:b/>
          <w:bCs/>
        </w:rPr>
        <w:t>（五）临时用电</w:t>
      </w:r>
    </w:p>
    <w:p w14:paraId="76A19D40">
      <w:pPr>
        <w:ind w:firstLine="560"/>
      </w:pPr>
      <w:r>
        <w:rPr>
          <w:rFonts w:hint="eastAsia"/>
        </w:rPr>
        <w:t>1.配电房</w:t>
      </w:r>
    </w:p>
    <w:p w14:paraId="0C1AC7C2">
      <w:pPr>
        <w:ind w:firstLine="560"/>
      </w:pPr>
      <w:r>
        <w:rPr>
          <w:rFonts w:hint="eastAsia"/>
        </w:rPr>
        <w:t>要求：</w:t>
      </w:r>
    </w:p>
    <w:p w14:paraId="6C956892">
      <w:pPr>
        <w:ind w:firstLine="560"/>
      </w:pPr>
      <w:r>
        <w:rPr>
          <w:rFonts w:hint="eastAsia"/>
        </w:rPr>
        <w:t>（1）施工现场用电应采用三相五线制（TN-S接零保护系统）；</w:t>
      </w:r>
    </w:p>
    <w:p w14:paraId="55D094FF">
      <w:pPr>
        <w:ind w:firstLine="560"/>
      </w:pPr>
      <w:r>
        <w:rPr>
          <w:rFonts w:hint="eastAsia"/>
        </w:rPr>
        <w:t>（2）配电房材料耐火等级不低于3级，自然通风，门外开；</w:t>
      </w:r>
    </w:p>
    <w:p w14:paraId="1D0088C3">
      <w:pPr>
        <w:ind w:firstLine="560"/>
      </w:pPr>
      <w:r>
        <w:rPr>
          <w:rFonts w:hint="eastAsia"/>
        </w:rPr>
        <w:t>（3）配置砂箱和可用于扑灭电气火灾的灭火器，并设置警示标志，联系人和联系电话；</w:t>
      </w:r>
    </w:p>
    <w:p w14:paraId="017B503A">
      <w:pPr>
        <w:ind w:firstLine="560"/>
      </w:pPr>
      <w:r>
        <w:rPr>
          <w:rFonts w:hint="eastAsia"/>
        </w:rPr>
        <w:t>（4）配电室内百叶窗采取防鸟防虫措施；</w:t>
      </w:r>
    </w:p>
    <w:p w14:paraId="38651443">
      <w:pPr>
        <w:ind w:firstLine="560"/>
      </w:pPr>
      <w:r>
        <w:rPr>
          <w:rFonts w:hint="eastAsia"/>
        </w:rPr>
        <w:t>（5）配电房内分别设置正常照明和应急照明灯；</w:t>
      </w:r>
    </w:p>
    <w:p w14:paraId="634C0972">
      <w:pPr>
        <w:ind w:firstLine="560"/>
      </w:pPr>
      <w:r>
        <w:rPr>
          <w:rFonts w:hint="eastAsia"/>
        </w:rPr>
        <w:t>（6）专业电工每天进行检查，并形成日常检查记录。</w:t>
      </w:r>
    </w:p>
    <w:p w14:paraId="45073A4E">
      <w:pPr>
        <w:pStyle w:val="18"/>
      </w:pPr>
      <w:r>
        <w:rPr>
          <w:rFonts w:hint="eastAsia"/>
          <w:lang w:val="en-US" w:bidi="ar-SA"/>
        </w:rPr>
        <w:drawing>
          <wp:inline distT="0" distB="0" distL="114300" distR="114300">
            <wp:extent cx="2628265" cy="1936750"/>
            <wp:effectExtent l="0" t="0" r="635" b="6350"/>
            <wp:docPr id="352" name="图片 352" descr="166522384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1665223841185"/>
                    <pic:cNvPicPr>
                      <a:picLocks noChangeAspect="1"/>
                    </pic:cNvPicPr>
                  </pic:nvPicPr>
                  <pic:blipFill>
                    <a:blip r:embed="rId42">
                      <a:grayscl/>
                    </a:blip>
                    <a:stretch>
                      <a:fillRect/>
                    </a:stretch>
                  </pic:blipFill>
                  <pic:spPr>
                    <a:xfrm>
                      <a:off x="0" y="0"/>
                      <a:ext cx="2628265" cy="1936750"/>
                    </a:xfrm>
                    <a:prstGeom prst="rect">
                      <a:avLst/>
                    </a:prstGeom>
                  </pic:spPr>
                </pic:pic>
              </a:graphicData>
            </a:graphic>
          </wp:inline>
        </w:drawing>
      </w:r>
      <w:r>
        <w:rPr>
          <w:lang w:val="en-US" w:bidi="ar-SA"/>
        </w:rPr>
        <w:drawing>
          <wp:inline distT="0" distB="0" distL="114300" distR="114300">
            <wp:extent cx="2628265" cy="1936750"/>
            <wp:effectExtent l="0" t="0" r="635" b="6350"/>
            <wp:docPr id="353" name="图片 27"/>
            <wp:cNvGraphicFramePr/>
            <a:graphic xmlns:a="http://schemas.openxmlformats.org/drawingml/2006/main">
              <a:graphicData uri="http://schemas.openxmlformats.org/drawingml/2006/picture">
                <pic:pic xmlns:pic="http://schemas.openxmlformats.org/drawingml/2006/picture">
                  <pic:nvPicPr>
                    <pic:cNvPr id="353" name="图片 27"/>
                    <pic:cNvPicPr/>
                  </pic:nvPicPr>
                  <pic:blipFill>
                    <a:blip r:embed="rId43">
                      <a:grayscl/>
                    </a:blip>
                    <a:stretch>
                      <a:fillRect/>
                    </a:stretch>
                  </pic:blipFill>
                  <pic:spPr>
                    <a:xfrm>
                      <a:off x="0" y="0"/>
                      <a:ext cx="2628265" cy="1936750"/>
                    </a:xfrm>
                    <a:prstGeom prst="rect">
                      <a:avLst/>
                    </a:prstGeom>
                    <a:noFill/>
                    <a:ln>
                      <a:noFill/>
                    </a:ln>
                  </pic:spPr>
                </pic:pic>
              </a:graphicData>
            </a:graphic>
          </wp:inline>
        </w:drawing>
      </w:r>
    </w:p>
    <w:p w14:paraId="279AB8F1">
      <w:pPr>
        <w:ind w:firstLine="560"/>
      </w:pPr>
      <w:r>
        <w:rPr>
          <w:rFonts w:hint="eastAsia"/>
        </w:rPr>
        <w:t>2.配电箱</w:t>
      </w:r>
    </w:p>
    <w:p w14:paraId="4CBC686E">
      <w:pPr>
        <w:pStyle w:val="18"/>
      </w:pPr>
      <w:r>
        <w:rPr>
          <w:lang w:val="en-US" w:bidi="ar-SA"/>
        </w:rPr>
        <w:drawing>
          <wp:inline distT="0" distB="0" distL="114300" distR="114300">
            <wp:extent cx="3239770" cy="2147570"/>
            <wp:effectExtent l="0" t="0" r="0" b="5080"/>
            <wp:docPr id="3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8"/>
                    <pic:cNvPicPr>
                      <a:picLocks noChangeAspect="1"/>
                    </pic:cNvPicPr>
                  </pic:nvPicPr>
                  <pic:blipFill>
                    <a:blip r:embed="rId44">
                      <a:grayscl/>
                    </a:blip>
                    <a:stretch>
                      <a:fillRect/>
                    </a:stretch>
                  </pic:blipFill>
                  <pic:spPr>
                    <a:xfrm>
                      <a:off x="0" y="0"/>
                      <a:ext cx="3239770" cy="2147570"/>
                    </a:xfrm>
                    <a:prstGeom prst="rect">
                      <a:avLst/>
                    </a:prstGeom>
                    <a:noFill/>
                    <a:ln>
                      <a:noFill/>
                    </a:ln>
                  </pic:spPr>
                </pic:pic>
              </a:graphicData>
            </a:graphic>
          </wp:inline>
        </w:drawing>
      </w:r>
      <w:r>
        <w:rPr>
          <w:lang w:val="en-US" w:bidi="ar-SA"/>
        </w:rPr>
        <w:drawing>
          <wp:inline distT="0" distB="0" distL="114300" distR="114300">
            <wp:extent cx="1968500" cy="2149475"/>
            <wp:effectExtent l="0" t="0" r="0" b="3175"/>
            <wp:docPr id="355" name="图片 30"/>
            <wp:cNvGraphicFramePr/>
            <a:graphic xmlns:a="http://schemas.openxmlformats.org/drawingml/2006/main">
              <a:graphicData uri="http://schemas.openxmlformats.org/drawingml/2006/picture">
                <pic:pic xmlns:pic="http://schemas.openxmlformats.org/drawingml/2006/picture">
                  <pic:nvPicPr>
                    <pic:cNvPr id="355" name="图片 30"/>
                    <pic:cNvPicPr/>
                  </pic:nvPicPr>
                  <pic:blipFill>
                    <a:blip r:embed="rId45">
                      <a:grayscl/>
                    </a:blip>
                    <a:stretch>
                      <a:fillRect/>
                    </a:stretch>
                  </pic:blipFill>
                  <pic:spPr>
                    <a:xfrm>
                      <a:off x="0" y="0"/>
                      <a:ext cx="1968500" cy="2149475"/>
                    </a:xfrm>
                    <a:prstGeom prst="rect">
                      <a:avLst/>
                    </a:prstGeom>
                    <a:noFill/>
                    <a:ln>
                      <a:noFill/>
                    </a:ln>
                  </pic:spPr>
                </pic:pic>
              </a:graphicData>
            </a:graphic>
          </wp:inline>
        </w:drawing>
      </w:r>
    </w:p>
    <w:p w14:paraId="1C167B3D">
      <w:pPr>
        <w:ind w:firstLine="560"/>
      </w:pPr>
      <w:r>
        <w:rPr>
          <w:rFonts w:hint="eastAsia"/>
        </w:rPr>
        <w:t>要求：</w:t>
      </w:r>
    </w:p>
    <w:p w14:paraId="4C83458F">
      <w:pPr>
        <w:ind w:firstLine="560"/>
      </w:pPr>
      <w:r>
        <w:rPr>
          <w:rFonts w:hint="eastAsia"/>
        </w:rPr>
        <w:t>（1）选用的配电箱应符合国家及地方要求，电器原件有生产许可证和产品合格证，使用新型二级箱；</w:t>
      </w:r>
    </w:p>
    <w:p w14:paraId="26813C31">
      <w:pPr>
        <w:ind w:firstLine="560"/>
      </w:pPr>
      <w:r>
        <w:rPr>
          <w:rFonts w:hint="eastAsia"/>
        </w:rPr>
        <w:t>（2）总配电箱、开关箱应设置漏电保护装置，总配电箱漏电保护器额定动作电流大于30mA、额定漏电动作时间大于0.1s，但其二者乘积不应大于30mA·s；开关箱漏电保护器额定动作电流不得大于30mA，额定动作时间不大于0.1s；潮湿场所开关箱漏电器保护器额定动作电流应不得大于15mA，额定动作时间不得大于0.1s；</w:t>
      </w:r>
    </w:p>
    <w:p w14:paraId="44E52070">
      <w:pPr>
        <w:ind w:firstLine="560"/>
      </w:pPr>
      <w:r>
        <w:rPr>
          <w:rFonts w:hint="eastAsia"/>
        </w:rPr>
        <w:t>（3）配电箱须注明编号、责任单位、责任人及联系电话，箱内张贴线路路及日常检查记录。</w:t>
      </w:r>
    </w:p>
    <w:p w14:paraId="782FC0F6">
      <w:pPr>
        <w:pStyle w:val="18"/>
      </w:pPr>
      <w:r>
        <w:rPr>
          <w:lang w:val="en-US" w:bidi="ar-SA"/>
        </w:rPr>
        <w:drawing>
          <wp:inline distT="0" distB="0" distL="114300" distR="114300">
            <wp:extent cx="5271770" cy="2121535"/>
            <wp:effectExtent l="0" t="0" r="5080" b="0"/>
            <wp:docPr id="3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1"/>
                    <pic:cNvPicPr>
                      <a:picLocks noChangeAspect="1"/>
                    </pic:cNvPicPr>
                  </pic:nvPicPr>
                  <pic:blipFill>
                    <a:blip r:embed="rId46">
                      <a:grayscl/>
                    </a:blip>
                    <a:stretch>
                      <a:fillRect/>
                    </a:stretch>
                  </pic:blipFill>
                  <pic:spPr>
                    <a:xfrm>
                      <a:off x="0" y="0"/>
                      <a:ext cx="5271770" cy="2121535"/>
                    </a:xfrm>
                    <a:prstGeom prst="rect">
                      <a:avLst/>
                    </a:prstGeom>
                    <a:noFill/>
                    <a:ln>
                      <a:noFill/>
                    </a:ln>
                  </pic:spPr>
                </pic:pic>
              </a:graphicData>
            </a:graphic>
          </wp:inline>
        </w:drawing>
      </w:r>
    </w:p>
    <w:p w14:paraId="13FD681A">
      <w:pPr>
        <w:ind w:firstLine="560"/>
      </w:pPr>
      <w:r>
        <w:rPr>
          <w:rFonts w:hint="eastAsia"/>
        </w:rPr>
        <w:t>要求：</w:t>
      </w:r>
    </w:p>
    <w:p w14:paraId="41D9CCA9">
      <w:pPr>
        <w:ind w:firstLine="560"/>
      </w:pPr>
      <w:r>
        <w:rPr>
          <w:rFonts w:hint="eastAsia"/>
        </w:rPr>
        <w:t>（1）固定式开关箱箱体中心距离地面垂直高度为1.5m，并使用新型开关箱；</w:t>
      </w:r>
    </w:p>
    <w:p w14:paraId="0F4B4415">
      <w:pPr>
        <w:ind w:firstLine="560"/>
      </w:pPr>
      <w:r>
        <w:rPr>
          <w:rFonts w:hint="eastAsia"/>
        </w:rPr>
        <w:t>（2）开关箱与使用的设备距离不大于3m。</w:t>
      </w:r>
    </w:p>
    <w:p w14:paraId="5E5A1113">
      <w:pPr>
        <w:ind w:firstLine="562"/>
        <w:rPr>
          <w:b/>
          <w:bCs/>
        </w:rPr>
      </w:pPr>
      <w:r>
        <w:rPr>
          <w:rFonts w:hint="eastAsia"/>
          <w:b/>
          <w:bCs/>
        </w:rPr>
        <w:t>（六）扬尘治理</w:t>
      </w:r>
    </w:p>
    <w:p w14:paraId="04D13A53">
      <w:pPr>
        <w:ind w:firstLine="560"/>
      </w:pPr>
      <w:r>
        <w:rPr>
          <w:rFonts w:hint="eastAsia"/>
        </w:rPr>
        <w:t>1.裸露土覆盖</w:t>
      </w:r>
    </w:p>
    <w:p w14:paraId="4AD65F25">
      <w:pPr>
        <w:pStyle w:val="18"/>
      </w:pPr>
      <w:r>
        <w:rPr>
          <w:lang w:val="en-US" w:bidi="ar-SA"/>
        </w:rPr>
        <w:drawing>
          <wp:inline distT="0" distB="0" distL="114300" distR="114300">
            <wp:extent cx="2016125" cy="2217420"/>
            <wp:effectExtent l="0" t="0" r="3175" b="0"/>
            <wp:docPr id="357" name="图片 32"/>
            <wp:cNvGraphicFramePr/>
            <a:graphic xmlns:a="http://schemas.openxmlformats.org/drawingml/2006/main">
              <a:graphicData uri="http://schemas.openxmlformats.org/drawingml/2006/picture">
                <pic:pic xmlns:pic="http://schemas.openxmlformats.org/drawingml/2006/picture">
                  <pic:nvPicPr>
                    <pic:cNvPr id="357" name="图片 32"/>
                    <pic:cNvPicPr/>
                  </pic:nvPicPr>
                  <pic:blipFill>
                    <a:blip r:embed="rId47">
                      <a:grayscl/>
                    </a:blip>
                    <a:stretch>
                      <a:fillRect/>
                    </a:stretch>
                  </pic:blipFill>
                  <pic:spPr>
                    <a:xfrm>
                      <a:off x="0" y="0"/>
                      <a:ext cx="2016125" cy="2217420"/>
                    </a:xfrm>
                    <a:prstGeom prst="rect">
                      <a:avLst/>
                    </a:prstGeom>
                    <a:noFill/>
                    <a:ln>
                      <a:noFill/>
                    </a:ln>
                  </pic:spPr>
                </pic:pic>
              </a:graphicData>
            </a:graphic>
          </wp:inline>
        </w:drawing>
      </w:r>
      <w:r>
        <w:rPr>
          <w:lang w:val="en-US" w:bidi="ar-SA"/>
        </w:rPr>
        <w:drawing>
          <wp:inline distT="0" distB="0" distL="114300" distR="114300">
            <wp:extent cx="3168650" cy="2217420"/>
            <wp:effectExtent l="0" t="0" r="0" b="0"/>
            <wp:docPr id="3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3"/>
                    <pic:cNvPicPr>
                      <a:picLocks noChangeAspect="1"/>
                    </pic:cNvPicPr>
                  </pic:nvPicPr>
                  <pic:blipFill>
                    <a:blip r:embed="rId48">
                      <a:grayscl/>
                    </a:blip>
                    <a:stretch>
                      <a:fillRect/>
                    </a:stretch>
                  </pic:blipFill>
                  <pic:spPr>
                    <a:xfrm>
                      <a:off x="0" y="0"/>
                      <a:ext cx="3168650" cy="2217420"/>
                    </a:xfrm>
                    <a:prstGeom prst="rect">
                      <a:avLst/>
                    </a:prstGeom>
                    <a:noFill/>
                    <a:ln>
                      <a:noFill/>
                    </a:ln>
                  </pic:spPr>
                </pic:pic>
              </a:graphicData>
            </a:graphic>
          </wp:inline>
        </w:drawing>
      </w:r>
    </w:p>
    <w:p w14:paraId="415B6770">
      <w:pPr>
        <w:ind w:firstLine="560"/>
      </w:pPr>
      <w:r>
        <w:rPr>
          <w:rFonts w:hint="eastAsia"/>
        </w:rPr>
        <w:t>要求：</w:t>
      </w:r>
    </w:p>
    <w:p w14:paraId="123B47B8">
      <w:pPr>
        <w:ind w:firstLine="560"/>
      </w:pPr>
      <w:r>
        <w:rPr>
          <w:rFonts w:hint="eastAsia"/>
        </w:rPr>
        <w:t>（1）所有裸露土方均须采取全覆盖或绿化处理；</w:t>
      </w:r>
    </w:p>
    <w:p w14:paraId="1FE4A326">
      <w:pPr>
        <w:ind w:firstLine="560"/>
      </w:pPr>
      <w:r>
        <w:rPr>
          <w:rFonts w:hint="eastAsia"/>
        </w:rPr>
        <w:t>（2）具备再利用条件的表土须集中堆放，并进行覆盖处理。</w:t>
      </w:r>
    </w:p>
    <w:p w14:paraId="37E7C3C8">
      <w:pPr>
        <w:ind w:firstLine="560"/>
      </w:pPr>
      <w:r>
        <w:rPr>
          <w:rFonts w:hint="eastAsia"/>
        </w:rPr>
        <w:t>2.现场实时降尘</w:t>
      </w:r>
    </w:p>
    <w:p w14:paraId="64F0829C">
      <w:pPr>
        <w:pStyle w:val="18"/>
      </w:pPr>
      <w:r>
        <w:rPr>
          <w:lang w:val="en-US" w:bidi="ar-SA"/>
        </w:rPr>
        <w:drawing>
          <wp:inline distT="0" distB="0" distL="114300" distR="114300">
            <wp:extent cx="2628265" cy="2162175"/>
            <wp:effectExtent l="0" t="0" r="635" b="9525"/>
            <wp:docPr id="5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34"/>
                    <pic:cNvPicPr>
                      <a:picLocks noChangeAspect="1"/>
                    </pic:cNvPicPr>
                  </pic:nvPicPr>
                  <pic:blipFill>
                    <a:blip r:embed="rId49">
                      <a:grayscl/>
                    </a:blip>
                    <a:stretch>
                      <a:fillRect/>
                    </a:stretch>
                  </pic:blipFill>
                  <pic:spPr>
                    <a:xfrm>
                      <a:off x="0" y="0"/>
                      <a:ext cx="2628265" cy="2162175"/>
                    </a:xfrm>
                    <a:prstGeom prst="rect">
                      <a:avLst/>
                    </a:prstGeom>
                    <a:noFill/>
                    <a:ln>
                      <a:noFill/>
                    </a:ln>
                  </pic:spPr>
                </pic:pic>
              </a:graphicData>
            </a:graphic>
          </wp:inline>
        </w:drawing>
      </w:r>
      <w:r>
        <w:rPr>
          <w:lang w:val="en-US" w:bidi="ar-SA"/>
        </w:rPr>
        <w:drawing>
          <wp:inline distT="0" distB="0" distL="114300" distR="114300">
            <wp:extent cx="2628265" cy="2163445"/>
            <wp:effectExtent l="0" t="0" r="635" b="8255"/>
            <wp:docPr id="359" name="图片 35"/>
            <wp:cNvGraphicFramePr/>
            <a:graphic xmlns:a="http://schemas.openxmlformats.org/drawingml/2006/main">
              <a:graphicData uri="http://schemas.openxmlformats.org/drawingml/2006/picture">
                <pic:pic xmlns:pic="http://schemas.openxmlformats.org/drawingml/2006/picture">
                  <pic:nvPicPr>
                    <pic:cNvPr id="359" name="图片 35"/>
                    <pic:cNvPicPr/>
                  </pic:nvPicPr>
                  <pic:blipFill>
                    <a:blip r:embed="rId50">
                      <a:grayscl/>
                    </a:blip>
                    <a:stretch>
                      <a:fillRect/>
                    </a:stretch>
                  </pic:blipFill>
                  <pic:spPr>
                    <a:xfrm>
                      <a:off x="0" y="0"/>
                      <a:ext cx="2628265" cy="2163445"/>
                    </a:xfrm>
                    <a:prstGeom prst="rect">
                      <a:avLst/>
                    </a:prstGeom>
                    <a:noFill/>
                    <a:ln>
                      <a:noFill/>
                    </a:ln>
                  </pic:spPr>
                </pic:pic>
              </a:graphicData>
            </a:graphic>
          </wp:inline>
        </w:drawing>
      </w:r>
    </w:p>
    <w:p w14:paraId="275783D3">
      <w:pPr>
        <w:ind w:firstLine="560"/>
      </w:pPr>
      <w:r>
        <w:rPr>
          <w:rFonts w:hint="eastAsia"/>
        </w:rPr>
        <w:t>要求：</w:t>
      </w:r>
    </w:p>
    <w:p w14:paraId="6E9899F6">
      <w:pPr>
        <w:ind w:firstLine="560"/>
      </w:pPr>
      <w:r>
        <w:rPr>
          <w:rFonts w:hint="eastAsia"/>
        </w:rPr>
        <w:t>（1）施工现场配备洒水车、雾炮机/车，定时对施工便道进行洒水，抑制扬尘。</w:t>
      </w:r>
    </w:p>
    <w:p w14:paraId="2515A980">
      <w:pPr>
        <w:ind w:firstLine="560"/>
      </w:pPr>
      <w:r>
        <w:rPr>
          <w:rFonts w:hint="eastAsia"/>
        </w:rPr>
        <w:t>（2）施工过程中，应及时对车辆、机械进行喷雾降尘。</w:t>
      </w:r>
    </w:p>
    <w:p w14:paraId="28FE0343">
      <w:pPr>
        <w:ind w:firstLine="560"/>
      </w:pPr>
      <w:r>
        <w:rPr>
          <w:rFonts w:hint="eastAsia"/>
        </w:rPr>
        <w:t>（3）所有车辆、机械出场前及工后均应进行冲洗处理，载土车辆需按要求进行覆盖封闭，禁止拖泥带水污染场外。</w:t>
      </w:r>
    </w:p>
    <w:p w14:paraId="00753D02">
      <w:pPr>
        <w:ind w:firstLine="560"/>
      </w:pPr>
      <w:r>
        <w:rPr>
          <w:rFonts w:hint="eastAsia"/>
        </w:rPr>
        <w:t>3.监测系统</w:t>
      </w:r>
    </w:p>
    <w:p w14:paraId="197C219C">
      <w:pPr>
        <w:pStyle w:val="18"/>
        <w:rPr>
          <w:lang w:val="en-US"/>
        </w:rPr>
      </w:pPr>
      <w:r>
        <w:rPr>
          <w:lang w:val="en-US" w:bidi="ar-SA"/>
        </w:rPr>
        <w:drawing>
          <wp:inline distT="0" distB="0" distL="114300" distR="114300">
            <wp:extent cx="2169795" cy="2584450"/>
            <wp:effectExtent l="0" t="0" r="1905" b="6350"/>
            <wp:docPr id="36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
                    <pic:cNvPicPr>
                      <a:picLocks noChangeAspect="1"/>
                    </pic:cNvPicPr>
                  </pic:nvPicPr>
                  <pic:blipFill>
                    <a:blip r:embed="rId51">
                      <a:grayscl/>
                    </a:blip>
                    <a:stretch>
                      <a:fillRect/>
                    </a:stretch>
                  </pic:blipFill>
                  <pic:spPr>
                    <a:xfrm>
                      <a:off x="0" y="0"/>
                      <a:ext cx="2169795" cy="2584450"/>
                    </a:xfrm>
                    <a:prstGeom prst="rect">
                      <a:avLst/>
                    </a:prstGeom>
                    <a:noFill/>
                    <a:ln>
                      <a:noFill/>
                    </a:ln>
                  </pic:spPr>
                </pic:pic>
              </a:graphicData>
            </a:graphic>
          </wp:inline>
        </w:drawing>
      </w:r>
    </w:p>
    <w:p w14:paraId="737839EA">
      <w:pPr>
        <w:ind w:firstLine="560"/>
      </w:pPr>
      <w:r>
        <w:rPr>
          <w:rFonts w:hint="eastAsia"/>
        </w:rPr>
        <w:t>要求：</w:t>
      </w:r>
    </w:p>
    <w:p w14:paraId="36C2BA34">
      <w:pPr>
        <w:ind w:firstLine="560"/>
      </w:pPr>
      <w:r>
        <w:rPr>
          <w:rFonts w:hint="eastAsia"/>
        </w:rPr>
        <w:t>（1）施工现场、堆土场均设置扬尘监控设备，对现场环境进行实时监控；</w:t>
      </w:r>
    </w:p>
    <w:p w14:paraId="0D89A8F9">
      <w:pPr>
        <w:ind w:firstLine="560"/>
      </w:pPr>
      <w:r>
        <w:rPr>
          <w:rFonts w:hint="eastAsia"/>
        </w:rPr>
        <w:t>（2）当数值异常时及时采取措施。</w:t>
      </w:r>
    </w:p>
    <w:p w14:paraId="1D5B999E">
      <w:pPr>
        <w:pStyle w:val="5"/>
        <w:spacing w:before="31" w:after="31"/>
        <w:ind w:firstLine="562"/>
      </w:pPr>
      <w:bookmarkStart w:id="4440" w:name="_Toc803"/>
      <w:bookmarkStart w:id="4441" w:name="_Toc31917"/>
      <w:bookmarkStart w:id="4442" w:name="_Toc19831"/>
      <w:bookmarkStart w:id="4443" w:name="_Toc907"/>
      <w:bookmarkStart w:id="4444" w:name="_Toc5099"/>
      <w:bookmarkStart w:id="4445" w:name="_Toc1603"/>
      <w:bookmarkStart w:id="4446" w:name="_Toc3527"/>
      <w:bookmarkStart w:id="4447" w:name="_Toc235"/>
      <w:bookmarkStart w:id="4448" w:name="_Toc6496"/>
      <w:bookmarkStart w:id="4449" w:name="_Toc18876"/>
      <w:bookmarkStart w:id="4450" w:name="_Toc17059"/>
      <w:bookmarkStart w:id="4451" w:name="_Toc26377"/>
      <w:bookmarkStart w:id="4452" w:name="_Toc17311"/>
      <w:bookmarkStart w:id="4453" w:name="_Toc31505"/>
      <w:bookmarkStart w:id="4454" w:name="_Toc20828"/>
      <w:bookmarkStart w:id="4455" w:name="_Toc593"/>
      <w:bookmarkStart w:id="4456" w:name="_Toc10145"/>
      <w:bookmarkStart w:id="4457" w:name="_Toc11650"/>
      <w:bookmarkStart w:id="4458" w:name="_Toc2343"/>
      <w:bookmarkStart w:id="4459" w:name="_Toc16506"/>
      <w:r>
        <w:rPr>
          <w:rFonts w:hint="eastAsia"/>
        </w:rPr>
        <w:t>（二）办公及生活区</w:t>
      </w:r>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p>
    <w:p w14:paraId="6D3806E0">
      <w:pPr>
        <w:ind w:firstLine="562"/>
        <w:rPr>
          <w:b/>
          <w:bCs/>
        </w:rPr>
      </w:pPr>
      <w:r>
        <w:rPr>
          <w:rFonts w:hint="eastAsia"/>
          <w:b/>
          <w:bCs/>
        </w:rPr>
        <w:t>（一）主入口</w:t>
      </w:r>
    </w:p>
    <w:p w14:paraId="2BB7AA2D">
      <w:pPr>
        <w:pStyle w:val="18"/>
      </w:pPr>
      <w:r>
        <w:rPr>
          <w:lang w:val="en-US" w:bidi="ar-SA"/>
        </w:rPr>
        <w:drawing>
          <wp:inline distT="0" distB="0" distL="114300" distR="114300">
            <wp:extent cx="5270500" cy="3190875"/>
            <wp:effectExtent l="0" t="0" r="6350" b="9525"/>
            <wp:docPr id="11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7"/>
                    <pic:cNvPicPr>
                      <a:picLocks noChangeAspect="1"/>
                    </pic:cNvPicPr>
                  </pic:nvPicPr>
                  <pic:blipFill>
                    <a:blip r:embed="rId52">
                      <a:grayscl/>
                    </a:blip>
                    <a:stretch>
                      <a:fillRect/>
                    </a:stretch>
                  </pic:blipFill>
                  <pic:spPr>
                    <a:xfrm>
                      <a:off x="0" y="0"/>
                      <a:ext cx="5270500" cy="3190875"/>
                    </a:xfrm>
                    <a:prstGeom prst="rect">
                      <a:avLst/>
                    </a:prstGeom>
                    <a:noFill/>
                    <a:ln>
                      <a:noFill/>
                    </a:ln>
                  </pic:spPr>
                </pic:pic>
              </a:graphicData>
            </a:graphic>
          </wp:inline>
        </w:drawing>
      </w:r>
    </w:p>
    <w:p w14:paraId="507DB04D">
      <w:pPr>
        <w:ind w:firstLine="560"/>
      </w:pPr>
      <w:r>
        <w:rPr>
          <w:rFonts w:hint="eastAsia"/>
        </w:rPr>
        <w:t>要求：</w:t>
      </w:r>
    </w:p>
    <w:p w14:paraId="0CF4F8D7">
      <w:pPr>
        <w:ind w:firstLine="560"/>
      </w:pPr>
      <w:r>
        <w:rPr>
          <w:rFonts w:hint="eastAsia"/>
        </w:rPr>
        <w:t>（1）门宽10m，总高6.5m，净宽8m，净高5m，分为两开门或四开门；</w:t>
      </w:r>
    </w:p>
    <w:p w14:paraId="632E4E7D">
      <w:pPr>
        <w:ind w:firstLine="560"/>
      </w:pPr>
      <w:r>
        <w:rPr>
          <w:rFonts w:hint="eastAsia"/>
        </w:rPr>
        <w:t>（2）门柱截面为1m×1m，钢结构主体架，外封彩钢板或薄铁板；</w:t>
      </w:r>
    </w:p>
    <w:p w14:paraId="6D0DF8B8">
      <w:pPr>
        <w:ind w:firstLine="560"/>
      </w:pPr>
      <w:r>
        <w:rPr>
          <w:rFonts w:hint="eastAsia"/>
        </w:rPr>
        <w:t>（3）不得在大门上开设小门，小门须设置在门柱左侧或右侧；</w:t>
      </w:r>
    </w:p>
    <w:p w14:paraId="4C08E9D9">
      <w:pPr>
        <w:ind w:firstLine="560"/>
      </w:pPr>
      <w:r>
        <w:rPr>
          <w:rFonts w:hint="eastAsia"/>
        </w:rPr>
        <w:t>（4）在大门两侧设置高于5m的企业品牌墙展示数量根据实际条件，体现企业文化、工程名称及工程概况等信息。</w:t>
      </w:r>
    </w:p>
    <w:p w14:paraId="68464039">
      <w:pPr>
        <w:ind w:firstLine="562"/>
        <w:rPr>
          <w:b/>
          <w:bCs/>
        </w:rPr>
      </w:pPr>
      <w:r>
        <w:rPr>
          <w:rFonts w:hint="eastAsia"/>
          <w:b/>
          <w:bCs/>
        </w:rPr>
        <w:t>（二）临建高度及风格</w:t>
      </w:r>
    </w:p>
    <w:p w14:paraId="4ABB43B3">
      <w:pPr>
        <w:ind w:firstLine="560"/>
      </w:pPr>
      <w:r>
        <w:rPr>
          <w:rFonts w:hint="eastAsia"/>
        </w:rPr>
        <w:t>要求：</w:t>
      </w:r>
    </w:p>
    <w:p w14:paraId="5E625E78">
      <w:pPr>
        <w:ind w:firstLine="560"/>
      </w:pPr>
      <w:r>
        <w:rPr>
          <w:rFonts w:hint="eastAsia"/>
        </w:rPr>
        <w:t>（1）若采用租赁临时用地自行建设的，临时用地占地面积不小于5亩，其中办公用房不小于400m</w:t>
      </w:r>
      <w:r>
        <w:rPr>
          <w:rFonts w:hint="eastAsia"/>
          <w:vertAlign w:val="superscript"/>
        </w:rPr>
        <w:t>2</w:t>
      </w:r>
      <w:r>
        <w:rPr>
          <w:rFonts w:hint="eastAsia"/>
        </w:rPr>
        <w:t>，会议室面积不小于80m</w:t>
      </w:r>
      <w:r>
        <w:rPr>
          <w:rFonts w:hint="eastAsia"/>
          <w:vertAlign w:val="superscript"/>
        </w:rPr>
        <w:t>2</w:t>
      </w:r>
      <w:r>
        <w:rPr>
          <w:rFonts w:hint="eastAsia"/>
        </w:rPr>
        <w:t>，并根据需求设置党建活动室。临时建筑原则采用徽式风格和现代坡屋顶形式，以美观大方实用为主；办公区用房宜采用1层层高，生活区用房层高不大于2层，围挡采用夹芯板等硬质围挡。</w:t>
      </w:r>
    </w:p>
    <w:p w14:paraId="716F1B64">
      <w:pPr>
        <w:ind w:firstLine="560"/>
      </w:pPr>
      <w:r>
        <w:rPr>
          <w:rFonts w:hint="eastAsia"/>
        </w:rPr>
        <w:t>（2）若采用租赁民房的，办公用房不小于400m</w:t>
      </w:r>
      <w:r>
        <w:rPr>
          <w:rFonts w:hint="eastAsia"/>
          <w:vertAlign w:val="superscript"/>
        </w:rPr>
        <w:t>2</w:t>
      </w:r>
      <w:r>
        <w:rPr>
          <w:rFonts w:hint="eastAsia"/>
        </w:rPr>
        <w:t>，会议室面积不小于80m</w:t>
      </w:r>
      <w:r>
        <w:rPr>
          <w:rFonts w:hint="eastAsia"/>
          <w:vertAlign w:val="superscript"/>
        </w:rPr>
        <w:t>2</w:t>
      </w:r>
      <w:r>
        <w:rPr>
          <w:rFonts w:hint="eastAsia"/>
        </w:rPr>
        <w:t>，并根据需求设置党建活动室。</w:t>
      </w:r>
    </w:p>
    <w:p w14:paraId="3E1F1C7C">
      <w:pPr>
        <w:pStyle w:val="18"/>
      </w:pPr>
      <w:r>
        <w:rPr>
          <w:lang w:val="en-US" w:bidi="ar-SA"/>
        </w:rPr>
        <w:drawing>
          <wp:inline distT="0" distB="0" distL="114300" distR="114300">
            <wp:extent cx="2628265" cy="1965325"/>
            <wp:effectExtent l="0" t="0" r="635" b="0"/>
            <wp:docPr id="119" name="图片 38"/>
            <wp:cNvGraphicFramePr/>
            <a:graphic xmlns:a="http://schemas.openxmlformats.org/drawingml/2006/main">
              <a:graphicData uri="http://schemas.openxmlformats.org/drawingml/2006/picture">
                <pic:pic xmlns:pic="http://schemas.openxmlformats.org/drawingml/2006/picture">
                  <pic:nvPicPr>
                    <pic:cNvPr id="119" name="图片 38"/>
                    <pic:cNvPicPr/>
                  </pic:nvPicPr>
                  <pic:blipFill>
                    <a:blip r:embed="rId53">
                      <a:grayscl/>
                    </a:blip>
                    <a:stretch>
                      <a:fillRect/>
                    </a:stretch>
                  </pic:blipFill>
                  <pic:spPr>
                    <a:xfrm>
                      <a:off x="0" y="0"/>
                      <a:ext cx="2628265" cy="1965325"/>
                    </a:xfrm>
                    <a:prstGeom prst="rect">
                      <a:avLst/>
                    </a:prstGeom>
                    <a:noFill/>
                    <a:ln>
                      <a:noFill/>
                    </a:ln>
                  </pic:spPr>
                </pic:pic>
              </a:graphicData>
            </a:graphic>
          </wp:inline>
        </w:drawing>
      </w:r>
      <w:r>
        <w:rPr>
          <w:rFonts w:hint="eastAsia"/>
          <w:lang w:val="en-US" w:bidi="ar-SA"/>
        </w:rPr>
        <w:drawing>
          <wp:inline distT="0" distB="0" distL="114300" distR="114300">
            <wp:extent cx="2628900" cy="1971675"/>
            <wp:effectExtent l="0" t="0" r="0" b="9525"/>
            <wp:docPr id="859" name="图片 859" descr="166744155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859" descr="1667441557536"/>
                    <pic:cNvPicPr>
                      <a:picLocks noChangeAspect="1"/>
                    </pic:cNvPicPr>
                  </pic:nvPicPr>
                  <pic:blipFill>
                    <a:blip r:embed="rId54">
                      <a:grayscl/>
                    </a:blip>
                    <a:stretch>
                      <a:fillRect/>
                    </a:stretch>
                  </pic:blipFill>
                  <pic:spPr>
                    <a:xfrm>
                      <a:off x="0" y="0"/>
                      <a:ext cx="2628900" cy="1971675"/>
                    </a:xfrm>
                    <a:prstGeom prst="rect">
                      <a:avLst/>
                    </a:prstGeom>
                  </pic:spPr>
                </pic:pic>
              </a:graphicData>
            </a:graphic>
          </wp:inline>
        </w:drawing>
      </w:r>
    </w:p>
    <w:p w14:paraId="65F518AF">
      <w:pPr>
        <w:ind w:firstLine="562"/>
        <w:rPr>
          <w:b/>
          <w:bCs/>
        </w:rPr>
      </w:pPr>
      <w:r>
        <w:rPr>
          <w:rFonts w:hint="eastAsia"/>
          <w:b/>
          <w:bCs/>
        </w:rPr>
        <w:t>（三）起居生活</w:t>
      </w:r>
    </w:p>
    <w:p w14:paraId="2442128E">
      <w:pPr>
        <w:pStyle w:val="18"/>
      </w:pPr>
      <w:r>
        <w:rPr>
          <w:lang w:val="en-US" w:bidi="ar-SA"/>
        </w:rPr>
        <w:drawing>
          <wp:inline distT="0" distB="0" distL="114300" distR="114300">
            <wp:extent cx="2628265" cy="2519045"/>
            <wp:effectExtent l="0" t="0" r="635" b="0"/>
            <wp:docPr id="12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0"/>
                    <pic:cNvPicPr>
                      <a:picLocks noChangeAspect="1"/>
                    </pic:cNvPicPr>
                  </pic:nvPicPr>
                  <pic:blipFill>
                    <a:blip r:embed="rId55">
                      <a:grayscl/>
                    </a:blip>
                    <a:stretch>
                      <a:fillRect/>
                    </a:stretch>
                  </pic:blipFill>
                  <pic:spPr>
                    <a:xfrm>
                      <a:off x="0" y="0"/>
                      <a:ext cx="2628265" cy="2519045"/>
                    </a:xfrm>
                    <a:prstGeom prst="rect">
                      <a:avLst/>
                    </a:prstGeom>
                    <a:noFill/>
                    <a:ln>
                      <a:noFill/>
                    </a:ln>
                  </pic:spPr>
                </pic:pic>
              </a:graphicData>
            </a:graphic>
          </wp:inline>
        </w:drawing>
      </w:r>
      <w:r>
        <w:rPr>
          <w:lang w:val="en-US" w:bidi="ar-SA"/>
        </w:rPr>
        <w:drawing>
          <wp:inline distT="0" distB="0" distL="114300" distR="114300">
            <wp:extent cx="2628265" cy="2520315"/>
            <wp:effectExtent l="0" t="0" r="635" b="0"/>
            <wp:docPr id="364" name="图片 41"/>
            <wp:cNvGraphicFramePr/>
            <a:graphic xmlns:a="http://schemas.openxmlformats.org/drawingml/2006/main">
              <a:graphicData uri="http://schemas.openxmlformats.org/drawingml/2006/picture">
                <pic:pic xmlns:pic="http://schemas.openxmlformats.org/drawingml/2006/picture">
                  <pic:nvPicPr>
                    <pic:cNvPr id="364" name="图片 41"/>
                    <pic:cNvPicPr/>
                  </pic:nvPicPr>
                  <pic:blipFill>
                    <a:blip r:embed="rId56">
                      <a:grayscl/>
                    </a:blip>
                    <a:stretch>
                      <a:fillRect/>
                    </a:stretch>
                  </pic:blipFill>
                  <pic:spPr>
                    <a:xfrm>
                      <a:off x="0" y="0"/>
                      <a:ext cx="2628265" cy="2520315"/>
                    </a:xfrm>
                    <a:prstGeom prst="rect">
                      <a:avLst/>
                    </a:prstGeom>
                    <a:noFill/>
                    <a:ln>
                      <a:noFill/>
                    </a:ln>
                  </pic:spPr>
                </pic:pic>
              </a:graphicData>
            </a:graphic>
          </wp:inline>
        </w:drawing>
      </w:r>
    </w:p>
    <w:p w14:paraId="30031A09">
      <w:pPr>
        <w:ind w:firstLine="560"/>
      </w:pPr>
      <w:r>
        <w:rPr>
          <w:rFonts w:hint="eastAsia"/>
        </w:rPr>
        <w:t>要求：</w:t>
      </w:r>
    </w:p>
    <w:p w14:paraId="3E1F82F1">
      <w:pPr>
        <w:ind w:firstLine="560"/>
      </w:pPr>
      <w:r>
        <w:rPr>
          <w:rFonts w:hint="eastAsia"/>
        </w:rPr>
        <w:t>（1）每间房间必须安装空调保暖防暑；</w:t>
      </w:r>
    </w:p>
    <w:p w14:paraId="34A653B8">
      <w:pPr>
        <w:ind w:firstLine="560"/>
      </w:pPr>
      <w:r>
        <w:rPr>
          <w:rFonts w:hint="eastAsia"/>
        </w:rPr>
        <w:t>（2）设置集中的洗衣房和淋浴房，有条件的可在房间内设置单独的洗衣房和沐浴房；</w:t>
      </w:r>
    </w:p>
    <w:p w14:paraId="41981C6C">
      <w:pPr>
        <w:ind w:firstLine="560"/>
      </w:pPr>
      <w:r>
        <w:rPr>
          <w:rFonts w:hint="eastAsia"/>
        </w:rPr>
        <w:t>（3）厕所采用自动冲水系统，并安排专职保洁员负责清理，厕所及淋浴间地面必须铺贴瓷砖，采用必要的隔断措施，保证蹲位、小便池数量满足使用要求。</w:t>
      </w:r>
    </w:p>
    <w:p w14:paraId="6B66E6AF">
      <w:pPr>
        <w:ind w:firstLine="562"/>
        <w:rPr>
          <w:b/>
          <w:bCs/>
        </w:rPr>
      </w:pPr>
      <w:r>
        <w:rPr>
          <w:rFonts w:hint="eastAsia"/>
          <w:b/>
          <w:bCs/>
        </w:rPr>
        <w:t>（四）食堂</w:t>
      </w:r>
    </w:p>
    <w:p w14:paraId="556E2AC5">
      <w:pPr>
        <w:pStyle w:val="18"/>
      </w:pPr>
      <w:r>
        <w:rPr>
          <w:lang w:val="en-US" w:bidi="ar-SA"/>
        </w:rPr>
        <w:drawing>
          <wp:inline distT="0" distB="0" distL="114300" distR="114300">
            <wp:extent cx="2628265" cy="2030095"/>
            <wp:effectExtent l="0" t="0" r="635" b="8255"/>
            <wp:docPr id="121" name="图片 42"/>
            <wp:cNvGraphicFramePr/>
            <a:graphic xmlns:a="http://schemas.openxmlformats.org/drawingml/2006/main">
              <a:graphicData uri="http://schemas.openxmlformats.org/drawingml/2006/picture">
                <pic:pic xmlns:pic="http://schemas.openxmlformats.org/drawingml/2006/picture">
                  <pic:nvPicPr>
                    <pic:cNvPr id="121" name="图片 42"/>
                    <pic:cNvPicPr/>
                  </pic:nvPicPr>
                  <pic:blipFill>
                    <a:blip r:embed="rId57">
                      <a:grayscl/>
                    </a:blip>
                    <a:stretch>
                      <a:fillRect/>
                    </a:stretch>
                  </pic:blipFill>
                  <pic:spPr>
                    <a:xfrm>
                      <a:off x="0" y="0"/>
                      <a:ext cx="2628265" cy="2030095"/>
                    </a:xfrm>
                    <a:prstGeom prst="rect">
                      <a:avLst/>
                    </a:prstGeom>
                    <a:noFill/>
                    <a:ln>
                      <a:noFill/>
                    </a:ln>
                  </pic:spPr>
                </pic:pic>
              </a:graphicData>
            </a:graphic>
          </wp:inline>
        </w:drawing>
      </w:r>
      <w:r>
        <w:rPr>
          <w:lang w:val="en-US" w:bidi="ar-SA"/>
        </w:rPr>
        <w:drawing>
          <wp:inline distT="0" distB="0" distL="114300" distR="114300">
            <wp:extent cx="2628265" cy="2028825"/>
            <wp:effectExtent l="0" t="0" r="635" b="9525"/>
            <wp:docPr id="12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3"/>
                    <pic:cNvPicPr>
                      <a:picLocks noChangeAspect="1"/>
                    </pic:cNvPicPr>
                  </pic:nvPicPr>
                  <pic:blipFill>
                    <a:blip r:embed="rId58">
                      <a:grayscl/>
                    </a:blip>
                    <a:stretch>
                      <a:fillRect/>
                    </a:stretch>
                  </pic:blipFill>
                  <pic:spPr>
                    <a:xfrm>
                      <a:off x="0" y="0"/>
                      <a:ext cx="2628265" cy="2028825"/>
                    </a:xfrm>
                    <a:prstGeom prst="rect">
                      <a:avLst/>
                    </a:prstGeom>
                    <a:noFill/>
                    <a:ln>
                      <a:noFill/>
                    </a:ln>
                  </pic:spPr>
                </pic:pic>
              </a:graphicData>
            </a:graphic>
          </wp:inline>
        </w:drawing>
      </w:r>
    </w:p>
    <w:p w14:paraId="1FF0B3B2">
      <w:pPr>
        <w:ind w:firstLine="560"/>
      </w:pPr>
      <w:r>
        <w:rPr>
          <w:rFonts w:hint="eastAsia"/>
        </w:rPr>
        <w:t>要求：</w:t>
      </w:r>
    </w:p>
    <w:p w14:paraId="181D8077">
      <w:pPr>
        <w:ind w:firstLine="560"/>
      </w:pPr>
      <w:r>
        <w:rPr>
          <w:rFonts w:hint="eastAsia"/>
        </w:rPr>
        <w:t>（1）食堂必须干净明亮，必须有卫生许可证，炊事人员必须持身体健康证上岗；</w:t>
      </w:r>
    </w:p>
    <w:p w14:paraId="01AF2E0B">
      <w:pPr>
        <w:ind w:firstLine="560"/>
      </w:pPr>
      <w:r>
        <w:rPr>
          <w:rFonts w:hint="eastAsia"/>
        </w:rPr>
        <w:t>（2）食堂应配备消毒、冷藏和排风设施，生熟食必需分开操作；</w:t>
      </w:r>
    </w:p>
    <w:p w14:paraId="5D25FE74">
      <w:pPr>
        <w:ind w:firstLine="560"/>
      </w:pPr>
      <w:r>
        <w:rPr>
          <w:rFonts w:hint="eastAsia"/>
        </w:rPr>
        <w:t>（3）食堂必须配备纱门、纱窗、纱罩，并配备灭蚊蝇设备，确保无蚊蝇；</w:t>
      </w:r>
    </w:p>
    <w:p w14:paraId="18BAB4A0">
      <w:pPr>
        <w:ind w:firstLine="562"/>
        <w:rPr>
          <w:b/>
          <w:bCs/>
        </w:rPr>
      </w:pPr>
      <w:r>
        <w:rPr>
          <w:rFonts w:hint="eastAsia"/>
          <w:b/>
          <w:bCs/>
        </w:rPr>
        <w:t>（五）临时用电及消防设施</w:t>
      </w:r>
    </w:p>
    <w:p w14:paraId="2DD1B86B">
      <w:pPr>
        <w:ind w:firstLine="560"/>
      </w:pPr>
      <w:r>
        <w:rPr>
          <w:rFonts w:hint="eastAsia"/>
        </w:rPr>
        <w:t>要求：</w:t>
      </w:r>
    </w:p>
    <w:p w14:paraId="56FB4119">
      <w:pPr>
        <w:ind w:firstLine="560"/>
      </w:pPr>
      <w:r>
        <w:rPr>
          <w:rFonts w:hint="eastAsia"/>
        </w:rPr>
        <w:t>（1）生活区内应设置相应的应急照明设施；</w:t>
      </w:r>
    </w:p>
    <w:p w14:paraId="0B1DB6FE">
      <w:pPr>
        <w:ind w:firstLine="560"/>
      </w:pPr>
      <w:r>
        <w:rPr>
          <w:rFonts w:hint="eastAsia"/>
        </w:rPr>
        <w:t>（2）宿舍内不得设置超过36V的插座，避免房间内使用大功率电器；</w:t>
      </w:r>
    </w:p>
    <w:p w14:paraId="6D71D2A4">
      <w:pPr>
        <w:ind w:firstLine="560"/>
      </w:pPr>
      <w:r>
        <w:rPr>
          <w:rFonts w:hint="eastAsia"/>
        </w:rPr>
        <w:t>（3）生活区内必须配备足够数量的灭火器材，并合理布置。</w:t>
      </w:r>
    </w:p>
    <w:p w14:paraId="0C054BBF">
      <w:pPr>
        <w:pStyle w:val="18"/>
      </w:pPr>
      <w:r>
        <w:rPr>
          <w:lang w:val="en-US" w:bidi="ar-SA"/>
        </w:rPr>
        <w:drawing>
          <wp:inline distT="0" distB="0" distL="114300" distR="114300">
            <wp:extent cx="2628265" cy="3580765"/>
            <wp:effectExtent l="0" t="0" r="635" b="635"/>
            <wp:docPr id="12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4"/>
                    <pic:cNvPicPr>
                      <a:picLocks noChangeAspect="1"/>
                    </pic:cNvPicPr>
                  </pic:nvPicPr>
                  <pic:blipFill>
                    <a:blip r:embed="rId59">
                      <a:grayscl/>
                    </a:blip>
                    <a:stretch>
                      <a:fillRect/>
                    </a:stretch>
                  </pic:blipFill>
                  <pic:spPr>
                    <a:xfrm>
                      <a:off x="0" y="0"/>
                      <a:ext cx="2628265" cy="3580765"/>
                    </a:xfrm>
                    <a:prstGeom prst="rect">
                      <a:avLst/>
                    </a:prstGeom>
                    <a:noFill/>
                    <a:ln>
                      <a:noFill/>
                    </a:ln>
                  </pic:spPr>
                </pic:pic>
              </a:graphicData>
            </a:graphic>
          </wp:inline>
        </w:drawing>
      </w:r>
      <w:r>
        <w:rPr>
          <w:lang w:val="en-US" w:bidi="ar-SA"/>
        </w:rPr>
        <w:drawing>
          <wp:inline distT="0" distB="0" distL="114300" distR="114300">
            <wp:extent cx="2628265" cy="3582035"/>
            <wp:effectExtent l="0" t="0" r="635" b="0"/>
            <wp:docPr id="124" name="图片 45"/>
            <wp:cNvGraphicFramePr/>
            <a:graphic xmlns:a="http://schemas.openxmlformats.org/drawingml/2006/main">
              <a:graphicData uri="http://schemas.openxmlformats.org/drawingml/2006/picture">
                <pic:pic xmlns:pic="http://schemas.openxmlformats.org/drawingml/2006/picture">
                  <pic:nvPicPr>
                    <pic:cNvPr id="124" name="图片 45"/>
                    <pic:cNvPicPr/>
                  </pic:nvPicPr>
                  <pic:blipFill>
                    <a:blip r:embed="rId60">
                      <a:grayscl/>
                    </a:blip>
                    <a:stretch>
                      <a:fillRect/>
                    </a:stretch>
                  </pic:blipFill>
                  <pic:spPr>
                    <a:xfrm>
                      <a:off x="0" y="0"/>
                      <a:ext cx="2628265" cy="3582035"/>
                    </a:xfrm>
                    <a:prstGeom prst="rect">
                      <a:avLst/>
                    </a:prstGeom>
                    <a:noFill/>
                    <a:ln>
                      <a:noFill/>
                    </a:ln>
                  </pic:spPr>
                </pic:pic>
              </a:graphicData>
            </a:graphic>
          </wp:inline>
        </w:drawing>
      </w:r>
    </w:p>
    <w:p w14:paraId="6A04DA35">
      <w:pPr>
        <w:ind w:firstLine="562"/>
        <w:rPr>
          <w:b/>
          <w:bCs/>
        </w:rPr>
      </w:pPr>
      <w:r>
        <w:rPr>
          <w:rFonts w:hint="eastAsia"/>
          <w:b/>
          <w:bCs/>
        </w:rPr>
        <w:t>（六）交通工具停放区</w:t>
      </w:r>
    </w:p>
    <w:p w14:paraId="1309EBFC">
      <w:pPr>
        <w:pStyle w:val="18"/>
      </w:pPr>
      <w:r>
        <w:rPr>
          <w:lang w:val="en-US" w:bidi="ar-SA"/>
        </w:rPr>
        <w:drawing>
          <wp:inline distT="0" distB="0" distL="114300" distR="114300">
            <wp:extent cx="5271770" cy="3054350"/>
            <wp:effectExtent l="0" t="0" r="5080" b="0"/>
            <wp:docPr id="12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6"/>
                    <pic:cNvPicPr>
                      <a:picLocks noChangeAspect="1"/>
                    </pic:cNvPicPr>
                  </pic:nvPicPr>
                  <pic:blipFill>
                    <a:blip r:embed="rId61">
                      <a:grayscl/>
                    </a:blip>
                    <a:stretch>
                      <a:fillRect/>
                    </a:stretch>
                  </pic:blipFill>
                  <pic:spPr>
                    <a:xfrm>
                      <a:off x="0" y="0"/>
                      <a:ext cx="5271770" cy="3054350"/>
                    </a:xfrm>
                    <a:prstGeom prst="rect">
                      <a:avLst/>
                    </a:prstGeom>
                    <a:noFill/>
                    <a:ln>
                      <a:noFill/>
                    </a:ln>
                  </pic:spPr>
                </pic:pic>
              </a:graphicData>
            </a:graphic>
          </wp:inline>
        </w:drawing>
      </w:r>
    </w:p>
    <w:p w14:paraId="26BC3538">
      <w:pPr>
        <w:ind w:firstLine="560"/>
      </w:pPr>
      <w:r>
        <w:rPr>
          <w:rFonts w:hint="eastAsia"/>
        </w:rPr>
        <w:t>要求：</w:t>
      </w:r>
    </w:p>
    <w:p w14:paraId="2F6F67E1">
      <w:pPr>
        <w:ind w:firstLine="560"/>
      </w:pPr>
      <w:r>
        <w:rPr>
          <w:rFonts w:hint="eastAsia"/>
        </w:rPr>
        <w:t>设置电动车、摩托车停放区，并配备充电设施。</w:t>
      </w:r>
    </w:p>
    <w:p w14:paraId="03F8FDD8">
      <w:pPr>
        <w:ind w:firstLine="562"/>
        <w:rPr>
          <w:b/>
          <w:bCs/>
        </w:rPr>
      </w:pPr>
      <w:r>
        <w:rPr>
          <w:rFonts w:hint="eastAsia"/>
          <w:b/>
          <w:bCs/>
        </w:rPr>
        <w:t>（七）农民工学校</w:t>
      </w:r>
    </w:p>
    <w:p w14:paraId="00B21902">
      <w:pPr>
        <w:ind w:firstLine="560"/>
      </w:pPr>
      <w:r>
        <w:rPr>
          <w:rFonts w:hint="eastAsia"/>
        </w:rPr>
        <w:t>要求：</w:t>
      </w:r>
    </w:p>
    <w:p w14:paraId="0559DEE6">
      <w:pPr>
        <w:ind w:firstLine="560"/>
      </w:pPr>
      <w:r>
        <w:rPr>
          <w:rFonts w:hint="eastAsia"/>
        </w:rPr>
        <w:t>（1）职工生活区需设置农民工学校，活动板房不少于2间（至少配备30套桌椅）；</w:t>
      </w:r>
    </w:p>
    <w:p w14:paraId="545A762F">
      <w:pPr>
        <w:ind w:firstLine="560"/>
      </w:pPr>
      <w:r>
        <w:rPr>
          <w:rFonts w:hint="eastAsia"/>
        </w:rPr>
        <w:t>（2）农民工学校可兼作职工娱乐室，应配置空调、电视等。</w:t>
      </w:r>
    </w:p>
    <w:p w14:paraId="67A604B2">
      <w:pPr>
        <w:pStyle w:val="18"/>
      </w:pPr>
      <w:r>
        <w:rPr>
          <w:lang w:val="en-US" w:bidi="ar-SA"/>
        </w:rPr>
        <w:drawing>
          <wp:inline distT="0" distB="0" distL="114300" distR="114300">
            <wp:extent cx="2628900" cy="1943100"/>
            <wp:effectExtent l="0" t="0" r="0" b="0"/>
            <wp:docPr id="860" name="图片 860" descr="166744161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860" descr="1667441615655"/>
                    <pic:cNvPicPr>
                      <a:picLocks noChangeAspect="1"/>
                    </pic:cNvPicPr>
                  </pic:nvPicPr>
                  <pic:blipFill>
                    <a:blip r:embed="rId62">
                      <a:grayscl/>
                    </a:blip>
                    <a:stretch>
                      <a:fillRect/>
                    </a:stretch>
                  </pic:blipFill>
                  <pic:spPr>
                    <a:xfrm>
                      <a:off x="0" y="0"/>
                      <a:ext cx="2628900" cy="1943100"/>
                    </a:xfrm>
                    <a:prstGeom prst="rect">
                      <a:avLst/>
                    </a:prstGeom>
                  </pic:spPr>
                </pic:pic>
              </a:graphicData>
            </a:graphic>
          </wp:inline>
        </w:drawing>
      </w:r>
      <w:r>
        <w:rPr>
          <w:rFonts w:hint="eastAsia"/>
          <w:lang w:val="en-US" w:bidi="ar-SA"/>
        </w:rPr>
        <w:drawing>
          <wp:inline distT="0" distB="0" distL="114300" distR="114300">
            <wp:extent cx="2628900" cy="1943100"/>
            <wp:effectExtent l="0" t="0" r="0" b="0"/>
            <wp:docPr id="861" name="图片 861" descr="166744164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861" descr="1667441640248"/>
                    <pic:cNvPicPr>
                      <a:picLocks noChangeAspect="1"/>
                    </pic:cNvPicPr>
                  </pic:nvPicPr>
                  <pic:blipFill>
                    <a:blip r:embed="rId63">
                      <a:grayscl/>
                    </a:blip>
                    <a:stretch>
                      <a:fillRect/>
                    </a:stretch>
                  </pic:blipFill>
                  <pic:spPr>
                    <a:xfrm>
                      <a:off x="0" y="0"/>
                      <a:ext cx="2628900" cy="1943100"/>
                    </a:xfrm>
                    <a:prstGeom prst="rect">
                      <a:avLst/>
                    </a:prstGeom>
                  </pic:spPr>
                </pic:pic>
              </a:graphicData>
            </a:graphic>
          </wp:inline>
        </w:drawing>
      </w:r>
    </w:p>
    <w:p w14:paraId="5A203121">
      <w:pPr>
        <w:ind w:firstLine="562"/>
        <w:rPr>
          <w:b/>
          <w:bCs/>
        </w:rPr>
      </w:pPr>
      <w:r>
        <w:rPr>
          <w:rFonts w:hint="eastAsia"/>
          <w:b/>
          <w:bCs/>
        </w:rPr>
        <w:t>（八）其他要求</w:t>
      </w:r>
    </w:p>
    <w:p w14:paraId="2EB517AF">
      <w:pPr>
        <w:ind w:firstLine="560"/>
      </w:pPr>
      <w:r>
        <w:rPr>
          <w:rFonts w:hint="eastAsia"/>
        </w:rPr>
        <w:t>1.项目部管理人员必须穿戴统一工作服、佩戴胸卡，所有工人经安全教育合格后进入工地必须穿戴统一马甲，主要工种马甲颜色应不同，马甲应注明单位及工种名称。</w:t>
      </w:r>
    </w:p>
    <w:p w14:paraId="3C5FC0CE">
      <w:pPr>
        <w:ind w:firstLine="560"/>
      </w:pPr>
      <w:r>
        <w:rPr>
          <w:rFonts w:hint="eastAsia"/>
        </w:rPr>
        <w:t>2.项目部必须每天配备专人负责材料整理、保洁及文明施工相关措施事务。</w:t>
      </w:r>
    </w:p>
    <w:p w14:paraId="2DC0B563">
      <w:pPr>
        <w:ind w:firstLine="560"/>
      </w:pPr>
      <w:r>
        <w:rPr>
          <w:rFonts w:hint="eastAsia"/>
        </w:rPr>
        <w:t>3.监理（建设）单位每月按市级安全文明示范工地要求组织1-2次安全文明综合大检查。</w:t>
      </w:r>
    </w:p>
    <w:p w14:paraId="04D11554">
      <w:pPr>
        <w:ind w:firstLine="560"/>
      </w:pPr>
      <w:r>
        <w:rPr>
          <w:rFonts w:hint="eastAsia"/>
        </w:rPr>
        <w:t>4.驻地排水、垃圾处理要求：必须提供临设雨污水排放专项方案并征得监理（建设）单位同意，按专项方案布置实施，雨污水必须接入市政管网。垃圾清运措施须征得属地城管部门同意，严禁私自倒运。</w:t>
      </w:r>
    </w:p>
    <w:p w14:paraId="14E025BA">
      <w:pPr>
        <w:pStyle w:val="3"/>
      </w:pPr>
      <w:bookmarkStart w:id="4460" w:name="_Toc25513"/>
      <w:bookmarkStart w:id="4461" w:name="_Toc32614"/>
      <w:bookmarkStart w:id="4462" w:name="_Toc10557"/>
      <w:bookmarkStart w:id="4463" w:name="_Toc1963"/>
      <w:r>
        <w:rPr>
          <w:rFonts w:hint="eastAsia"/>
        </w:rPr>
        <w:t>第二节、</w:t>
      </w:r>
      <w:r>
        <w:t>工程质量控制制度</w:t>
      </w:r>
      <w:bookmarkEnd w:id="4460"/>
      <w:bookmarkEnd w:id="4461"/>
      <w:bookmarkEnd w:id="4462"/>
      <w:bookmarkEnd w:id="4463"/>
    </w:p>
    <w:p w14:paraId="56952BF1">
      <w:pPr>
        <w:pStyle w:val="4"/>
        <w:spacing w:before="93" w:after="31"/>
      </w:pPr>
      <w:bookmarkStart w:id="4464" w:name="_Toc16074"/>
      <w:bookmarkStart w:id="4465" w:name="_Toc16787"/>
      <w:bookmarkStart w:id="4466" w:name="_Toc13152"/>
      <w:bookmarkStart w:id="4467" w:name="_Toc8258"/>
      <w:bookmarkStart w:id="4468" w:name="_Toc22286"/>
      <w:bookmarkStart w:id="4469" w:name="_Toc28775"/>
      <w:bookmarkStart w:id="4470" w:name="_Toc23046"/>
      <w:bookmarkStart w:id="4471" w:name="_Toc14002"/>
      <w:bookmarkStart w:id="4472" w:name="_Toc25034"/>
      <w:bookmarkStart w:id="4473" w:name="_Toc4083"/>
      <w:bookmarkStart w:id="4474" w:name="_Toc30915"/>
      <w:bookmarkStart w:id="4475" w:name="_Toc24042"/>
      <w:bookmarkStart w:id="4476" w:name="_Toc11509"/>
      <w:bookmarkStart w:id="4477" w:name="_Toc32332"/>
      <w:bookmarkStart w:id="4478" w:name="_Toc27909"/>
      <w:bookmarkStart w:id="4479" w:name="_Toc3919"/>
      <w:bookmarkStart w:id="4480" w:name="_Toc32599"/>
      <w:bookmarkStart w:id="4481" w:name="_Toc23326"/>
      <w:bookmarkStart w:id="4482" w:name="_Toc15105"/>
      <w:bookmarkStart w:id="4483" w:name="_Toc15207"/>
      <w:bookmarkStart w:id="4484" w:name="_Toc5720"/>
      <w:bookmarkStart w:id="4485" w:name="_Toc16209"/>
      <w:bookmarkStart w:id="4486" w:name="_Toc8605"/>
      <w:bookmarkStart w:id="4487" w:name="_Toc722"/>
      <w:bookmarkStart w:id="4488" w:name="_Toc10427"/>
      <w:bookmarkStart w:id="4489" w:name="_Toc17404"/>
      <w:bookmarkStart w:id="4490" w:name="_Toc23730"/>
      <w:bookmarkStart w:id="4491" w:name="_Toc23148"/>
      <w:bookmarkStart w:id="4492" w:name="_Toc13459"/>
      <w:bookmarkStart w:id="4493" w:name="_Toc4106"/>
      <w:bookmarkStart w:id="4494" w:name="_Toc28915"/>
      <w:bookmarkStart w:id="4495" w:name="_Toc2742"/>
      <w:bookmarkStart w:id="4496" w:name="_Toc24873"/>
      <w:bookmarkStart w:id="4497" w:name="_Toc8562"/>
      <w:bookmarkStart w:id="4498" w:name="_Toc7478"/>
      <w:bookmarkStart w:id="4499" w:name="_Toc19033"/>
      <w:bookmarkStart w:id="4500" w:name="_Toc29713"/>
      <w:bookmarkStart w:id="4501" w:name="_Toc15727"/>
      <w:bookmarkStart w:id="4502" w:name="_Toc31935"/>
      <w:bookmarkStart w:id="4503" w:name="_Toc29167"/>
      <w:bookmarkStart w:id="4504" w:name="_Toc8656"/>
      <w:bookmarkStart w:id="4505" w:name="_Toc5116"/>
      <w:bookmarkStart w:id="4506" w:name="_Toc7352"/>
      <w:bookmarkStart w:id="4507" w:name="_Toc7482"/>
      <w:bookmarkStart w:id="4508" w:name="_Toc2983"/>
      <w:bookmarkStart w:id="4509" w:name="_Toc9246"/>
      <w:bookmarkStart w:id="4510" w:name="_Toc20151"/>
      <w:bookmarkStart w:id="4511" w:name="_Toc7844"/>
      <w:bookmarkStart w:id="4512" w:name="_Toc444"/>
      <w:bookmarkStart w:id="4513" w:name="_Toc32053"/>
      <w:bookmarkStart w:id="4514" w:name="_Toc7114"/>
      <w:bookmarkStart w:id="4515" w:name="_Toc752"/>
      <w:bookmarkStart w:id="4516" w:name="_Toc18420"/>
      <w:bookmarkStart w:id="4517" w:name="_Toc1479"/>
      <w:bookmarkStart w:id="4518" w:name="_Toc32717"/>
      <w:bookmarkStart w:id="4519" w:name="_Toc9061"/>
      <w:r>
        <w:rPr>
          <w:rFonts w:hint="eastAsia"/>
        </w:rPr>
        <w:t>一、质量管理体系与措施</w:t>
      </w:r>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p>
    <w:p w14:paraId="2BEC2B38">
      <w:pPr>
        <w:pStyle w:val="5"/>
        <w:spacing w:before="31" w:after="31"/>
        <w:ind w:firstLine="562"/>
      </w:pPr>
      <w:bookmarkStart w:id="4520" w:name="_Toc5994"/>
      <w:bookmarkStart w:id="4521" w:name="_Toc30623"/>
      <w:bookmarkStart w:id="4522" w:name="_Toc28671"/>
      <w:bookmarkStart w:id="4523" w:name="_Toc17669"/>
      <w:bookmarkStart w:id="4524" w:name="_Toc656"/>
      <w:bookmarkStart w:id="4525" w:name="_Toc9586"/>
      <w:bookmarkStart w:id="4526" w:name="_Toc7071"/>
      <w:bookmarkStart w:id="4527" w:name="_Toc2757"/>
      <w:bookmarkStart w:id="4528" w:name="_Toc8714"/>
      <w:bookmarkStart w:id="4529" w:name="_Toc25612"/>
      <w:bookmarkStart w:id="4530" w:name="_Toc22985"/>
      <w:bookmarkStart w:id="4531" w:name="_Toc6088"/>
      <w:bookmarkStart w:id="4532" w:name="_Toc6714"/>
      <w:bookmarkStart w:id="4533" w:name="_Toc13817"/>
      <w:bookmarkStart w:id="4534" w:name="_Toc21121"/>
      <w:bookmarkStart w:id="4535" w:name="_Toc30987"/>
      <w:bookmarkStart w:id="4536" w:name="_Toc23303"/>
      <w:bookmarkStart w:id="4537" w:name="_Toc30809"/>
      <w:bookmarkStart w:id="4538" w:name="_Toc24985"/>
      <w:bookmarkStart w:id="4539" w:name="_Toc5537"/>
      <w:bookmarkStart w:id="4540" w:name="_Toc25802"/>
      <w:bookmarkStart w:id="4541" w:name="_Toc8221"/>
      <w:bookmarkStart w:id="4542" w:name="_Toc27893"/>
      <w:bookmarkStart w:id="4543" w:name="_Toc1107"/>
      <w:bookmarkStart w:id="4544" w:name="_Toc20680"/>
      <w:bookmarkStart w:id="4545" w:name="_Toc25757"/>
      <w:bookmarkStart w:id="4546" w:name="_Toc22204"/>
      <w:bookmarkStart w:id="4547" w:name="_Toc29284"/>
      <w:bookmarkStart w:id="4548" w:name="_Toc1572"/>
      <w:bookmarkStart w:id="4549" w:name="_Toc1209"/>
      <w:bookmarkStart w:id="4550" w:name="_Toc7518"/>
      <w:bookmarkStart w:id="4551" w:name="_Toc25738"/>
      <w:bookmarkStart w:id="4552" w:name="_Toc12500"/>
      <w:bookmarkStart w:id="4553" w:name="_Toc29874"/>
      <w:bookmarkStart w:id="4554" w:name="_Toc26780"/>
      <w:bookmarkStart w:id="4555" w:name="_Toc2803"/>
      <w:bookmarkStart w:id="4556" w:name="_Toc7443"/>
      <w:bookmarkStart w:id="4557" w:name="_Toc6262"/>
      <w:bookmarkStart w:id="4558" w:name="_Toc10689"/>
      <w:bookmarkStart w:id="4559" w:name="_Toc25682"/>
      <w:bookmarkStart w:id="4560" w:name="_Toc20544"/>
      <w:bookmarkStart w:id="4561" w:name="_Toc24249"/>
      <w:bookmarkStart w:id="4562" w:name="_Toc13262"/>
      <w:bookmarkStart w:id="4563" w:name="_Toc3765"/>
      <w:bookmarkStart w:id="4564" w:name="_Toc14627"/>
      <w:bookmarkStart w:id="4565" w:name="_Toc7112"/>
      <w:bookmarkStart w:id="4566" w:name="_Toc25123"/>
      <w:bookmarkStart w:id="4567" w:name="_Toc28976"/>
      <w:bookmarkStart w:id="4568" w:name="_Toc14272"/>
      <w:bookmarkStart w:id="4569" w:name="_Toc10112"/>
      <w:bookmarkStart w:id="4570" w:name="_Toc4703"/>
      <w:bookmarkStart w:id="4571" w:name="_Toc32650"/>
      <w:bookmarkStart w:id="4572" w:name="_Toc1807"/>
      <w:bookmarkStart w:id="4573" w:name="_Toc16805"/>
      <w:bookmarkStart w:id="4574" w:name="_Toc24753"/>
      <w:r>
        <w:rPr>
          <w:rFonts w:hint="eastAsia"/>
        </w:rPr>
        <w:t>（一）</w:t>
      </w:r>
      <w:r>
        <w:t>质量目标和质量管理体系</w:t>
      </w:r>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p>
    <w:p w14:paraId="0B041C07">
      <w:pPr>
        <w:ind w:firstLine="562"/>
        <w:rPr>
          <w:b/>
          <w:bCs/>
          <w:color w:val="000000"/>
        </w:rPr>
      </w:pPr>
      <w:r>
        <w:rPr>
          <w:b/>
          <w:bCs/>
          <w:color w:val="000000"/>
        </w:rPr>
        <w:t>质量标准：合格</w:t>
      </w:r>
    </w:p>
    <w:p w14:paraId="33F71DEB">
      <w:pPr>
        <w:ind w:firstLine="560"/>
      </w:pPr>
      <w:r>
        <w:t>质量管理体系：</w:t>
      </w:r>
    </w:p>
    <w:p w14:paraId="2F22A627">
      <w:pPr>
        <w:pStyle w:val="18"/>
        <w:rPr>
          <w:lang w:val="en-US"/>
        </w:rPr>
      </w:pPr>
      <w:r>
        <w:rPr>
          <w:lang w:val="en-US" w:bidi="ar-SA"/>
        </w:rPr>
        <w:drawing>
          <wp:inline distT="0" distB="0" distL="114300" distR="114300">
            <wp:extent cx="5046345" cy="4026535"/>
            <wp:effectExtent l="0" t="0" r="0" b="0"/>
            <wp:docPr id="47"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CB019B1-382A-4266-B25C-5B523AA43C14-1" descr="wps"/>
                    <pic:cNvPicPr>
                      <a:picLocks noChangeAspect="1"/>
                    </pic:cNvPicPr>
                  </pic:nvPicPr>
                  <pic:blipFill>
                    <a:blip r:embed="rId64">
                      <a:grayscl/>
                    </a:blip>
                    <a:srcRect l="21876"/>
                    <a:stretch>
                      <a:fillRect/>
                    </a:stretch>
                  </pic:blipFill>
                  <pic:spPr>
                    <a:xfrm>
                      <a:off x="0" y="0"/>
                      <a:ext cx="5046345" cy="4026535"/>
                    </a:xfrm>
                    <a:prstGeom prst="rect">
                      <a:avLst/>
                    </a:prstGeom>
                  </pic:spPr>
                </pic:pic>
              </a:graphicData>
            </a:graphic>
          </wp:inline>
        </w:drawing>
      </w:r>
    </w:p>
    <w:p w14:paraId="24E8FCF5">
      <w:pPr>
        <w:ind w:firstLine="560"/>
      </w:pPr>
      <w:r>
        <w:t>严格按公司的综合管理体系程序文件执行，根据公司质量保证体系的要求，结合本工程的实际情况，建立由公司总工程师领导、项目技术负责人负责的质量管理机构，使整个质量保证体系协调运作，工程的质量始终处于受控状态。</w:t>
      </w:r>
    </w:p>
    <w:p w14:paraId="5755DBAB">
      <w:pPr>
        <w:ind w:firstLine="560"/>
      </w:pPr>
      <w:r>
        <w:t>实行目标管理，进行目标分解，按单位工程、分部工程、分项工程把责任落实到相应的部门和人员。除公司质量监督部门和项目技术负责人外，现场另安排专职质监员跟班作业，分别对模板的制作安装、钢筋绑扎、砼浇筑等施工作业进行跟踪监控，并严格按照公司质量体系文件规定，使项目各部门到各施工班组，层层落实质量职责，明确质量责任。积极开展质量管理（QC）小组的活动，工人、技术人员、项目领导“三结合”，针对技术质量关键问题组织攻关，并积极做好QC成果的推广应用工作。</w:t>
      </w:r>
    </w:p>
    <w:p w14:paraId="54421C56">
      <w:pPr>
        <w:pStyle w:val="5"/>
        <w:spacing w:before="31" w:after="31"/>
        <w:ind w:firstLine="562"/>
      </w:pPr>
      <w:bookmarkStart w:id="4575" w:name="_Toc354"/>
      <w:bookmarkStart w:id="4576" w:name="_Toc22951"/>
      <w:bookmarkStart w:id="4577" w:name="_Toc30161"/>
      <w:bookmarkStart w:id="4578" w:name="_Toc30901"/>
      <w:bookmarkStart w:id="4579" w:name="_Toc5197"/>
      <w:bookmarkStart w:id="4580" w:name="_Toc26280"/>
      <w:bookmarkStart w:id="4581" w:name="_Toc11114"/>
      <w:bookmarkStart w:id="4582" w:name="_Toc27603"/>
      <w:bookmarkStart w:id="4583" w:name="_Toc3075"/>
      <w:bookmarkStart w:id="4584" w:name="_Toc20816"/>
      <w:bookmarkStart w:id="4585" w:name="_Toc28432"/>
      <w:bookmarkStart w:id="4586" w:name="_Toc20068"/>
      <w:bookmarkStart w:id="4587" w:name="_Toc22847"/>
      <w:bookmarkStart w:id="4588" w:name="_Toc13921"/>
      <w:bookmarkStart w:id="4589" w:name="_Toc6204"/>
      <w:bookmarkStart w:id="4590" w:name="_Toc422"/>
      <w:bookmarkStart w:id="4591" w:name="_Toc19673"/>
      <w:bookmarkStart w:id="4592" w:name="_Toc11830"/>
      <w:bookmarkStart w:id="4593" w:name="_Toc5634"/>
      <w:bookmarkStart w:id="4594" w:name="_Toc18775"/>
      <w:bookmarkStart w:id="4595" w:name="_Toc5183"/>
      <w:bookmarkStart w:id="4596" w:name="_Toc32690"/>
      <w:bookmarkStart w:id="4597" w:name="_Toc10665"/>
      <w:bookmarkStart w:id="4598" w:name="_Toc10816"/>
      <w:bookmarkStart w:id="4599" w:name="_Toc15024"/>
      <w:bookmarkStart w:id="4600" w:name="_Toc2916"/>
      <w:bookmarkStart w:id="4601" w:name="_Toc4988"/>
      <w:bookmarkStart w:id="4602" w:name="_Toc2826"/>
      <w:bookmarkStart w:id="4603" w:name="_Toc3876"/>
      <w:bookmarkStart w:id="4604" w:name="_Toc2556"/>
      <w:bookmarkStart w:id="4605" w:name="_Toc12513"/>
      <w:bookmarkStart w:id="4606" w:name="_Toc7193"/>
      <w:bookmarkStart w:id="4607" w:name="_Toc31254"/>
      <w:bookmarkStart w:id="4608" w:name="_Toc23922"/>
      <w:bookmarkStart w:id="4609" w:name="_Toc2600"/>
      <w:bookmarkStart w:id="4610" w:name="_Toc28035"/>
      <w:bookmarkStart w:id="4611" w:name="_Toc4934"/>
      <w:bookmarkStart w:id="4612" w:name="_Toc25857"/>
      <w:bookmarkStart w:id="4613" w:name="_Toc16875"/>
      <w:bookmarkStart w:id="4614" w:name="_Toc22382"/>
      <w:bookmarkStart w:id="4615" w:name="_Toc26342"/>
      <w:bookmarkStart w:id="4616" w:name="_Toc9965"/>
      <w:bookmarkStart w:id="4617" w:name="_Toc25255"/>
      <w:bookmarkStart w:id="4618" w:name="_Toc32426"/>
      <w:bookmarkStart w:id="4619" w:name="_Toc2429"/>
      <w:bookmarkStart w:id="4620" w:name="_Toc24308"/>
      <w:bookmarkStart w:id="4621" w:name="_Toc9090"/>
      <w:bookmarkStart w:id="4622" w:name="_Toc15970"/>
      <w:bookmarkStart w:id="4623" w:name="_Toc5847"/>
      <w:bookmarkStart w:id="4624" w:name="_Toc5611"/>
      <w:bookmarkStart w:id="4625" w:name="_Toc23117"/>
      <w:bookmarkStart w:id="4626" w:name="_Toc1744"/>
      <w:bookmarkStart w:id="4627" w:name="_Toc12586"/>
      <w:bookmarkStart w:id="4628" w:name="_Toc18295"/>
      <w:r>
        <w:rPr>
          <w:rFonts w:hint="eastAsia"/>
        </w:rPr>
        <w:t>（二）</w:t>
      </w:r>
      <w:r>
        <w:t>质量控制原则</w:t>
      </w:r>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p>
    <w:p w14:paraId="489CEEBB">
      <w:pPr>
        <w:ind w:firstLine="560"/>
      </w:pPr>
      <w:r>
        <w:t>为确保按质按量完成工程承包合同及施工图纸所规定的全部任务，必须依据国家、省、市的施工规范、规程、规定以及工程项目施工图特有的要求，进行全过程的施工质量控制。</w:t>
      </w:r>
    </w:p>
    <w:p w14:paraId="119F2CF6">
      <w:pPr>
        <w:pStyle w:val="5"/>
        <w:spacing w:before="31" w:after="31"/>
        <w:ind w:firstLine="562"/>
      </w:pPr>
      <w:bookmarkStart w:id="4629" w:name="_Toc3302"/>
      <w:bookmarkStart w:id="4630" w:name="_Toc24910"/>
      <w:bookmarkStart w:id="4631" w:name="_Toc31532"/>
      <w:bookmarkStart w:id="4632" w:name="_Toc22739"/>
      <w:bookmarkStart w:id="4633" w:name="_Toc10198"/>
      <w:bookmarkStart w:id="4634" w:name="_Toc27189"/>
      <w:bookmarkStart w:id="4635" w:name="_Toc6674"/>
      <w:bookmarkStart w:id="4636" w:name="_Toc6199"/>
      <w:bookmarkStart w:id="4637" w:name="_Toc6982"/>
      <w:bookmarkStart w:id="4638" w:name="_Toc21592"/>
      <w:bookmarkStart w:id="4639" w:name="_Toc5919"/>
      <w:bookmarkStart w:id="4640" w:name="_Toc5658"/>
      <w:bookmarkStart w:id="4641" w:name="_Toc26159"/>
      <w:bookmarkStart w:id="4642" w:name="_Toc10506"/>
      <w:bookmarkStart w:id="4643" w:name="_Toc28693"/>
      <w:bookmarkStart w:id="4644" w:name="_Toc404"/>
      <w:bookmarkStart w:id="4645" w:name="_Toc32094"/>
      <w:bookmarkStart w:id="4646" w:name="_Toc15624"/>
      <w:bookmarkStart w:id="4647" w:name="_Toc792"/>
      <w:bookmarkStart w:id="4648" w:name="_Toc10879"/>
      <w:bookmarkStart w:id="4649" w:name="_Toc16187"/>
      <w:bookmarkStart w:id="4650" w:name="_Toc24068"/>
      <w:bookmarkStart w:id="4651" w:name="_Toc15178"/>
      <w:bookmarkStart w:id="4652" w:name="_Toc916"/>
      <w:bookmarkStart w:id="4653" w:name="_Toc9199"/>
      <w:bookmarkStart w:id="4654" w:name="_Toc12115"/>
      <w:bookmarkStart w:id="4655" w:name="_Toc21850"/>
      <w:bookmarkStart w:id="4656" w:name="_Toc21866"/>
      <w:bookmarkStart w:id="4657" w:name="_Toc25949"/>
      <w:bookmarkStart w:id="4658" w:name="_Toc12883"/>
      <w:bookmarkStart w:id="4659" w:name="_Toc32695"/>
      <w:bookmarkStart w:id="4660" w:name="_Toc25137"/>
      <w:bookmarkStart w:id="4661" w:name="_Toc26384"/>
      <w:bookmarkStart w:id="4662" w:name="_Toc3392"/>
      <w:bookmarkStart w:id="4663" w:name="_Toc8939"/>
      <w:bookmarkStart w:id="4664" w:name="_Toc6196"/>
      <w:bookmarkStart w:id="4665" w:name="_Toc32560"/>
      <w:bookmarkStart w:id="4666" w:name="_Toc322"/>
      <w:bookmarkStart w:id="4667" w:name="_Toc17388"/>
      <w:bookmarkStart w:id="4668" w:name="_Toc4774"/>
      <w:bookmarkStart w:id="4669" w:name="_Toc27208"/>
      <w:bookmarkStart w:id="4670" w:name="_Toc27782"/>
      <w:bookmarkStart w:id="4671" w:name="_Toc29207"/>
      <w:bookmarkStart w:id="4672" w:name="_Toc14990"/>
      <w:bookmarkStart w:id="4673" w:name="_Toc21173"/>
      <w:bookmarkStart w:id="4674" w:name="_Toc3483"/>
      <w:bookmarkStart w:id="4675" w:name="_Toc4221"/>
      <w:bookmarkStart w:id="4676" w:name="_Toc12584"/>
      <w:bookmarkStart w:id="4677" w:name="_Toc9826"/>
      <w:bookmarkStart w:id="4678" w:name="_Toc12862"/>
      <w:bookmarkStart w:id="4679" w:name="_Toc16697"/>
      <w:bookmarkStart w:id="4680" w:name="_Toc30016"/>
      <w:bookmarkStart w:id="4681" w:name="_Toc18194"/>
      <w:bookmarkStart w:id="4682" w:name="_Toc24518"/>
      <w:bookmarkStart w:id="4683" w:name="_Toc13449"/>
      <w:r>
        <w:rPr>
          <w:rFonts w:hint="eastAsia"/>
        </w:rPr>
        <w:t>（三）</w:t>
      </w:r>
      <w:r>
        <w:t>施工管理措施</w:t>
      </w:r>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p>
    <w:p w14:paraId="0B01478C">
      <w:pPr>
        <w:pStyle w:val="18"/>
        <w:rPr>
          <w:lang w:val="en-US"/>
        </w:rPr>
      </w:pPr>
      <w:r>
        <w:rPr>
          <w:lang w:val="en-US" w:bidi="ar-SA"/>
        </w:rPr>
        <w:drawing>
          <wp:inline distT="0" distB="0" distL="114300" distR="114300">
            <wp:extent cx="4860925" cy="291973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5">
                      <a:grayscl/>
                    </a:blip>
                    <a:stretch>
                      <a:fillRect/>
                    </a:stretch>
                  </pic:blipFill>
                  <pic:spPr>
                    <a:xfrm>
                      <a:off x="0" y="0"/>
                      <a:ext cx="4860925" cy="2919730"/>
                    </a:xfrm>
                    <a:prstGeom prst="rect">
                      <a:avLst/>
                    </a:prstGeom>
                    <a:noFill/>
                    <a:ln>
                      <a:noFill/>
                    </a:ln>
                  </pic:spPr>
                </pic:pic>
              </a:graphicData>
            </a:graphic>
          </wp:inline>
        </w:drawing>
      </w:r>
    </w:p>
    <w:p w14:paraId="6872D4EA">
      <w:pPr>
        <w:ind w:firstLine="560"/>
      </w:pPr>
      <w:r>
        <w:t>⑴建立以项目经理为首的质量管理体系。</w:t>
      </w:r>
    </w:p>
    <w:p w14:paraId="64CA979D">
      <w:pPr>
        <w:ind w:firstLine="560"/>
      </w:pPr>
      <w:r>
        <w:t>⑵工程质量检查以班组自检和专职检查相结合。施工班组在下班前要对当天的施工作业成果进行质量自检，对不符合质量要求的予以纠正。</w:t>
      </w:r>
    </w:p>
    <w:p w14:paraId="548B108F">
      <w:pPr>
        <w:ind w:firstLine="560"/>
      </w:pPr>
      <w:r>
        <w:t>⑶各工序工作完成后，由分管工序的技术人员，质检员组织工（班）</w:t>
      </w:r>
    </w:p>
    <w:p w14:paraId="51C5E8A7">
      <w:pPr>
        <w:ind w:firstLine="0" w:firstLineChars="0"/>
      </w:pPr>
      <w:r>
        <w:t>长按有关技术规范要求进行检查，不合格的坚决返工，上道工序不合格不得开始下道工序施工，班组在进行工序交接时必须有明确的质量合格交接意见，严格执行“三工序”制度，即检查上工序，做好本工序，服务下工序。</w:t>
      </w:r>
    </w:p>
    <w:p w14:paraId="21B65C94">
      <w:pPr>
        <w:ind w:firstLine="560"/>
      </w:pPr>
      <w:r>
        <w:t>⑷每道工序完成并自检合格后，通知驻地监理验收，并做好相关验收记录和工程检查签证资料整理工作。</w:t>
      </w:r>
    </w:p>
    <w:p w14:paraId="01B11E51">
      <w:pPr>
        <w:ind w:firstLine="560"/>
      </w:pPr>
      <w:r>
        <w:t>⑸加强技术人员对工程质量的监督，并完善施工记录。</w:t>
      </w:r>
    </w:p>
    <w:p w14:paraId="7C4E469B">
      <w:pPr>
        <w:pStyle w:val="5"/>
        <w:spacing w:before="31" w:after="31"/>
        <w:ind w:firstLine="562"/>
      </w:pPr>
      <w:bookmarkStart w:id="4684" w:name="_Toc24855"/>
      <w:bookmarkStart w:id="4685" w:name="_Toc27822"/>
      <w:bookmarkStart w:id="4686" w:name="_Toc21608"/>
      <w:bookmarkStart w:id="4687" w:name="_Toc4802"/>
      <w:bookmarkStart w:id="4688" w:name="_Toc31966"/>
      <w:bookmarkStart w:id="4689" w:name="_Toc32159"/>
      <w:bookmarkStart w:id="4690" w:name="_Toc19403"/>
      <w:bookmarkStart w:id="4691" w:name="_Toc15923"/>
      <w:bookmarkStart w:id="4692" w:name="_Toc29614"/>
      <w:bookmarkStart w:id="4693" w:name="_Toc27836"/>
      <w:bookmarkStart w:id="4694" w:name="_Toc3805"/>
      <w:bookmarkStart w:id="4695" w:name="_Toc2926"/>
      <w:bookmarkStart w:id="4696" w:name="_Toc29443"/>
      <w:bookmarkStart w:id="4697" w:name="_Toc2123"/>
      <w:bookmarkStart w:id="4698" w:name="_Toc5879"/>
      <w:bookmarkStart w:id="4699" w:name="_Toc1777"/>
      <w:bookmarkStart w:id="4700" w:name="_Toc9263"/>
      <w:bookmarkStart w:id="4701" w:name="_Toc18037"/>
      <w:bookmarkStart w:id="4702" w:name="_Toc28137"/>
      <w:bookmarkStart w:id="4703" w:name="_Toc10346"/>
      <w:bookmarkStart w:id="4704" w:name="_Toc19741"/>
      <w:bookmarkStart w:id="4705" w:name="_Toc765"/>
      <w:bookmarkStart w:id="4706" w:name="_Toc16364"/>
      <w:bookmarkStart w:id="4707" w:name="_Toc30732"/>
      <w:bookmarkStart w:id="4708" w:name="_Toc27094"/>
      <w:bookmarkStart w:id="4709" w:name="_Toc25785"/>
      <w:bookmarkStart w:id="4710" w:name="_Toc29750"/>
      <w:bookmarkStart w:id="4711" w:name="_Toc24839"/>
      <w:bookmarkStart w:id="4712" w:name="_Toc25106"/>
      <w:bookmarkStart w:id="4713" w:name="_Toc12676"/>
      <w:bookmarkStart w:id="4714" w:name="_Toc20236"/>
      <w:bookmarkStart w:id="4715" w:name="_Toc13604"/>
      <w:bookmarkStart w:id="4716" w:name="_Toc11798"/>
      <w:bookmarkStart w:id="4717" w:name="_Toc22328"/>
      <w:bookmarkStart w:id="4718" w:name="_Toc24740"/>
      <w:bookmarkStart w:id="4719" w:name="_Toc11744"/>
      <w:bookmarkStart w:id="4720" w:name="_Toc18771"/>
      <w:bookmarkStart w:id="4721" w:name="_Toc11667"/>
      <w:bookmarkStart w:id="4722" w:name="_Toc13630"/>
      <w:bookmarkStart w:id="4723" w:name="_Toc6706"/>
      <w:bookmarkStart w:id="4724" w:name="_Toc31013"/>
      <w:bookmarkStart w:id="4725" w:name="_Toc4463"/>
      <w:bookmarkStart w:id="4726" w:name="_Toc28563"/>
      <w:bookmarkStart w:id="4727" w:name="_Toc23176"/>
      <w:bookmarkStart w:id="4728" w:name="_Toc9925"/>
      <w:bookmarkStart w:id="4729" w:name="_Toc27940"/>
      <w:bookmarkStart w:id="4730" w:name="_Toc21477"/>
      <w:bookmarkStart w:id="4731" w:name="_Toc32213"/>
      <w:bookmarkStart w:id="4732" w:name="_Toc29173"/>
      <w:bookmarkStart w:id="4733" w:name="_Toc15247"/>
      <w:bookmarkStart w:id="4734" w:name="_Toc6297"/>
      <w:r>
        <w:rPr>
          <w:rFonts w:hint="eastAsia"/>
        </w:rPr>
        <w:t>（四）</w:t>
      </w:r>
      <w:r>
        <w:t>工程质量保证体系</w:t>
      </w:r>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p>
    <w:p w14:paraId="32F91172">
      <w:pPr>
        <w:ind w:firstLine="560"/>
      </w:pPr>
      <w:r>
        <w:t>⑴建立公司、项目部及生产工人三级质量保证体系。</w:t>
      </w:r>
    </w:p>
    <w:p w14:paraId="5ADA480A">
      <w:pPr>
        <w:ind w:firstLine="560"/>
      </w:pPr>
      <w:r>
        <w:t>⑵主要人员职责</w:t>
      </w:r>
    </w:p>
    <w:p w14:paraId="169480AC">
      <w:pPr>
        <w:ind w:firstLine="560"/>
      </w:pPr>
      <w:r>
        <w:t>1）项目经理质量职责</w:t>
      </w:r>
    </w:p>
    <w:p w14:paraId="52164475">
      <w:pPr>
        <w:ind w:firstLine="560"/>
      </w:pPr>
      <w:r>
        <w:t>项目经理对施工质量全面负责,是工程质量第一责任人。</w:t>
      </w:r>
    </w:p>
    <w:p w14:paraId="628CB600">
      <w:pPr>
        <w:ind w:firstLine="560"/>
      </w:pPr>
      <w:r>
        <w:t>坚持“百年大计，质量第一”的思想，主持工程的质量策划，实现质量管理目标。</w:t>
      </w:r>
    </w:p>
    <w:p w14:paraId="33AF0698">
      <w:pPr>
        <w:ind w:firstLine="560"/>
      </w:pPr>
      <w:r>
        <w:t>根据质量计划，结合工程实际，建立健全组织机构落实质量责任制。</w:t>
      </w:r>
    </w:p>
    <w:p w14:paraId="72EE6C80">
      <w:pPr>
        <w:ind w:firstLine="560"/>
      </w:pPr>
      <w:r>
        <w:t>支持质量检验人员的工作，主持召开QC小组成果发布会。</w:t>
      </w:r>
    </w:p>
    <w:p w14:paraId="1F7FCD9B">
      <w:pPr>
        <w:ind w:firstLine="560"/>
      </w:pPr>
      <w:r>
        <w:t>2）项目技术负责人质量职责</w:t>
      </w:r>
    </w:p>
    <w:p w14:paraId="651E8686">
      <w:pPr>
        <w:ind w:firstLine="560"/>
      </w:pPr>
      <w:r>
        <w:t>主持编制工程实施性施工组织设计，以明确技术保证和质量保证要求。</w:t>
      </w:r>
    </w:p>
    <w:p w14:paraId="08B9A065">
      <w:pPr>
        <w:ind w:firstLine="560"/>
      </w:pPr>
      <w:r>
        <w:t>主持关键工序（填土的密实度检查及检验和砼面层级配）攻关和人员的培训，制定相应工艺程序和施工方案。</w:t>
      </w:r>
    </w:p>
    <w:p w14:paraId="1806EB56">
      <w:pPr>
        <w:ind w:firstLine="560"/>
      </w:pPr>
      <w:r>
        <w:t>监督检查采购物资的检验和试验及设备的控制，组织不合格品的评审和处理。</w:t>
      </w:r>
    </w:p>
    <w:p w14:paraId="059C9E9F">
      <w:pPr>
        <w:ind w:firstLine="560"/>
      </w:pPr>
      <w:r>
        <w:t>制订和实施纠正措施及预防措施，严把“图纸、测量、试验”关。</w:t>
      </w:r>
    </w:p>
    <w:p w14:paraId="6C12FEA9">
      <w:pPr>
        <w:ind w:firstLine="560"/>
      </w:pPr>
      <w:r>
        <w:t>3）项目质检工程师质量职责</w:t>
      </w:r>
    </w:p>
    <w:p w14:paraId="7F6D812B">
      <w:pPr>
        <w:ind w:firstLine="560"/>
      </w:pPr>
      <w:r>
        <w:t>认真执行质量管理制度，把施工图纸审签制，技术交底制，质量“三检制”，隐蔽工程检查签证制，质量检查评比奖惩制，验工计价质量签证制，分项工程质量评比制，质量事故（隐患）报告处理制等行之有效的管理制度落实到施工全过程，使工程质量始终处于受控状态。</w:t>
      </w:r>
    </w:p>
    <w:p w14:paraId="03A43C20">
      <w:pPr>
        <w:ind w:firstLine="560"/>
      </w:pPr>
      <w:r>
        <w:t>主持日常质量检查监督工作，并在技术上指导施工生产，确保施工一次达到规定的合格标准，建立质量记录，推行全面质量管理，提高职工的质量意识。</w:t>
      </w:r>
    </w:p>
    <w:p w14:paraId="11C65A34">
      <w:pPr>
        <w:pStyle w:val="5"/>
        <w:spacing w:before="31" w:after="31"/>
        <w:ind w:firstLine="562"/>
      </w:pPr>
      <w:bookmarkStart w:id="4735" w:name="_Toc9309"/>
      <w:bookmarkStart w:id="4736" w:name="_Toc6692"/>
      <w:bookmarkStart w:id="4737" w:name="_Toc27676"/>
      <w:bookmarkStart w:id="4738" w:name="_Toc27679"/>
      <w:bookmarkStart w:id="4739" w:name="_Toc31134"/>
      <w:bookmarkStart w:id="4740" w:name="_Toc20132"/>
      <w:bookmarkStart w:id="4741" w:name="_Toc32669"/>
      <w:bookmarkStart w:id="4742" w:name="_Toc12422"/>
      <w:bookmarkStart w:id="4743" w:name="_Toc16521"/>
      <w:bookmarkStart w:id="4744" w:name="_Toc29817"/>
      <w:bookmarkStart w:id="4745" w:name="_Toc9201"/>
      <w:bookmarkStart w:id="4746" w:name="_Toc9517"/>
      <w:bookmarkStart w:id="4747" w:name="_Toc421"/>
      <w:bookmarkStart w:id="4748" w:name="_Toc12205"/>
      <w:bookmarkStart w:id="4749" w:name="_Toc30296"/>
      <w:bookmarkStart w:id="4750" w:name="_Toc30291"/>
      <w:bookmarkStart w:id="4751" w:name="_Toc9390"/>
      <w:bookmarkStart w:id="4752" w:name="_Toc30965"/>
      <w:bookmarkStart w:id="4753" w:name="_Toc9950"/>
      <w:bookmarkStart w:id="4754" w:name="_Toc8854"/>
      <w:bookmarkStart w:id="4755" w:name="_Toc14889"/>
      <w:bookmarkStart w:id="4756" w:name="_Toc16011"/>
      <w:bookmarkStart w:id="4757" w:name="_Toc19060"/>
      <w:bookmarkStart w:id="4758" w:name="_Toc29953"/>
      <w:bookmarkStart w:id="4759" w:name="_Toc13063"/>
      <w:bookmarkStart w:id="4760" w:name="_Toc16029"/>
      <w:bookmarkStart w:id="4761" w:name="_Toc26556"/>
      <w:bookmarkStart w:id="4762" w:name="_Toc8514"/>
      <w:bookmarkStart w:id="4763" w:name="_Toc19050"/>
      <w:bookmarkStart w:id="4764" w:name="_Toc3474"/>
      <w:bookmarkStart w:id="4765" w:name="_Toc20669"/>
      <w:bookmarkStart w:id="4766" w:name="_Toc25948"/>
      <w:bookmarkStart w:id="4767" w:name="_Toc28619"/>
      <w:bookmarkStart w:id="4768" w:name="_Toc16442"/>
      <w:bookmarkStart w:id="4769" w:name="_Toc11672"/>
      <w:bookmarkStart w:id="4770" w:name="_Toc21782"/>
      <w:bookmarkStart w:id="4771" w:name="_Toc19368"/>
      <w:bookmarkStart w:id="4772" w:name="_Toc3686"/>
      <w:bookmarkStart w:id="4773" w:name="_Toc23411"/>
      <w:bookmarkStart w:id="4774" w:name="_Toc27361"/>
      <w:bookmarkStart w:id="4775" w:name="_Toc12180"/>
      <w:bookmarkStart w:id="4776" w:name="_Toc22572"/>
      <w:bookmarkStart w:id="4777" w:name="_Toc2222"/>
      <w:bookmarkStart w:id="4778" w:name="_Toc21401"/>
      <w:bookmarkStart w:id="4779" w:name="_Toc4342"/>
      <w:bookmarkStart w:id="4780" w:name="_Toc17331"/>
      <w:bookmarkStart w:id="4781" w:name="_Toc25749"/>
      <w:bookmarkStart w:id="4782" w:name="_Toc19112"/>
      <w:bookmarkStart w:id="4783" w:name="_Toc8812"/>
      <w:bookmarkStart w:id="4784" w:name="_Toc27806"/>
      <w:bookmarkStart w:id="4785" w:name="_Toc20839"/>
      <w:bookmarkStart w:id="4786" w:name="_Toc18831"/>
      <w:bookmarkStart w:id="4787" w:name="_Toc12723"/>
      <w:bookmarkStart w:id="4788" w:name="_Toc22533"/>
      <w:r>
        <w:rPr>
          <w:rFonts w:hint="eastAsia"/>
        </w:rPr>
        <w:t>（五）</w:t>
      </w:r>
      <w:r>
        <w:t>分项工程质量控制保证措施</w:t>
      </w:r>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p>
    <w:p w14:paraId="2C10EA6E">
      <w:pPr>
        <w:ind w:firstLine="560"/>
      </w:pPr>
      <w:r>
        <w:t>⑴工程测量与试验控制措施</w:t>
      </w:r>
    </w:p>
    <w:p w14:paraId="0BA319BB">
      <w:pPr>
        <w:ind w:firstLine="560"/>
      </w:pPr>
      <w:r>
        <w:t>1）遵循“从整体到局部，先控制后细部”的施工测量原则，精确建立施工控制桩（网）。</w:t>
      </w:r>
    </w:p>
    <w:p w14:paraId="35392C58">
      <w:pPr>
        <w:ind w:firstLine="560"/>
      </w:pPr>
      <w:r>
        <w:t>2）施工控制桩（网）中的点位在施工中应经常检查校正，以防碰撞和沉陷，发现有松动，沉陷和丢失的平面、高程控制桩，应予以加固和恢复，并重新测算。</w:t>
      </w:r>
    </w:p>
    <w:p w14:paraId="681E964F">
      <w:pPr>
        <w:ind w:firstLine="560"/>
      </w:pPr>
      <w:r>
        <w:t>3）平面定位测量，必须引用两个以上控制桩予以联测，并闭合以免出错。</w:t>
      </w:r>
    </w:p>
    <w:p w14:paraId="7F829667">
      <w:pPr>
        <w:ind w:firstLine="560"/>
      </w:pPr>
      <w:r>
        <w:t>4）测量仪器应按规定定期进行检测校核，确保仪器的精确度。</w:t>
      </w:r>
    </w:p>
    <w:p w14:paraId="4CDB4D8D">
      <w:pPr>
        <w:ind w:firstLine="560"/>
      </w:pPr>
      <w:r>
        <w:t>5）为保证回填土质量得到有效控制，所有土工实验和土方压实密实度试验由检测实验室进行抽样检测，合格后方可进入下道工序施工。</w:t>
      </w:r>
    </w:p>
    <w:p w14:paraId="3C4176AB">
      <w:pPr>
        <w:ind w:firstLine="560"/>
      </w:pPr>
      <w:r>
        <w:t>⑵填方工程</w:t>
      </w:r>
    </w:p>
    <w:p w14:paraId="70F74888">
      <w:pPr>
        <w:ind w:firstLine="560"/>
      </w:pPr>
      <w:r>
        <w:t>1）回填区填方前，应对原地面作如下处理：</w:t>
      </w:r>
    </w:p>
    <w:p w14:paraId="56782134">
      <w:pPr>
        <w:ind w:firstLine="560"/>
      </w:pPr>
      <w:r>
        <w:t>地面树桩及主根应拨除，其坑穴应分层回填夯实。</w:t>
      </w:r>
    </w:p>
    <w:p w14:paraId="5ADD510C">
      <w:pPr>
        <w:ind w:firstLine="560"/>
      </w:pPr>
      <w:r>
        <w:t>地面上的长草或植物应割除。</w:t>
      </w:r>
    </w:p>
    <w:p w14:paraId="0E99DC60">
      <w:pPr>
        <w:ind w:firstLine="560"/>
      </w:pPr>
      <w:r>
        <w:t>在水面上填方前，应排除积水，晾干淤泥。</w:t>
      </w:r>
    </w:p>
    <w:p w14:paraId="5C578BCF">
      <w:pPr>
        <w:ind w:firstLine="560"/>
      </w:pPr>
      <w:r>
        <w:t>在施工范围内，应清除地表植物土、杂填土、池塘及水田淤泥。</w:t>
      </w:r>
    </w:p>
    <w:p w14:paraId="3A2B5679">
      <w:pPr>
        <w:ind w:firstLine="560"/>
      </w:pPr>
      <w:r>
        <w:t>2）路面回填原地面处理及碾压经监理单位检查合格后方可进行填方作业。</w:t>
      </w:r>
    </w:p>
    <w:p w14:paraId="2947E334">
      <w:pPr>
        <w:ind w:firstLine="560"/>
      </w:pPr>
      <w:r>
        <w:t>3）当土料含水量过大时，采取翻松晾干，风干，掺入干土或其他吸水性材料等措施；当土料过干时，则应预先洒水润湿，增加压实遍数或使用大功率压实机械。</w:t>
      </w:r>
    </w:p>
    <w:p w14:paraId="686EE859">
      <w:pPr>
        <w:ind w:firstLine="560"/>
      </w:pPr>
      <w:r>
        <w:t>4）在气候干燥时，应加速挖土、运土、平土和碾压过程，减少施工过程中雨淋或暴晒，防止土的湿度急剧变化。</w:t>
      </w:r>
    </w:p>
    <w:p w14:paraId="6D29EB70">
      <w:pPr>
        <w:ind w:firstLine="560"/>
      </w:pPr>
      <w:r>
        <w:t>5）填土区如有地下水或滞水时，在四周设置排水沟和集水井，将水位降低，已填好的土如遭水浸，应把稀泥铲除后，再进行下一道工序。</w:t>
      </w:r>
    </w:p>
    <w:p w14:paraId="16B597A4">
      <w:pPr>
        <w:ind w:firstLine="560"/>
      </w:pPr>
      <w:r>
        <w:t>6）填土应做到当天填土，当天压（夯）实。</w:t>
      </w:r>
    </w:p>
    <w:p w14:paraId="6A451480">
      <w:pPr>
        <w:ind w:firstLine="560"/>
      </w:pPr>
      <w:r>
        <w:t>7）加强工序质量控制，各工序施工过程中，必须严格执行质量、技术标准。</w:t>
      </w:r>
    </w:p>
    <w:p w14:paraId="5F9D1199">
      <w:pPr>
        <w:pStyle w:val="5"/>
        <w:spacing w:before="31" w:after="31"/>
        <w:ind w:firstLine="562"/>
      </w:pPr>
      <w:bookmarkStart w:id="4789" w:name="_Toc26605"/>
      <w:bookmarkStart w:id="4790" w:name="_Toc20555"/>
      <w:bookmarkStart w:id="4791" w:name="_Toc23026"/>
      <w:bookmarkStart w:id="4792" w:name="_Toc27861"/>
      <w:bookmarkStart w:id="4793" w:name="_Toc12071"/>
      <w:bookmarkStart w:id="4794" w:name="_Toc8504"/>
      <w:bookmarkStart w:id="4795" w:name="_Toc15061"/>
      <w:bookmarkStart w:id="4796" w:name="_Toc18849"/>
      <w:bookmarkStart w:id="4797" w:name="_Toc32008"/>
      <w:bookmarkStart w:id="4798" w:name="_Toc900"/>
      <w:bookmarkStart w:id="4799" w:name="_Toc15006"/>
      <w:bookmarkStart w:id="4800" w:name="_Toc15536"/>
      <w:bookmarkStart w:id="4801" w:name="_Toc10090"/>
      <w:bookmarkStart w:id="4802" w:name="_Toc21976"/>
      <w:bookmarkStart w:id="4803" w:name="_Toc27835"/>
      <w:bookmarkStart w:id="4804" w:name="_Toc3983"/>
      <w:bookmarkStart w:id="4805" w:name="_Toc13317"/>
      <w:bookmarkStart w:id="4806" w:name="_Toc16316"/>
      <w:bookmarkStart w:id="4807" w:name="_Toc28007"/>
      <w:bookmarkStart w:id="4808" w:name="_Toc8315"/>
      <w:bookmarkStart w:id="4809" w:name="_Toc10646"/>
      <w:bookmarkStart w:id="4810" w:name="_Toc6626"/>
      <w:bookmarkStart w:id="4811" w:name="_Toc5971"/>
      <w:bookmarkStart w:id="4812" w:name="_Toc26084"/>
      <w:bookmarkStart w:id="4813" w:name="_Toc17866"/>
      <w:bookmarkStart w:id="4814" w:name="_Toc27595"/>
      <w:bookmarkStart w:id="4815" w:name="_Toc30771"/>
      <w:bookmarkStart w:id="4816" w:name="_Toc15532"/>
      <w:bookmarkStart w:id="4817" w:name="_Toc12118"/>
      <w:bookmarkStart w:id="4818" w:name="_Toc21108"/>
      <w:bookmarkStart w:id="4819" w:name="_Toc590"/>
      <w:bookmarkStart w:id="4820" w:name="_Toc4997"/>
      <w:bookmarkStart w:id="4821" w:name="_Toc31495"/>
      <w:bookmarkStart w:id="4822" w:name="_Toc26364"/>
      <w:bookmarkStart w:id="4823" w:name="_Toc28606"/>
      <w:bookmarkStart w:id="4824" w:name="_Toc16838"/>
      <w:bookmarkStart w:id="4825" w:name="_Toc7952"/>
      <w:bookmarkStart w:id="4826" w:name="_Toc5107"/>
      <w:bookmarkStart w:id="4827" w:name="_Toc31893"/>
      <w:bookmarkStart w:id="4828" w:name="_Toc32118"/>
      <w:bookmarkStart w:id="4829" w:name="_Toc31368"/>
      <w:bookmarkStart w:id="4830" w:name="_Toc7325"/>
      <w:bookmarkStart w:id="4831" w:name="_Toc5801"/>
      <w:bookmarkStart w:id="4832" w:name="_Toc15311"/>
      <w:bookmarkStart w:id="4833" w:name="_Toc26371"/>
      <w:bookmarkStart w:id="4834" w:name="_Toc31902"/>
      <w:bookmarkStart w:id="4835" w:name="_Toc31118"/>
      <w:bookmarkStart w:id="4836" w:name="_Toc12891"/>
      <w:bookmarkStart w:id="4837" w:name="_Toc8807"/>
      <w:bookmarkStart w:id="4838" w:name="_Toc30930"/>
      <w:bookmarkStart w:id="4839" w:name="_Toc204"/>
      <w:bookmarkStart w:id="4840" w:name="_Toc5828"/>
      <w:bookmarkStart w:id="4841" w:name="_Toc31270"/>
      <w:bookmarkStart w:id="4842" w:name="_Toc4228"/>
      <w:bookmarkStart w:id="4843" w:name="_Toc14278"/>
      <w:bookmarkStart w:id="4844" w:name="_Toc1447"/>
      <w:r>
        <w:rPr>
          <w:rFonts w:hint="eastAsia"/>
        </w:rPr>
        <w:t>（六）</w:t>
      </w:r>
      <w:r>
        <w:t>施工技术保证措施</w:t>
      </w:r>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p>
    <w:p w14:paraId="2C3DF689">
      <w:pPr>
        <w:ind w:firstLine="560"/>
      </w:pPr>
      <w:r>
        <w:t>⑴施工技术管理</w:t>
      </w:r>
    </w:p>
    <w:p w14:paraId="37A3DDD5">
      <w:pPr>
        <w:ind w:firstLine="560"/>
      </w:pPr>
      <w:r>
        <w:t>1）项目施工技术管理严格按本公司（ISO9001）质量体系文件和业主、监理要求的有关技术管理办法执行,项目部建立以项目总工程师为项目技术负责人的技术管理系统,设立技术部。项目技术负责人是项目技术管理直接责任人，接受项目经理领导，技术部成员在项目技术负责人的领导下，负责工程的技术管理工作，制定和执行岗位责任制，编制施工组织设计和各种施工技术质量要求及实施细则，制定工程技术、测量、资料管理等办法。</w:t>
      </w:r>
    </w:p>
    <w:p w14:paraId="605F319B">
      <w:pPr>
        <w:ind w:firstLine="560"/>
      </w:pPr>
      <w:r>
        <w:t>2）施工各工序或各部位实行技术人员专业分工负责制，各专业技术人员负责按相关技术标准及质量要求实施管理，对各工序或部位的工程施工技术负直接责任。</w:t>
      </w:r>
    </w:p>
    <w:p w14:paraId="4CD13396">
      <w:pPr>
        <w:ind w:firstLine="560"/>
      </w:pPr>
      <w:r>
        <w:t>⑵施工技术管理人员组织</w:t>
      </w:r>
    </w:p>
    <w:p w14:paraId="005E17CB">
      <w:pPr>
        <w:ind w:firstLine="560"/>
      </w:pPr>
      <w:r>
        <w:t>为确保本工程达到安全、优质、按期完成的目标，选派具有丰富理论和施工经验的同志担任项目技术负责人，其它技术管理人员也均为本公司技术骨干，具有类似工程施工专业知识和一定施工经验，使技术管理从组织上得到较好保障。</w:t>
      </w:r>
    </w:p>
    <w:p w14:paraId="0A9FBCC3">
      <w:pPr>
        <w:ind w:firstLine="560"/>
      </w:pPr>
      <w:r>
        <w:t>施工技术管理的具体实施措施</w:t>
      </w:r>
      <w:r>
        <w:rPr>
          <w:rFonts w:hint="eastAsia"/>
        </w:rPr>
        <w:t>。</w:t>
      </w:r>
    </w:p>
    <w:p w14:paraId="430E8B57">
      <w:pPr>
        <w:ind w:firstLine="560"/>
      </w:pPr>
      <w:r>
        <w:t>建立岗位责任制，项目经理部配备足够的技术力量，以项目经理为工程施工总负责，以下有技术负责人、各专业工程师、施工技术员、技工等。</w:t>
      </w:r>
    </w:p>
    <w:p w14:paraId="7D059002">
      <w:pPr>
        <w:ind w:firstLine="560"/>
      </w:pPr>
      <w:r>
        <w:t>项目技术负责人具体解决施工过程中出现的技术问题，明确各技术人员的业务范围，并将技术责任层层落实到各个人。</w:t>
      </w:r>
    </w:p>
    <w:p w14:paraId="576E9A12">
      <w:pPr>
        <w:ind w:firstLine="560"/>
      </w:pPr>
      <w:r>
        <w:t>以项目经理、项目技术负责人为主组织各相关专业技术人员针对本工程特点编写科学、可行、可靠、先进、合理、针对性强、措施具体、成熟的施工方法及技术措施，确保工程质量、按期完工。</w:t>
      </w:r>
    </w:p>
    <w:p w14:paraId="796556A5">
      <w:pPr>
        <w:ind w:firstLine="560"/>
      </w:pPr>
      <w:r>
        <w:t>认真审阅施工图纸，做好设计图纸会审工作，对施工图纸中不明确，错误或因施工要求需要作出设计变更的地方，及时向建设单位，监理、设计单位提出，以尽快征得相应的答复和进行施工。</w:t>
      </w:r>
    </w:p>
    <w:p w14:paraId="11CB7FD1">
      <w:pPr>
        <w:ind w:firstLine="560"/>
      </w:pPr>
      <w:r>
        <w:t>在图纸会审的基础上，按施工技术管理程序，逐级进行技术交底，对施工组织设计中涉及的工艺要求，质量标准，技术安全措施，规范要求和采用的施工方法，以及图纸会审中涉及的要求及变更等内容向有关的施工人员交底。交底文件作为指导施工的技术依据。</w:t>
      </w:r>
    </w:p>
    <w:p w14:paraId="2B3704B8">
      <w:pPr>
        <w:ind w:firstLine="560"/>
      </w:pPr>
      <w:r>
        <w:t>编制施工作业技术指导书，并在施工管理中认真贯彻执行各项专业技术标准和质量标准。</w:t>
      </w:r>
    </w:p>
    <w:p w14:paraId="425CA3C8">
      <w:pPr>
        <w:ind w:firstLine="560"/>
      </w:pPr>
      <w:r>
        <w:t>在施工中，工程技术资料的管理，严格执行国家现行的有关施工规范、规程以及有关规定。</w:t>
      </w:r>
    </w:p>
    <w:p w14:paraId="0C568240">
      <w:pPr>
        <w:ind w:firstLine="560"/>
      </w:pPr>
      <w:r>
        <w:t>工程上所使用的测量仪器、检测设备、试验器材的技术指标必须满足相关要求，并定期进行检校。</w:t>
      </w:r>
    </w:p>
    <w:p w14:paraId="069C91F0">
      <w:pPr>
        <w:pStyle w:val="4"/>
        <w:spacing w:before="93" w:after="31"/>
      </w:pPr>
      <w:bookmarkStart w:id="4845" w:name="_Toc3200"/>
      <w:bookmarkStart w:id="4846" w:name="_Toc10187"/>
      <w:bookmarkStart w:id="4847" w:name="_Toc25420"/>
      <w:bookmarkStart w:id="4848" w:name="_Toc29878"/>
      <w:bookmarkStart w:id="4849" w:name="_Toc20271"/>
      <w:bookmarkStart w:id="4850" w:name="_Toc18164"/>
      <w:bookmarkStart w:id="4851" w:name="_Toc24346"/>
      <w:bookmarkStart w:id="4852" w:name="_Toc12961"/>
      <w:bookmarkStart w:id="4853" w:name="_Toc18546"/>
      <w:bookmarkStart w:id="4854" w:name="_Toc30783"/>
      <w:bookmarkStart w:id="4855" w:name="_Toc7045"/>
      <w:bookmarkStart w:id="4856" w:name="_Toc6339"/>
      <w:bookmarkStart w:id="4857" w:name="_Toc24657"/>
      <w:bookmarkStart w:id="4858" w:name="_Toc22405"/>
      <w:bookmarkStart w:id="4859" w:name="_Toc17344"/>
      <w:bookmarkStart w:id="4860" w:name="_Toc11799"/>
      <w:bookmarkStart w:id="4861" w:name="_Toc28739"/>
      <w:bookmarkStart w:id="4862" w:name="_Toc2959"/>
      <w:bookmarkStart w:id="4863" w:name="_Toc14669"/>
      <w:bookmarkStart w:id="4864" w:name="_Toc2454"/>
      <w:bookmarkStart w:id="4865" w:name="_Toc1541"/>
      <w:bookmarkStart w:id="4866" w:name="_Toc11283"/>
      <w:bookmarkStart w:id="4867" w:name="_Toc8398"/>
      <w:bookmarkStart w:id="4868" w:name="_Toc15646"/>
      <w:bookmarkStart w:id="4869" w:name="_Toc20040"/>
      <w:bookmarkStart w:id="4870" w:name="_Toc10945"/>
      <w:bookmarkStart w:id="4871" w:name="_Toc31657"/>
      <w:bookmarkStart w:id="4872" w:name="_Toc27678"/>
      <w:bookmarkStart w:id="4873" w:name="_Toc2544"/>
      <w:bookmarkStart w:id="4874" w:name="_Toc29898"/>
      <w:bookmarkStart w:id="4875" w:name="_Toc29131"/>
      <w:bookmarkStart w:id="4876" w:name="_Toc29255"/>
      <w:bookmarkStart w:id="4877" w:name="_Toc23447"/>
      <w:bookmarkStart w:id="4878" w:name="_Toc29584"/>
      <w:bookmarkStart w:id="4879" w:name="_Toc18586"/>
      <w:bookmarkStart w:id="4880" w:name="_Toc30519"/>
      <w:bookmarkStart w:id="4881" w:name="_Toc22755"/>
      <w:bookmarkStart w:id="4882" w:name="_Toc25478"/>
      <w:bookmarkStart w:id="4883" w:name="_Toc6037"/>
      <w:bookmarkStart w:id="4884" w:name="_Toc25603"/>
      <w:bookmarkStart w:id="4885" w:name="_Toc4087"/>
      <w:bookmarkStart w:id="4886" w:name="_Toc4505"/>
      <w:bookmarkStart w:id="4887" w:name="_Toc22546"/>
      <w:bookmarkStart w:id="4888" w:name="_Toc8902"/>
      <w:bookmarkStart w:id="4889" w:name="_Toc11315"/>
      <w:bookmarkStart w:id="4890" w:name="_Toc19228"/>
      <w:bookmarkStart w:id="4891" w:name="_Toc28453"/>
      <w:bookmarkStart w:id="4892" w:name="_Toc21164"/>
      <w:bookmarkStart w:id="4893" w:name="_Toc918"/>
      <w:bookmarkStart w:id="4894" w:name="_Toc8760"/>
      <w:bookmarkStart w:id="4895" w:name="_Toc19184"/>
      <w:bookmarkStart w:id="4896" w:name="_Toc27105"/>
      <w:bookmarkStart w:id="4897" w:name="_Toc16606"/>
      <w:bookmarkStart w:id="4898" w:name="_Toc11582"/>
      <w:bookmarkStart w:id="4899" w:name="_Toc16350"/>
      <w:bookmarkStart w:id="4900" w:name="_Toc16348"/>
      <w:bookmarkStart w:id="4901" w:name="_Toc1352"/>
      <w:bookmarkStart w:id="4902" w:name="_Toc14104"/>
      <w:r>
        <w:rPr>
          <w:rFonts w:hint="eastAsia"/>
        </w:rPr>
        <w:t>二、确保工程质量的主要措施</w:t>
      </w:r>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p>
    <w:p w14:paraId="27DF744D">
      <w:pPr>
        <w:ind w:firstLine="560"/>
      </w:pPr>
      <w:r>
        <w:rPr>
          <w:rFonts w:hint="eastAsia"/>
        </w:rPr>
        <w:t>“</w:t>
      </w:r>
      <w:r>
        <w:t>百年大计，质量第一”质量是企业的生命，精心组织，精心施工，严格实行全员、全方位、全过程的质量控制</w:t>
      </w:r>
      <w:r>
        <w:rPr>
          <w:rFonts w:hint="eastAsia"/>
        </w:rPr>
        <w:t>。</w:t>
      </w:r>
    </w:p>
    <w:p w14:paraId="0796F2C2">
      <w:pPr>
        <w:ind w:firstLine="560"/>
      </w:pPr>
      <w:r>
        <w:t>根据工程项目的具体情况，提出保证质量的措施。这些措施是经过实践通过科学论证，可以信赖的。这些措施的制定将使业主对承包单位施工生产能力有足够的信心，从而实现中标目标和实施项目完美的期望。</w:t>
      </w:r>
    </w:p>
    <w:p w14:paraId="7E6055A9">
      <w:pPr>
        <w:pStyle w:val="5"/>
        <w:spacing w:before="31" w:after="31"/>
        <w:ind w:firstLine="562"/>
      </w:pPr>
      <w:bookmarkStart w:id="4903" w:name="_Toc2209"/>
      <w:bookmarkStart w:id="4904" w:name="_Toc13202"/>
      <w:bookmarkStart w:id="4905" w:name="_Toc30040"/>
      <w:bookmarkStart w:id="4906" w:name="_Toc19244"/>
      <w:bookmarkStart w:id="4907" w:name="_Toc27014"/>
      <w:bookmarkStart w:id="4908" w:name="_Toc8257"/>
      <w:bookmarkStart w:id="4909" w:name="_Toc25244"/>
      <w:bookmarkStart w:id="4910" w:name="_Toc18795"/>
      <w:bookmarkStart w:id="4911" w:name="_Toc26781"/>
      <w:bookmarkStart w:id="4912" w:name="_Toc30254"/>
      <w:bookmarkStart w:id="4913" w:name="_Toc28506"/>
      <w:bookmarkStart w:id="4914" w:name="_Toc11877"/>
      <w:bookmarkStart w:id="4915" w:name="_Toc13907"/>
      <w:bookmarkStart w:id="4916" w:name="_Toc3332"/>
      <w:bookmarkStart w:id="4917" w:name="_Toc7699"/>
      <w:bookmarkStart w:id="4918" w:name="_Toc1497"/>
      <w:bookmarkStart w:id="4919" w:name="_Toc9074"/>
      <w:bookmarkStart w:id="4920" w:name="_Toc19012"/>
      <w:bookmarkStart w:id="4921" w:name="_Toc9920"/>
      <w:bookmarkStart w:id="4922" w:name="_Toc17467"/>
      <w:bookmarkStart w:id="4923" w:name="_Toc6963"/>
      <w:bookmarkStart w:id="4924" w:name="_Toc16331"/>
      <w:bookmarkStart w:id="4925" w:name="_Toc25408"/>
      <w:bookmarkStart w:id="4926" w:name="_Toc19923"/>
      <w:bookmarkStart w:id="4927" w:name="_Toc8174"/>
      <w:bookmarkStart w:id="4928" w:name="_Toc18979"/>
      <w:bookmarkStart w:id="4929" w:name="_Toc31708"/>
      <w:bookmarkStart w:id="4930" w:name="_Toc32541"/>
      <w:bookmarkStart w:id="4931" w:name="_Toc28648"/>
      <w:bookmarkStart w:id="4932" w:name="_Toc23452"/>
      <w:bookmarkStart w:id="4933" w:name="_Toc1090"/>
      <w:bookmarkStart w:id="4934" w:name="_Toc10161"/>
      <w:bookmarkStart w:id="4935" w:name="_Toc25686"/>
      <w:bookmarkStart w:id="4936" w:name="_Toc30101"/>
      <w:bookmarkStart w:id="4937" w:name="_Toc5910"/>
      <w:bookmarkStart w:id="4938" w:name="_Toc13539"/>
      <w:bookmarkStart w:id="4939" w:name="_Toc16797"/>
      <w:bookmarkStart w:id="4940" w:name="_Toc23553"/>
      <w:bookmarkStart w:id="4941" w:name="_Toc13469"/>
      <w:bookmarkStart w:id="4942" w:name="_Toc7960"/>
      <w:bookmarkStart w:id="4943" w:name="_Toc17341"/>
      <w:bookmarkStart w:id="4944" w:name="_Toc18055"/>
      <w:bookmarkStart w:id="4945" w:name="_Toc18830"/>
      <w:bookmarkStart w:id="4946" w:name="_Toc24707"/>
      <w:bookmarkStart w:id="4947" w:name="_Toc25249"/>
      <w:bookmarkStart w:id="4948" w:name="_Toc19720"/>
      <w:bookmarkStart w:id="4949" w:name="_Toc16524"/>
      <w:bookmarkStart w:id="4950" w:name="_Toc673"/>
      <w:bookmarkStart w:id="4951" w:name="_Toc1908"/>
      <w:bookmarkStart w:id="4952" w:name="_Toc3839"/>
      <w:bookmarkStart w:id="4953" w:name="_Toc15765"/>
      <w:r>
        <w:rPr>
          <w:rFonts w:hint="eastAsia"/>
        </w:rPr>
        <w:t>（一）</w:t>
      </w:r>
      <w:r>
        <w:t>工程质量目标</w:t>
      </w:r>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p>
    <w:p w14:paraId="6CC1871E">
      <w:pPr>
        <w:ind w:firstLine="562"/>
        <w:rPr>
          <w:color w:val="000000"/>
        </w:rPr>
      </w:pPr>
      <w:r>
        <w:rPr>
          <w:b/>
          <w:bCs/>
          <w:color w:val="000000"/>
        </w:rPr>
        <w:t>质量标准：合格</w:t>
      </w:r>
    </w:p>
    <w:p w14:paraId="1457AB6B">
      <w:pPr>
        <w:pStyle w:val="5"/>
        <w:spacing w:before="31" w:after="31"/>
        <w:ind w:firstLine="562"/>
      </w:pPr>
      <w:bookmarkStart w:id="4954" w:name="_Toc21002"/>
      <w:bookmarkStart w:id="4955" w:name="_Toc5427"/>
      <w:bookmarkStart w:id="4956" w:name="_Toc19816"/>
      <w:bookmarkStart w:id="4957" w:name="_Toc8265"/>
      <w:bookmarkStart w:id="4958" w:name="_Toc9146"/>
      <w:bookmarkStart w:id="4959" w:name="_Toc11148"/>
      <w:bookmarkStart w:id="4960" w:name="_Toc12979"/>
      <w:bookmarkStart w:id="4961" w:name="_Toc29389"/>
      <w:bookmarkStart w:id="4962" w:name="_Toc28539"/>
      <w:bookmarkStart w:id="4963" w:name="_Toc225"/>
      <w:bookmarkStart w:id="4964" w:name="_Toc7874"/>
      <w:bookmarkStart w:id="4965" w:name="_Toc8263"/>
      <w:bookmarkStart w:id="4966" w:name="_Toc9288"/>
      <w:bookmarkStart w:id="4967" w:name="_Toc31663"/>
      <w:bookmarkStart w:id="4968" w:name="_Toc11875"/>
      <w:bookmarkStart w:id="4969" w:name="_Toc3975"/>
      <w:bookmarkStart w:id="4970" w:name="_Toc4521"/>
      <w:bookmarkStart w:id="4971" w:name="_Toc10197"/>
      <w:bookmarkStart w:id="4972" w:name="_Toc1502"/>
      <w:bookmarkStart w:id="4973" w:name="_Toc20515"/>
      <w:bookmarkStart w:id="4974" w:name="_Toc549"/>
      <w:bookmarkStart w:id="4975" w:name="_Toc27874"/>
      <w:bookmarkStart w:id="4976" w:name="_Toc31753"/>
      <w:bookmarkStart w:id="4977" w:name="_Toc1030"/>
      <w:bookmarkStart w:id="4978" w:name="_Toc2300"/>
      <w:bookmarkStart w:id="4979" w:name="_Toc23397"/>
      <w:bookmarkStart w:id="4980" w:name="_Toc18115"/>
      <w:bookmarkStart w:id="4981" w:name="_Toc28054"/>
      <w:bookmarkStart w:id="4982" w:name="_Toc2609"/>
      <w:bookmarkStart w:id="4983" w:name="_Toc21743"/>
      <w:bookmarkStart w:id="4984" w:name="_Toc21478"/>
      <w:bookmarkStart w:id="4985" w:name="_Toc12377"/>
      <w:bookmarkStart w:id="4986" w:name="_Toc4251"/>
      <w:bookmarkStart w:id="4987" w:name="_Toc2988"/>
      <w:bookmarkStart w:id="4988" w:name="_Toc16054"/>
      <w:bookmarkStart w:id="4989" w:name="_Toc3442"/>
      <w:bookmarkStart w:id="4990" w:name="_Toc32745"/>
      <w:bookmarkStart w:id="4991" w:name="_Toc3495"/>
      <w:bookmarkStart w:id="4992" w:name="_Toc22493"/>
      <w:bookmarkStart w:id="4993" w:name="_Toc6973"/>
      <w:bookmarkStart w:id="4994" w:name="_Toc27017"/>
      <w:bookmarkStart w:id="4995" w:name="_Toc20097"/>
      <w:bookmarkStart w:id="4996" w:name="_Toc25095"/>
      <w:bookmarkStart w:id="4997" w:name="_Toc6430"/>
      <w:bookmarkStart w:id="4998" w:name="_Toc1706"/>
      <w:bookmarkStart w:id="4999" w:name="_Toc7256"/>
      <w:bookmarkStart w:id="5000" w:name="_Toc19544"/>
      <w:bookmarkStart w:id="5001" w:name="_Toc8393"/>
      <w:bookmarkStart w:id="5002" w:name="_Toc27283"/>
      <w:bookmarkStart w:id="5003" w:name="_Toc27920"/>
      <w:bookmarkStart w:id="5004" w:name="_Toc31065"/>
      <w:bookmarkStart w:id="5005" w:name="_Toc27623"/>
      <w:bookmarkStart w:id="5006" w:name="_Toc27501"/>
      <w:bookmarkStart w:id="5007" w:name="_Toc15454"/>
      <w:bookmarkStart w:id="5008" w:name="_Toc29119"/>
      <w:bookmarkStart w:id="5009" w:name="_Toc12076"/>
      <w:r>
        <w:rPr>
          <w:rFonts w:hint="eastAsia"/>
        </w:rPr>
        <w:t>（二）</w:t>
      </w:r>
      <w:r>
        <w:t>施工质量保证体系</w:t>
      </w:r>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p>
    <w:p w14:paraId="3939A74E">
      <w:pPr>
        <w:ind w:firstLine="560"/>
      </w:pPr>
      <w:r>
        <w:t>施工质量保证体系是确保工程施工质量的主要要素，整个质量保证体系可分为施工质量管理体系和施工质量控制体系。</w:t>
      </w:r>
    </w:p>
    <w:p w14:paraId="52270921">
      <w:pPr>
        <w:ind w:firstLine="560"/>
      </w:pPr>
      <w:r>
        <w:t>1、施工质量管理体系</w:t>
      </w:r>
    </w:p>
    <w:p w14:paraId="02C8B709">
      <w:pPr>
        <w:ind w:firstLine="560"/>
      </w:pPr>
      <w:r>
        <w:t>施工质量管理体系是整个施工质量能加以控制的关键，而本工程质量的优劣是对项目班子质量管理能力的最直接的评价，同样质量管理体系设置的科学性对质量管理工作的开展起到决定性的作用。</w:t>
      </w:r>
    </w:p>
    <w:p w14:paraId="14F1710F">
      <w:pPr>
        <w:ind w:firstLine="560"/>
      </w:pPr>
      <w:r>
        <w:t>1）施工质量管理组织</w:t>
      </w:r>
    </w:p>
    <w:p w14:paraId="4C9CA182">
      <w:pPr>
        <w:ind w:firstLine="560"/>
      </w:pPr>
      <w:r>
        <w:t>施工质量的管理组织是确保工程质量的保证，其设置的合理、完善将直接关系到整个质量保证体系能否顺利地运转及操作，为此项目部执行施工组织设计审批制度。</w:t>
      </w:r>
    </w:p>
    <w:p w14:paraId="724F7E88">
      <w:pPr>
        <w:ind w:firstLine="560"/>
      </w:pPr>
      <w:r>
        <w:t>（1）施工组织设计必须要有总承包管理部经理、工程技术部经理、合约部经理、质安部经理、主承建项目部经理、主承建项目技术负责人等有关人员的签字。</w:t>
      </w:r>
    </w:p>
    <w:p w14:paraId="7563BF87">
      <w:pPr>
        <w:ind w:firstLine="560"/>
      </w:pPr>
      <w:r>
        <w:t>（2）施工组织设计必须在工程施工前15天报工程技术部，由工程技术部主任工程师审批上报公司技质部及工程师审批。经上级批准后方可进行施工。</w:t>
      </w:r>
    </w:p>
    <w:p w14:paraId="21A11675">
      <w:pPr>
        <w:ind w:firstLine="560"/>
      </w:pPr>
      <w:r>
        <w:t>2）质量管理职责</w:t>
      </w:r>
    </w:p>
    <w:p w14:paraId="79E945EB">
      <w:pPr>
        <w:ind w:firstLine="560"/>
      </w:pPr>
      <w:r>
        <w:t>根据质量管理体系图，建立岗位责任制和质量监督制度，明确分工职责，落实施工质量控制责任，各行其职。</w:t>
      </w:r>
    </w:p>
    <w:p w14:paraId="3FC3EE04">
      <w:pPr>
        <w:ind w:firstLine="560"/>
      </w:pPr>
      <w:r>
        <w:t>3)施工质量管理体系</w:t>
      </w:r>
    </w:p>
    <w:p w14:paraId="1A749EA6">
      <w:pPr>
        <w:ind w:firstLine="560"/>
      </w:pPr>
      <w:r>
        <w:t>施工质量管理体系的设置及运转均要围绕质量管理职责、质量控制来进行，只要当职责明确、控制严格的前提下，才能使质量管理体系落到实处。</w:t>
      </w:r>
    </w:p>
    <w:p w14:paraId="2793C2D1">
      <w:pPr>
        <w:pStyle w:val="18"/>
        <w:rPr>
          <w:lang w:val="en-US"/>
        </w:rPr>
      </w:pPr>
      <w:r>
        <w:rPr>
          <w:lang w:val="en-US" w:bidi="ar-SA"/>
        </w:rPr>
        <w:drawing>
          <wp:inline distT="0" distB="0" distL="114300" distR="114300">
            <wp:extent cx="3950335" cy="2835275"/>
            <wp:effectExtent l="0" t="0" r="0" b="3175"/>
            <wp:docPr id="219" name="图片 219" descr="167046977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1670469775800"/>
                    <pic:cNvPicPr>
                      <a:picLocks noChangeAspect="1"/>
                    </pic:cNvPicPr>
                  </pic:nvPicPr>
                  <pic:blipFill>
                    <a:blip r:embed="rId66">
                      <a:grayscl/>
                    </a:blip>
                    <a:stretch>
                      <a:fillRect/>
                    </a:stretch>
                  </pic:blipFill>
                  <pic:spPr>
                    <a:xfrm>
                      <a:off x="0" y="0"/>
                      <a:ext cx="3950335" cy="2835275"/>
                    </a:xfrm>
                    <a:prstGeom prst="rect">
                      <a:avLst/>
                    </a:prstGeom>
                  </pic:spPr>
                </pic:pic>
              </a:graphicData>
            </a:graphic>
          </wp:inline>
        </w:drawing>
      </w:r>
    </w:p>
    <w:p w14:paraId="19B81ACB">
      <w:pPr>
        <w:pStyle w:val="18"/>
        <w:rPr>
          <w:u w:val="double"/>
          <w:lang w:val="en-US"/>
        </w:rPr>
      </w:pPr>
      <w:r>
        <w:rPr>
          <w:rFonts w:hint="eastAsia"/>
          <w:u w:val="double"/>
          <w:lang w:val="en-US"/>
        </w:rPr>
        <w:t>领导现场检查质量</w:t>
      </w:r>
    </w:p>
    <w:p w14:paraId="69C2003F">
      <w:pPr>
        <w:ind w:firstLine="560"/>
      </w:pPr>
      <w:r>
        <w:t>2、施工质量控制体系</w:t>
      </w:r>
    </w:p>
    <w:p w14:paraId="45DA37B5">
      <w:pPr>
        <w:ind w:firstLine="560"/>
      </w:pPr>
      <w:r>
        <w:t>质量保证体系是运用科学的管理模式，以质量为中心所制定的保证质量达到要求的循环系统，质量保证体系的设置可使施工过程中有法可依，但关键是在于运转正常，只有正常运转的质保体系，才能真正达到控制质量的目的。而质量保证体系的正常运作必须以质量控制体系来予以实现。</w:t>
      </w:r>
    </w:p>
    <w:p w14:paraId="7D244510">
      <w:pPr>
        <w:ind w:firstLine="560"/>
      </w:pPr>
      <w:r>
        <w:t>1)施工质量控制体系的设置</w:t>
      </w:r>
    </w:p>
    <w:p w14:paraId="50AF05B3">
      <w:pPr>
        <w:ind w:firstLine="560"/>
      </w:pPr>
      <w:r>
        <w:t>施工质量控制体系是按科学的程序运转，其运转的基本方式是PDCA的循环管理活动，它是通过计划、实施、检查、处理四个阶段把经营和生产过程的质量有机地联系起来，而形成一个高效的体系来保证施工质量达到工程质量的保证。</w:t>
      </w:r>
    </w:p>
    <w:p w14:paraId="02C124A9">
      <w:pPr>
        <w:ind w:firstLine="560"/>
      </w:pPr>
      <w:r>
        <w:t>以我们提出的质量目标为依据，编制相应的分项工程质量目标计划，这个分项目标计划应使在项目参与管理的全体人员均熟悉了解，做到心中有数。</w:t>
      </w:r>
    </w:p>
    <w:p w14:paraId="20A48530">
      <w:pPr>
        <w:ind w:firstLine="560"/>
      </w:pPr>
      <w:r>
        <w:t>在目标计划制定后，各施工现场管理人员应编制相应的工作标准在施工班组实施，在实施过程中进行方式、方法的调整，以使工作标准完善。</w:t>
      </w:r>
    </w:p>
    <w:p w14:paraId="2193FCF8">
      <w:pPr>
        <w:ind w:firstLine="560"/>
      </w:pPr>
      <w:r>
        <w:t>在实施过程中，无论是施工班长还是质检人员均要加强检查，在检查中发现问题并及时解决，以使所有质量问题解决于施工之中，并同时对这些问题进行汇总，形成书面材料，以保证在今后或下次施工时不出现类似问题。</w:t>
      </w:r>
    </w:p>
    <w:p w14:paraId="7A9E611C">
      <w:pPr>
        <w:ind w:firstLine="560"/>
      </w:pPr>
      <w:r>
        <w:t>在实施完成后，对成型的建筑产品进行全面检查，发现问题，追查原因，对不同问题进行不同的处理方式，从人、物、方法、工艺、工序等方面进行讨论，并产生改进意见，再根据这些改进意见而使施工工序进入下次循环。</w:t>
      </w:r>
    </w:p>
    <w:p w14:paraId="63D8BC96">
      <w:pPr>
        <w:ind w:firstLine="560"/>
      </w:pPr>
      <w:r>
        <w:t>2)施工质量控制体系运转的保证</w:t>
      </w:r>
    </w:p>
    <w:p w14:paraId="5335A035">
      <w:pPr>
        <w:ind w:firstLine="560"/>
      </w:pPr>
      <w:r>
        <w:t>项目领导班子成员应充分重视施工质量控制体系运转的正常，支持有关人员开展的围绕质保体系的各项活动。</w:t>
      </w:r>
    </w:p>
    <w:p w14:paraId="2760A40C">
      <w:pPr>
        <w:ind w:firstLine="560"/>
      </w:pPr>
      <w:r>
        <w:t>强有力的质量检查管理人员，作为质保体系中的中坚力量。</w:t>
      </w:r>
    </w:p>
    <w:p w14:paraId="263F20F4">
      <w:pPr>
        <w:ind w:firstLine="560"/>
      </w:pPr>
      <w:r>
        <w:t>提供必要的资金，添置必要的的设备，以确保体系运转的物质基础。</w:t>
      </w:r>
    </w:p>
    <w:p w14:paraId="44D23808">
      <w:pPr>
        <w:ind w:firstLine="560"/>
      </w:pPr>
      <w:r>
        <w:t>制定强有力的措施、制度，以保证质保体系的运转。</w:t>
      </w:r>
    </w:p>
    <w:p w14:paraId="44404979">
      <w:pPr>
        <w:ind w:firstLine="560"/>
      </w:pPr>
      <w:r>
        <w:t>每周召开一次质量分析会，以使在质保体系运转过程中发现的问题进行处理解决。</w:t>
      </w:r>
    </w:p>
    <w:p w14:paraId="0DD520CB">
      <w:pPr>
        <w:ind w:firstLine="560"/>
      </w:pPr>
      <w:r>
        <w:t>全面开展质量管理活动，使本标段工程的施工质量达到一个新的高度。</w:t>
      </w:r>
    </w:p>
    <w:p w14:paraId="1E85C7A8">
      <w:pPr>
        <w:ind w:firstLine="560"/>
      </w:pPr>
      <w:r>
        <w:t>3)施工质量控制体系的落实</w:t>
      </w:r>
    </w:p>
    <w:p w14:paraId="260BEC3F">
      <w:pPr>
        <w:ind w:firstLine="560"/>
      </w:pPr>
      <w:r>
        <w:t>施工质量控制体系主要是围绕“人、机、物、环、法”五大要素进行的，任何一个环节出了差错，则势必使施工的质量达不到相应的要求，故在质量保证计划中，对这施工过程中的五大要素的质量保证措施必须予以明确地落实。</w:t>
      </w:r>
    </w:p>
    <w:p w14:paraId="5F3E31E1">
      <w:pPr>
        <w:ind w:firstLine="560"/>
      </w:pPr>
      <w:r>
        <w:t>（1）人”的因素</w:t>
      </w:r>
    </w:p>
    <w:p w14:paraId="5C6F9FC2">
      <w:pPr>
        <w:ind w:firstLine="560"/>
      </w:pPr>
      <w:r>
        <w:t>施工中人的因素是关键，无论是从管理层到劳务层，其素质责任心等的好环将直接影响到本工程的施工质量。故对于“人”的因素的质量保证措施主要从：人员培训、人员管理、人员评定来保证人员的素质。</w:t>
      </w:r>
    </w:p>
    <w:p w14:paraId="2603B737">
      <w:pPr>
        <w:ind w:firstLine="560"/>
      </w:pPr>
      <w:r>
        <w:t>在进场前，我们将对所有的施工管理人员及施工劳务人员进行各种必要的培训，关键的岗位必须持有效的上岗证书才能上岗。在管理层积极推广计算机的广泛应用，加强现代信息化的推广；在劳务层，对一些重要岗位，必须进行再培训，以达到更高的要求。</w:t>
      </w:r>
    </w:p>
    <w:p w14:paraId="58E8BE77">
      <w:pPr>
        <w:ind w:firstLine="560"/>
      </w:pPr>
      <w:r>
        <w:t>在施工中，我们既要加强人员的管理工作，又要加强人员的评定工作，人员的管理及评定工作应是对项目的全体管理层及劳务层，实施层层管理、层层评定的方式进行。进行这两项工作其目的在于使进驻现场的任何人员在任何时候均能保持最佳状态，以确保本工程能顺利完成。</w:t>
      </w:r>
    </w:p>
    <w:p w14:paraId="7E78D669">
      <w:pPr>
        <w:ind w:firstLine="560"/>
      </w:pPr>
      <w:r>
        <w:t>（2）“机”的因素</w:t>
      </w:r>
    </w:p>
    <w:p w14:paraId="533F53A1">
      <w:pPr>
        <w:ind w:firstLine="560"/>
      </w:pPr>
      <w:r>
        <w:t>进入现代的施工管理，机械化程度的提高为工程更快、更好地完成创造了有利条件。但机械对施工质量的影响亦越来越大，故必须确保机械处于最佳状态，在施工机械进场前必须对进场机械进行一次全面的保养，使施工机械在投入使用前就以达到最佳状态，而在施工中，要使施工机械处于最佳状态就必须对其进行良好的养护、检修。在施工过程中我们将制定机械维护计划表，以保证在施工过程中所有的施工机械在任何施工阶段均能处于最佳状态。</w:t>
      </w:r>
    </w:p>
    <w:p w14:paraId="54BAB8B9">
      <w:pPr>
        <w:ind w:firstLine="560"/>
      </w:pPr>
      <w:r>
        <w:t>（3）“物”的因素</w:t>
      </w:r>
    </w:p>
    <w:p w14:paraId="5B48CA0A">
      <w:pPr>
        <w:ind w:firstLine="560"/>
      </w:pPr>
      <w:r>
        <w:t>材料是组成本工程的最基本的单位，亦是保证外观质量的最基本的单位，故材料采用的优劣将直接影响本工程的内在及外观质量。“物”的因素是最基本的因素。为确保“物”的质量，我们必须从施工用材、周转用材进行综合地落实。</w:t>
      </w:r>
    </w:p>
    <w:p w14:paraId="59381ACC">
      <w:pPr>
        <w:ind w:firstLine="560"/>
      </w:pPr>
      <w:r>
        <w:t>（4）“环”与“法”的因素</w:t>
      </w:r>
    </w:p>
    <w:p w14:paraId="1F47BA29">
      <w:pPr>
        <w:ind w:firstLine="560"/>
      </w:pPr>
      <w:r>
        <w:t>“环”是指施工工序流程，而“法”则是指施工的方法，在本工程的施工建设中，必须利用合理的施工流程，先进的施工方法，才能更好、更快地完成本工程的建设任务。在本《施工组织设计》中我们已对施工流程及施工方法作了介绍，其具有先进性、科学性和合理性，但在施工过程中能否按《施工组织设计》中的有关内容进行全面地落实才是确保本工程施工质量的关键，只有建立良好的实施体系、监督体系才能按既定设想完成本工程的施工任务。</w:t>
      </w:r>
    </w:p>
    <w:p w14:paraId="7A80545E">
      <w:pPr>
        <w:ind w:firstLine="560"/>
      </w:pPr>
      <w:r>
        <w:t>3、施工质量控制管理措施</w:t>
      </w:r>
    </w:p>
    <w:p w14:paraId="00069A86">
      <w:pPr>
        <w:ind w:firstLine="560"/>
      </w:pPr>
      <w:r>
        <w:t>施工质量控制措施是施工质量控制体系的具体落实，其主要是对施工各阶段及施工中的各控制要素进行质量上的控制，从而达到施工质量目标的要求。</w:t>
      </w:r>
    </w:p>
    <w:p w14:paraId="586D5574">
      <w:pPr>
        <w:ind w:firstLine="560"/>
      </w:pPr>
      <w:r>
        <w:t>1)施工阶段性的质量控制措施</w:t>
      </w:r>
    </w:p>
    <w:p w14:paraId="620C566E">
      <w:pPr>
        <w:pStyle w:val="18"/>
        <w:rPr>
          <w:lang w:val="en-US"/>
        </w:rPr>
      </w:pPr>
      <w:r>
        <w:rPr>
          <w:lang w:val="en-US" w:bidi="ar-SA"/>
        </w:rPr>
        <w:drawing>
          <wp:inline distT="0" distB="0" distL="114300" distR="114300">
            <wp:extent cx="4560570" cy="3795395"/>
            <wp:effectExtent l="0" t="0" r="0" b="0"/>
            <wp:docPr id="62" name="图片 62" descr="1654566483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654566483546(1)"/>
                    <pic:cNvPicPr>
                      <a:picLocks noChangeAspect="1"/>
                    </pic:cNvPicPr>
                  </pic:nvPicPr>
                  <pic:blipFill>
                    <a:blip r:embed="rId67">
                      <a:grayscl/>
                    </a:blip>
                    <a:stretch>
                      <a:fillRect/>
                    </a:stretch>
                  </pic:blipFill>
                  <pic:spPr>
                    <a:xfrm>
                      <a:off x="0" y="0"/>
                      <a:ext cx="4560570" cy="3795395"/>
                    </a:xfrm>
                    <a:prstGeom prst="rect">
                      <a:avLst/>
                    </a:prstGeom>
                  </pic:spPr>
                </pic:pic>
              </a:graphicData>
            </a:graphic>
          </wp:inline>
        </w:drawing>
      </w:r>
    </w:p>
    <w:p w14:paraId="324A1FF0">
      <w:pPr>
        <w:ind w:firstLine="560"/>
      </w:pPr>
      <w:r>
        <w:t>施工阶段性的质量控制措施主要分为三个阶段，并通过这三阶段来对本工程各分部分项工程的施工进行有效的阶段性质量控制。</w:t>
      </w:r>
      <w:r>
        <w:rPr>
          <w:rFonts w:hint="eastAsia"/>
        </w:rPr>
        <w:t>如下图：</w:t>
      </w:r>
    </w:p>
    <w:p w14:paraId="7D302D1B">
      <w:pPr>
        <w:ind w:firstLine="560"/>
      </w:pPr>
      <w:r>
        <w:t>2）各施工要素的质量控制措施</w:t>
      </w:r>
    </w:p>
    <w:p w14:paraId="2D681A0F">
      <w:pPr>
        <w:ind w:firstLine="560"/>
      </w:pPr>
      <w:r>
        <w:t>（1）施工计划的质量控制</w:t>
      </w:r>
    </w:p>
    <w:p w14:paraId="74B6CD88">
      <w:pPr>
        <w:ind w:firstLine="560"/>
      </w:pPr>
      <w:r>
        <w:t>在编制施工总进度计划、阶段性进度计划、月施工进度计划等控制计划时，充分考虑人、财、物及任务量的平衡，合理安排施工工序和施工计划，合理配备各施工段上的操作人员，合理调拨原材料及各周转材料、施工机械，合理安排各工序的轮流作息时间，在确保工程安全及质量的前提下，充分发挥人的主观能动性，把工期抓上去。</w:t>
      </w:r>
    </w:p>
    <w:p w14:paraId="40A15752">
      <w:pPr>
        <w:ind w:firstLine="560"/>
      </w:pPr>
      <w:r>
        <w:t>鉴于本工程工期紧，施工条件不利，故在施工中应树立起工程质量为本工程的最高宗旨。如果工期和质量两者发生矛盾，则应把质量放在首位，工期必须服从质量，没有质量的保证也就没有工期的保证。</w:t>
      </w:r>
    </w:p>
    <w:p w14:paraId="72667294">
      <w:pPr>
        <w:ind w:firstLine="560"/>
      </w:pPr>
      <w:r>
        <w:t>综上所述，无论何时都必须在项目经理部树立起安全质量放首位的概念，但工期的紧迫，就要求项目部内的全体管理人员在施工前做好充分的准备，熟悉施工工艺，了解施工流程，编制科学、简便、经济的作业指导书，在保证安全与质量的前提下，编制每周、每月直至整个总进度计划的各大小节点的施工计划，并确保其保质、保量地完成。</w:t>
      </w:r>
    </w:p>
    <w:p w14:paraId="48FB8159">
      <w:pPr>
        <w:ind w:firstLine="560"/>
      </w:pPr>
      <w:r>
        <w:t>（2）施工技术的质量控制措施</w:t>
      </w:r>
    </w:p>
    <w:p w14:paraId="6A9E0D63">
      <w:pPr>
        <w:ind w:firstLine="560"/>
      </w:pPr>
      <w:r>
        <w:t>施工技术的先进性、科学性、合理性决定了施工质量的优劣。发放图纸后，专业技术人员会同施工班长先对图纸进行深化、熟悉、了解，提出施工图纸中的问题、难点、错误，并在图纸会审及设计交底时予以解决。同时，根据设计图纸的要求，对在施工过程中，质量难以控制，或要采取相应的技术措施、新的施工工艺才能达到保证质量目的的内容进行摘录，并组织有关人员进行深入研究，编制相应的作业指导书，从而在技术上对此类问题进行质量上的保证，并在实施过程中予以改进。</w:t>
      </w:r>
    </w:p>
    <w:p w14:paraId="6F1085A5">
      <w:pPr>
        <w:ind w:firstLine="560"/>
      </w:pPr>
      <w:r>
        <w:t>施工工长在熟悉图纸、施工方案或作业指导书的前提下，合理地安排施工工序、劳动力，并向操作人员作好相应的技术交底工作，落实质量保证计划、质量目标计划，特别是对一些施工难点、特殊点，更应落实至班组每一个人，而且应让他们了解本次交底的施工流程、施工进度、图纸要求、质量控制标准，以便操作人员心里有数，从而保证操作中按要求施工，杜绝质量问题的出现。</w:t>
      </w:r>
    </w:p>
    <w:p w14:paraId="013DD8C1">
      <w:pPr>
        <w:ind w:firstLine="560"/>
      </w:pPr>
      <w:r>
        <w:t>在本工程施工过程中将采用二级交底模式进行技术交底。</w:t>
      </w:r>
    </w:p>
    <w:p w14:paraId="360CAF0A">
      <w:pPr>
        <w:ind w:firstLine="560"/>
      </w:pPr>
      <w:r>
        <w:t>第一级为项目技术负责人，根据经审批后的施工组织设计、施工方案、作业指导书，对本工程的施工流程、进度安排、质量要求以及主要施工工艺等向项目全体施工管理人员，特别是施工班长、质检人员进行交底。第二级为施工班长向班组进行分项专业工种的技术交底。</w:t>
      </w:r>
    </w:p>
    <w:p w14:paraId="02FC247B">
      <w:pPr>
        <w:ind w:firstLine="560"/>
      </w:pPr>
      <w:r>
        <w:t>（3）施工操作中的质量控制措施</w:t>
      </w:r>
    </w:p>
    <w:p w14:paraId="6A122D49">
      <w:pPr>
        <w:ind w:firstLine="560"/>
      </w:pPr>
      <w:r>
        <w:t>施工操作人员是工程质量的直接责任者，故从施工操作人员自身的素质以及对他们的管理均要有严格的要求，对操作人员加强质量意识的同时，加强管理，以确保操作过程中的质量要求。</w:t>
      </w:r>
    </w:p>
    <w:p w14:paraId="74A14999">
      <w:pPr>
        <w:ind w:firstLine="560"/>
      </w:pPr>
      <w:r>
        <w:t>首先，对每个进入本项目施工的人员，均要求达到一定的技术等级，具有相应的操作技能，特殊工种必须持证上岗。对每个进场的劳动力进行考核，同时，在施工中进行考察，对不合格的施工人员坚决退场，以保证操作者本身具有合格的技术素质。</w:t>
      </w:r>
    </w:p>
    <w:p w14:paraId="2DF64882">
      <w:pPr>
        <w:ind w:firstLine="560"/>
      </w:pPr>
      <w:r>
        <w:t>其次，加强对每个施工人员的质量意识教育，提高他们的质量意识，自觉按操作规程进行操作，在质量控制上加强其自觉性。</w:t>
      </w:r>
    </w:p>
    <w:p w14:paraId="06B078B3">
      <w:pPr>
        <w:ind w:firstLine="560"/>
      </w:pPr>
      <w:r>
        <w:t>再次，施工管理人员，特别是工长及质检人员，应随时对操作人员所施工的内容、过程进行检查，在现场为他们解决施工难点，进行质量标准的测试，随时指出达不到质量要求及标准的部位，要求操作者整改。</w:t>
      </w:r>
    </w:p>
    <w:p w14:paraId="7C64D2BB">
      <w:pPr>
        <w:ind w:firstLine="560"/>
      </w:pPr>
      <w:r>
        <w:t>最后，在施工中各工序要坚持自检、互检、专业检制度，在整个施工过程中做到工前有交底，过程有检查，工后有验收的“一条龙”操作管理方式，以确保工程质量。</w:t>
      </w:r>
    </w:p>
    <w:p w14:paraId="44B11C91">
      <w:pPr>
        <w:ind w:firstLine="560"/>
      </w:pPr>
      <w:r>
        <w:t>（4）施工材料的质量控制措施</w:t>
      </w:r>
    </w:p>
    <w:p w14:paraId="7FC20300">
      <w:pPr>
        <w:ind w:firstLine="560"/>
      </w:pPr>
      <w:r>
        <w:t>a.物资采购：</w:t>
      </w:r>
    </w:p>
    <w:p w14:paraId="7F7BA9B0">
      <w:pPr>
        <w:ind w:firstLine="560"/>
      </w:pPr>
      <w:r>
        <w:t>施工材料的质量，尤其是用于结构施工的材料质量，将会直接影响到整个工程结构的安全，因此材料的质量保证是工程质量保证前提条件。</w:t>
      </w:r>
    </w:p>
    <w:p w14:paraId="75CA6AA0">
      <w:pPr>
        <w:ind w:firstLine="560"/>
      </w:pPr>
      <w:r>
        <w:t>为确保工程质量，施工现场所需的材料均由材料部门统一采购，对本工程所需采购的物质，进行严格的质量检验控制。主要采取的措施如下：</w:t>
      </w:r>
    </w:p>
    <w:p w14:paraId="13888BF1">
      <w:pPr>
        <w:ind w:firstLine="560"/>
      </w:pPr>
      <w:r>
        <w:t>采购物资必须在合格的材料供应商范围内采购，如所需材料在合格的材料供应商范围内不能满足，就要进行对其他厂家的评审，合格后再进行采购。物质采购遵循在诸多厂家中优中选优，执行首选名牌产品的采购原则。</w:t>
      </w:r>
    </w:p>
    <w:p w14:paraId="7BB48BB1">
      <w:pPr>
        <w:ind w:firstLine="560"/>
      </w:pPr>
      <w:r>
        <w:t>将所采购的物资分类A、B类，A类材料必须提供材料质量证明和《准用证》并在规定期限内进行进场复试合格后方可入场，B类材料必须有合格证。一些材料还要有《准用证》及使用说明。</w:t>
      </w:r>
    </w:p>
    <w:p w14:paraId="2D4B2E4C">
      <w:pPr>
        <w:ind w:firstLine="560"/>
      </w:pPr>
      <w:r>
        <w:t>建立评审小组，由材料部门、项目经理部及吸收有关专业技术人员参加，对材料供应商的能力、产品质量、价格和信誉进行预审，建立材料供应商评定卡。</w:t>
      </w:r>
    </w:p>
    <w:p w14:paraId="072B62C3">
      <w:pPr>
        <w:ind w:firstLine="560"/>
      </w:pPr>
      <w:r>
        <w:t>采购部门负责人定期组织对于选定的材料供应商进行审核，如审核中发现不合格的，从合格材料供应商花名册中除名。</w:t>
      </w:r>
    </w:p>
    <w:p w14:paraId="3C1CCD4F">
      <w:pPr>
        <w:ind w:firstLine="560"/>
      </w:pPr>
      <w:r>
        <w:t>b.产品标识和可追溯性：</w:t>
      </w:r>
    </w:p>
    <w:p w14:paraId="447F12E7">
      <w:pPr>
        <w:ind w:firstLine="560"/>
      </w:pPr>
      <w:r>
        <w:t>为了保证本工程使用的物资设备、原材料、半成品、成品的质量，防止使用不合格品，必须以适当的手段进行标识，以便追溯和更换；</w:t>
      </w:r>
    </w:p>
    <w:p w14:paraId="58F3858A">
      <w:pPr>
        <w:ind w:firstLine="560"/>
      </w:pPr>
      <w:r>
        <w:t>钢筋：必须有材质证明、准用证、复试合格报告，原材必须有规格、钢号等标识，成型钢筋进场按规格型号，使用部位挂牌标识。</w:t>
      </w:r>
    </w:p>
    <w:p w14:paraId="1A8F19BD">
      <w:pPr>
        <w:ind w:firstLine="560"/>
      </w:pPr>
      <w:r>
        <w:t>水泥：必须有材质证明、准用证、复试合格报告，入库必须分类堆放，挂牌标识。</w:t>
      </w:r>
    </w:p>
    <w:p w14:paraId="17F8D389">
      <w:pPr>
        <w:ind w:firstLine="560"/>
      </w:pPr>
      <w:r>
        <w:t>砂石：复试报告合格，入场必须分规格插牌标识。</w:t>
      </w:r>
    </w:p>
    <w:p w14:paraId="4B557CC5">
      <w:pPr>
        <w:ind w:firstLine="560"/>
      </w:pPr>
      <w:r>
        <w:t>砖：必须复试报告合格。</w:t>
      </w:r>
    </w:p>
    <w:p w14:paraId="3E6B57FC">
      <w:pPr>
        <w:ind w:firstLine="560"/>
      </w:pPr>
      <w:r>
        <w:t>其它材料必须有合格证，其包装必须有出厂标识。</w:t>
      </w:r>
    </w:p>
    <w:p w14:paraId="04406AD0">
      <w:pPr>
        <w:ind w:firstLine="560"/>
      </w:pPr>
      <w:r>
        <w:t>所有砼砂浆试块必须标明工程部位、浇筑时间和强度等级。</w:t>
      </w:r>
    </w:p>
    <w:p w14:paraId="1A4D6E01">
      <w:pPr>
        <w:ind w:firstLine="560"/>
      </w:pPr>
      <w:r>
        <w:t>所有标识均应建立台帐，作好记录、以具有追溯性。</w:t>
      </w:r>
    </w:p>
    <w:p w14:paraId="57C90E67">
      <w:pPr>
        <w:ind w:firstLine="560"/>
      </w:pPr>
      <w:r>
        <w:t>（5）施工中的计量管理的保证措施</w:t>
      </w:r>
    </w:p>
    <w:p w14:paraId="247D4DD2">
      <w:pPr>
        <w:ind w:firstLine="560"/>
      </w:pPr>
      <w:r>
        <w:t>计量工作在整个质量控制中是一个重要的措施，在计量工作中，我们将加强各种计量设备的检测工作，并在指定权威的计量工具检测机构（经业主及监理同意），按单位的计量管理文件进行周检管理。同时，按要求对各操作程序绘制相应的计量网络图，使整个计量工作符合国家的计量规定的要求，使整个计量工作完全受控，从而确保工程的施工质量。</w:t>
      </w:r>
    </w:p>
    <w:p w14:paraId="559A4BE8">
      <w:pPr>
        <w:ind w:firstLine="560"/>
      </w:pPr>
      <w:r>
        <w:t>砂浆试件以6个7.07×7.07×7.07cm标准试件为一组。制作试件前应将试模清擦干净，并在其内壁上涂上一层薄机油。</w:t>
      </w:r>
    </w:p>
    <w:p w14:paraId="043DD228">
      <w:pPr>
        <w:ind w:firstLine="560"/>
      </w:pPr>
      <w:r>
        <w:t>制作砌筑砂浆试件时，将无底试模放在预先铺有吸水性较好的纸的普通砖上（砖的吸水率不小于10%，含水率不大于20%）。放于砖上的湿纸应为湿的新闻纸（或其它未粘过胶凝材料的纸），纸的大小要以能盖住砖的四边为准，砖的使用面要求平整，凡砖四个垂直面粘过水泥或其它胶凝材料后，不允许再使用。</w:t>
      </w:r>
    </w:p>
    <w:p w14:paraId="0EF1E3C6">
      <w:pPr>
        <w:ind w:firstLine="560"/>
      </w:pPr>
      <w:r>
        <w:t>向试模内一次注满砂浆，用捣棒（直径10mm，350mm的钢棒，端部应磨圆）均匀由外向里按螺旋方向插捣25次，为了防止低稠度砂浆插捣后，可能留下孔洞，允许用油灰刀沿模壁插数次，使砂浆高出试模顶面5-8mm。</w:t>
      </w:r>
    </w:p>
    <w:p w14:paraId="268A2581">
      <w:pPr>
        <w:ind w:firstLine="560"/>
      </w:pPr>
      <w:r>
        <w:t>当砂浆表面开始出现麻斑状态时（约15-20min），将高出部分的砂浆沿试模顶面削去抹平。</w:t>
      </w:r>
    </w:p>
    <w:p w14:paraId="3893A61D">
      <w:pPr>
        <w:ind w:firstLine="560"/>
      </w:pPr>
      <w:r>
        <w:t>试件的养护：试件制作后应在20±5℃温度环境下停置一昼夜（24h±2h），当气温较低时，可适当延长时间，但不超过两昼夜，然后对试件进行编号拆模，试件拆模后立即进行养护状态。</w:t>
      </w:r>
    </w:p>
    <w:p w14:paraId="09A0011D">
      <w:pPr>
        <w:ind w:firstLine="560"/>
      </w:pPr>
      <w:r>
        <w:t>自然养护：水泥混合砂浆应在下温度，查对湿度60-80%的条件下（如养箱中或不通风的室内）养护；水泥砂浆和微沫砂浆应在正温度并保持试块表面湿润的状态下（如湿砂堆中）养护；养护期间必须作好温度记录，在有争议时，以标准养护条件为准。</w:t>
      </w:r>
    </w:p>
    <w:p w14:paraId="53CD44D9">
      <w:pPr>
        <w:ind w:firstLine="560"/>
      </w:pPr>
      <w:r>
        <w:t>标准养护：水泥混合砂浆应为温度20±3℃，相对湿度60-80%；水泥砂浆和微沫砂浆应为温度20±3℃，相对湿度90%以上。</w:t>
      </w:r>
    </w:p>
    <w:p w14:paraId="7EAAD743">
      <w:pPr>
        <w:ind w:firstLine="560"/>
      </w:pPr>
      <w:r>
        <w:t>判定：强度达不到设计要求者为不合格，需回弹处理。</w:t>
      </w:r>
    </w:p>
    <w:p w14:paraId="590DBCBB">
      <w:pPr>
        <w:pStyle w:val="5"/>
        <w:spacing w:before="31" w:after="31"/>
        <w:ind w:firstLine="562"/>
      </w:pPr>
      <w:bookmarkStart w:id="5010" w:name="_Toc15180"/>
      <w:bookmarkStart w:id="5011" w:name="_Toc24396"/>
      <w:bookmarkStart w:id="5012" w:name="_Toc18680"/>
      <w:bookmarkStart w:id="5013" w:name="_Toc29990"/>
      <w:bookmarkStart w:id="5014" w:name="_Toc20249"/>
      <w:bookmarkStart w:id="5015" w:name="_Toc15041"/>
      <w:bookmarkStart w:id="5016" w:name="_Toc11419"/>
      <w:bookmarkStart w:id="5017" w:name="_Toc10048"/>
      <w:bookmarkStart w:id="5018" w:name="_Toc6825"/>
      <w:bookmarkStart w:id="5019" w:name="_Toc3735"/>
      <w:bookmarkStart w:id="5020" w:name="_Toc15390"/>
      <w:bookmarkStart w:id="5021" w:name="_Toc26782"/>
      <w:bookmarkStart w:id="5022" w:name="_Toc17752"/>
      <w:bookmarkStart w:id="5023" w:name="_Toc31622"/>
      <w:bookmarkStart w:id="5024" w:name="_Toc27047"/>
      <w:bookmarkStart w:id="5025" w:name="_Toc15267"/>
      <w:bookmarkStart w:id="5026" w:name="_Toc16459"/>
      <w:bookmarkStart w:id="5027" w:name="_Toc23657"/>
      <w:bookmarkStart w:id="5028" w:name="_Toc31844"/>
      <w:bookmarkStart w:id="5029" w:name="_Toc5145"/>
      <w:bookmarkStart w:id="5030" w:name="_Toc22211"/>
      <w:bookmarkStart w:id="5031" w:name="_Toc23100"/>
      <w:bookmarkStart w:id="5032" w:name="_Toc513"/>
      <w:bookmarkStart w:id="5033" w:name="_Toc9756"/>
      <w:bookmarkStart w:id="5034" w:name="_Toc612"/>
      <w:bookmarkStart w:id="5035" w:name="_Toc6777"/>
      <w:bookmarkStart w:id="5036" w:name="_Toc27134"/>
      <w:bookmarkStart w:id="5037" w:name="_Toc32369"/>
      <w:bookmarkStart w:id="5038" w:name="_Toc7362"/>
      <w:bookmarkStart w:id="5039" w:name="_Toc22285"/>
      <w:bookmarkStart w:id="5040" w:name="_Toc22922"/>
      <w:bookmarkStart w:id="5041" w:name="_Toc14018"/>
      <w:bookmarkStart w:id="5042" w:name="_Toc12984"/>
      <w:bookmarkStart w:id="5043" w:name="_Toc22544"/>
      <w:bookmarkStart w:id="5044" w:name="_Toc19369"/>
      <w:bookmarkStart w:id="5045" w:name="_Toc3859"/>
      <w:bookmarkStart w:id="5046" w:name="_Toc15304"/>
      <w:bookmarkStart w:id="5047" w:name="_Toc14539"/>
      <w:bookmarkStart w:id="5048" w:name="_Toc24102"/>
      <w:bookmarkStart w:id="5049" w:name="_Toc1937"/>
      <w:bookmarkStart w:id="5050" w:name="_Toc17928"/>
      <w:bookmarkStart w:id="5051" w:name="_Toc25330"/>
      <w:bookmarkStart w:id="5052" w:name="_Toc18385"/>
      <w:bookmarkStart w:id="5053" w:name="_Toc16746"/>
      <w:bookmarkStart w:id="5054" w:name="_Toc18216"/>
      <w:bookmarkStart w:id="5055" w:name="_Toc10554"/>
      <w:bookmarkStart w:id="5056" w:name="_Toc31433"/>
      <w:bookmarkStart w:id="5057" w:name="_Toc16927"/>
      <w:bookmarkStart w:id="5058" w:name="_Toc29387"/>
      <w:bookmarkStart w:id="5059" w:name="_Toc4592"/>
      <w:bookmarkStart w:id="5060" w:name="_Toc28342"/>
      <w:bookmarkStart w:id="5061" w:name="_Toc13105"/>
      <w:r>
        <w:rPr>
          <w:rFonts w:hint="eastAsia"/>
        </w:rPr>
        <w:t>（三）</w:t>
      </w:r>
      <w:r>
        <w:t>技术保证措施</w:t>
      </w:r>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p>
    <w:p w14:paraId="0822E1C8">
      <w:pPr>
        <w:ind w:firstLine="560"/>
      </w:pPr>
      <w:r>
        <w:t>根据本工程的特点，为了按期优质、高效、安全地完成本项目的施工，达到业主满意，除在施工方案、施工方法中所涉及到的具体施工技术措施外，对技术及技术管理工作做如下安排；</w:t>
      </w:r>
    </w:p>
    <w:p w14:paraId="1815628C">
      <w:pPr>
        <w:ind w:firstLine="560"/>
      </w:pPr>
      <w:r>
        <w:t>1、组织保证、制度落实</w:t>
      </w:r>
    </w:p>
    <w:p w14:paraId="133462A8">
      <w:pPr>
        <w:ind w:firstLine="560"/>
      </w:pPr>
      <w:r>
        <w:t>1）选派有地下工程施工经验、组织管理能力强、技术过硬的工程管理、工程技术人员组成项目管理班子。同时组织公司内外专家成立专家组，派驻工地，协助项目经理部做好技术攻关及技术管理工作。选派技术过硬、作风好的施工队伍进场施工。</w:t>
      </w:r>
    </w:p>
    <w:p w14:paraId="667EFA5D">
      <w:pPr>
        <w:ind w:firstLine="560"/>
      </w:pPr>
      <w:r>
        <w:t>2）建立以项目技术负责人为首的技术管理体系，切实执行设计文件审核制、工前培训、技术交底制、开工报告制、测量换手复核制、隐蔽工程检查签证制、“三检制”、材料半成品试验、检测制、技术资料归档制、竣工文件编制办法等管理办法。确保施工生产全过程始终在合同规定的技术标准和要求的控制下。</w:t>
      </w:r>
    </w:p>
    <w:p w14:paraId="1960BEB5">
      <w:pPr>
        <w:ind w:firstLine="560"/>
      </w:pPr>
      <w:r>
        <w:t>3）建立完善的技术岗位责任制，各级技术人员都要签订技术保证责任书，以关键和特殊工序实行技术人员专业分工负责制，明确责任，确保各项技术管理工作的落实。</w:t>
      </w:r>
    </w:p>
    <w:p w14:paraId="65AF83EA">
      <w:pPr>
        <w:ind w:firstLine="560"/>
      </w:pPr>
      <w:r>
        <w:t>2、做好技术交底工作</w:t>
      </w:r>
    </w:p>
    <w:p w14:paraId="43ACFDBF">
      <w:pPr>
        <w:ind w:firstLine="560"/>
      </w:pPr>
      <w:r>
        <w:t>本工作是施工过程基础管理中一项不可缺少的重要工作内容，交底必须采用书面签证确认形式，具体可分如下几个方面。</w:t>
      </w:r>
    </w:p>
    <w:p w14:paraId="254CCD22">
      <w:pPr>
        <w:ind w:firstLine="560"/>
      </w:pPr>
      <w:r>
        <w:t>1）项目部接到设计图纸后，项目经理必须组织项目部全体人员对图纸进行认真学习，并督促建设单位组织设计交底会。</w:t>
      </w:r>
    </w:p>
    <w:p w14:paraId="7A36588E">
      <w:pPr>
        <w:ind w:firstLine="560"/>
      </w:pPr>
      <w:r>
        <w:t>2）施工组织设计编制完毕并送审确认后，由项目经理牵头，项目工程师组织全体人员认真学习施工方案，并进行技术、质量、安全书面交底。列出监控部位及监控要点。</w:t>
      </w:r>
    </w:p>
    <w:p w14:paraId="454F89FD">
      <w:pPr>
        <w:ind w:firstLine="560"/>
      </w:pPr>
      <w:r>
        <w:t>3）本着谁负责施工谁负责质量安全工作的原则，各分管工种负责人（生产经理、施工员等）在安排施工任务的同时，必须对施工班组进行书面技术质量安全交底，必须做到交底不明确不上岗，不签证不上岗。</w:t>
      </w:r>
    </w:p>
    <w:p w14:paraId="16CCBD75">
      <w:pPr>
        <w:ind w:firstLine="560"/>
      </w:pPr>
      <w:r>
        <w:t>技术交底的目的是使施工管理和作业人员了解掌握施工方案、工艺要求、工程内容、技术标准、施工程序、质量标准、工期要求、安全措施等，做到心中有数，施工有据。</w:t>
      </w:r>
    </w:p>
    <w:p w14:paraId="550267D6">
      <w:pPr>
        <w:ind w:firstLine="560"/>
      </w:pPr>
      <w:r>
        <w:t>工程开工前，项目经理部技术部门根据设计文件、图纸编制“施工手册”，向施工管理人员进行工作内容交底，“施工手册”内容包括工程分布、工程名称、工程数量、施工范围、技术标准、工期要求等内容。施工阶段由项目经理部技术人员向作业层技术人员对分项、分部、单位工程进行工程结构施工工艺标准、技术标准交底，现场技术交底由作业层技术人员向领工员、工班长进行技术交底。</w:t>
      </w:r>
    </w:p>
    <w:p w14:paraId="2FA2166C">
      <w:pPr>
        <w:ind w:firstLine="560"/>
      </w:pPr>
      <w:r>
        <w:t>施工技术交底，以书面交底为主，包括结构图、表和文字说明。交底资料必须详细、直观，符合施工规范和工艺细则要求，并经第二人复核确认无误后，方可交付使用。交底资料应妥善保存备查。</w:t>
      </w:r>
    </w:p>
    <w:p w14:paraId="022118E7">
      <w:pPr>
        <w:ind w:firstLine="560"/>
      </w:pPr>
      <w:r>
        <w:t>3、做好施工测量工作</w:t>
      </w:r>
    </w:p>
    <w:p w14:paraId="767D33B0">
      <w:pPr>
        <w:ind w:firstLine="560"/>
      </w:pPr>
      <w:r>
        <w:t>1）工程现场控制桩，由项目经理部技术部门负责接收使用、保管。交接桩双方要逐一现场查看，点交桩橛，双方应在交接记录上详细注明控制桩的当前情况及存在问题的处理意见，并进行签认。交接后，由项目技术负责人组织技术力量对桩位进行复测，复测精度须符合有关规定，如误差超过允许值范围，及时与业主联系落实。</w:t>
      </w:r>
    </w:p>
    <w:p w14:paraId="7D69EE14">
      <w:pPr>
        <w:ind w:firstLine="560"/>
      </w:pPr>
      <w:r>
        <w:t>2）施工过程中，经理部技术人员负责施工放样、定位，控制桩点护桩测量的工序间检查复核测量。工程竣工后，按设计图纸进行中线、高程贯通测量，确保中线、标高达到设计要求。</w:t>
      </w:r>
    </w:p>
    <w:p w14:paraId="175A0A5E">
      <w:pPr>
        <w:ind w:firstLine="560"/>
      </w:pPr>
      <w:r>
        <w:t>3）测量原始记录、资料、计算、图表必须真实完整，不得涂改，并妥善保管。测量仪器按计量部门规定，定期进行计量检定，并做好日常保养工作，保证状态良好。</w:t>
      </w:r>
    </w:p>
    <w:p w14:paraId="7C7F4CF5">
      <w:pPr>
        <w:ind w:firstLine="560"/>
      </w:pPr>
      <w:r>
        <w:t>4）认真贯彻执行测量复核制度，外业测量资料必须经过第二人复核，内业测量成果必须两人独立计算，相互校对，确保测量成果的准确性。</w:t>
      </w:r>
    </w:p>
    <w:p w14:paraId="19D902D2">
      <w:pPr>
        <w:pStyle w:val="5"/>
        <w:spacing w:before="31" w:after="31"/>
        <w:ind w:firstLine="562"/>
      </w:pPr>
      <w:bookmarkStart w:id="5062" w:name="_Toc16944"/>
      <w:bookmarkStart w:id="5063" w:name="_Toc3140"/>
      <w:bookmarkStart w:id="5064" w:name="_Toc2979"/>
      <w:bookmarkStart w:id="5065" w:name="_Toc13803"/>
      <w:bookmarkStart w:id="5066" w:name="_Toc28042"/>
      <w:bookmarkStart w:id="5067" w:name="_Toc5087"/>
      <w:bookmarkStart w:id="5068" w:name="_Toc6539"/>
      <w:bookmarkStart w:id="5069" w:name="_Toc9071"/>
      <w:bookmarkStart w:id="5070" w:name="_Toc30148"/>
      <w:bookmarkStart w:id="5071" w:name="_Toc7653"/>
      <w:bookmarkStart w:id="5072" w:name="_Toc8270"/>
      <w:bookmarkStart w:id="5073" w:name="_Toc18530"/>
      <w:bookmarkStart w:id="5074" w:name="_Toc12722"/>
      <w:bookmarkStart w:id="5075" w:name="_Toc31082"/>
      <w:bookmarkStart w:id="5076" w:name="_Toc31719"/>
      <w:bookmarkStart w:id="5077" w:name="_Toc8855"/>
      <w:bookmarkStart w:id="5078" w:name="_Toc12959"/>
      <w:bookmarkStart w:id="5079" w:name="_Toc27974"/>
      <w:bookmarkStart w:id="5080" w:name="_Toc3906"/>
      <w:bookmarkStart w:id="5081" w:name="_Toc11390"/>
      <w:bookmarkStart w:id="5082" w:name="_Toc8819"/>
      <w:bookmarkStart w:id="5083" w:name="_Toc23403"/>
      <w:bookmarkStart w:id="5084" w:name="_Toc23152"/>
      <w:bookmarkStart w:id="5085" w:name="_Toc5166"/>
      <w:bookmarkStart w:id="5086" w:name="_Toc5683"/>
      <w:bookmarkStart w:id="5087" w:name="_Toc18131"/>
      <w:bookmarkStart w:id="5088" w:name="_Toc24975"/>
      <w:bookmarkStart w:id="5089" w:name="_Toc6912"/>
      <w:bookmarkStart w:id="5090" w:name="_Toc16124"/>
      <w:bookmarkStart w:id="5091" w:name="_Toc3133"/>
      <w:bookmarkStart w:id="5092" w:name="_Toc211"/>
      <w:bookmarkStart w:id="5093" w:name="_Toc3680"/>
      <w:bookmarkStart w:id="5094" w:name="_Toc12187"/>
      <w:bookmarkStart w:id="5095" w:name="_Toc26941"/>
      <w:bookmarkStart w:id="5096" w:name="_Toc12344"/>
      <w:bookmarkStart w:id="5097" w:name="_Toc19313"/>
      <w:bookmarkStart w:id="5098" w:name="_Toc20215"/>
      <w:bookmarkStart w:id="5099" w:name="_Toc16737"/>
      <w:bookmarkStart w:id="5100" w:name="_Toc7523"/>
      <w:bookmarkStart w:id="5101" w:name="_Toc28382"/>
      <w:bookmarkStart w:id="5102" w:name="_Toc13974"/>
      <w:bookmarkStart w:id="5103" w:name="_Toc8280"/>
      <w:bookmarkStart w:id="5104" w:name="_Toc4439"/>
      <w:bookmarkStart w:id="5105" w:name="_Toc4436"/>
      <w:bookmarkStart w:id="5106" w:name="_Toc24642"/>
      <w:bookmarkStart w:id="5107" w:name="_Toc1861"/>
      <w:bookmarkStart w:id="5108" w:name="_Toc27741"/>
      <w:bookmarkStart w:id="5109" w:name="_Toc13019"/>
      <w:bookmarkStart w:id="5110" w:name="_Toc1657"/>
      <w:bookmarkStart w:id="5111" w:name="_Toc27630"/>
      <w:bookmarkStart w:id="5112" w:name="_Toc8603"/>
      <w:bookmarkStart w:id="5113" w:name="_Toc3779"/>
      <w:bookmarkStart w:id="5114" w:name="_Toc30552"/>
      <w:bookmarkStart w:id="5115" w:name="_Toc17612"/>
      <w:bookmarkStart w:id="5116" w:name="_Toc23529"/>
      <w:r>
        <w:rPr>
          <w:rFonts w:hint="eastAsia"/>
        </w:rPr>
        <w:t>（四）</w:t>
      </w:r>
      <w:r>
        <w:t>原材料质量保证措施</w:t>
      </w:r>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p>
    <w:p w14:paraId="25127B3C">
      <w:pPr>
        <w:ind w:firstLine="560"/>
      </w:pPr>
      <w:r>
        <w:t>1、原材料的采购</w:t>
      </w:r>
    </w:p>
    <w:p w14:paraId="42568112">
      <w:pPr>
        <w:ind w:firstLine="560"/>
      </w:pPr>
      <w:r>
        <w:t>1）做好市场调查，从中选择几个生产管理好、质量可靠稳定的厂家，作为待定的供销商，建立质量档案。</w:t>
      </w:r>
    </w:p>
    <w:p w14:paraId="1DD64549">
      <w:pPr>
        <w:ind w:firstLine="560"/>
      </w:pPr>
      <w:r>
        <w:t>2）从待定的供销商中按规定取样，送业主认可的质监站进行试验。</w:t>
      </w:r>
    </w:p>
    <w:p w14:paraId="5B27A7B6">
      <w:pPr>
        <w:ind w:firstLine="560"/>
      </w:pPr>
      <w:r>
        <w:t>3）试验结果得出后，进行质量比较，从中选择最优厂家，作为合格供应商，建立供货关系。</w:t>
      </w:r>
    </w:p>
    <w:p w14:paraId="1C350B2A">
      <w:pPr>
        <w:ind w:firstLine="560"/>
      </w:pPr>
      <w:r>
        <w:t>4）建立供货商档案，随时对材料进行抽样，保证供销商所提供的产品均为合格，否则应重新认定合格的供销商。</w:t>
      </w:r>
    </w:p>
    <w:p w14:paraId="61E4FBAC">
      <w:pPr>
        <w:ind w:firstLine="560"/>
      </w:pPr>
      <w:r>
        <w:t>2、原材料的运输、搬运和贮存</w:t>
      </w:r>
    </w:p>
    <w:p w14:paraId="3A087C76">
      <w:pPr>
        <w:ind w:firstLine="560"/>
      </w:pPr>
      <w:r>
        <w:t>1）原材料进场必须“三证”齐全，包括产品合格证、抽样化验合格证和供应商资格合格证。</w:t>
      </w:r>
    </w:p>
    <w:p w14:paraId="5A49E6BC">
      <w:pPr>
        <w:ind w:firstLine="560"/>
      </w:pPr>
      <w:r>
        <w:t>2）对于易损材料，运输和搬运时做好防护，防止变形和破损。</w:t>
      </w:r>
    </w:p>
    <w:p w14:paraId="707178C3">
      <w:pPr>
        <w:ind w:firstLine="560"/>
      </w:pPr>
      <w:r>
        <w:t>3）原材料进场后应按指定地点整齐码放，并挂标牌标识，标明型号、进场日期、检验日期、经手人等，实现原材料质量的有效追溯。</w:t>
      </w:r>
    </w:p>
    <w:p w14:paraId="3A0E20EC">
      <w:pPr>
        <w:ind w:firstLine="560"/>
      </w:pPr>
      <w:r>
        <w:t>4）原材料进场需由专人保管，对水泥等材料应在室内保管，不得任由风吹日晒。</w:t>
      </w:r>
    </w:p>
    <w:p w14:paraId="4E46D010">
      <w:pPr>
        <w:ind w:firstLine="560"/>
      </w:pPr>
      <w:r>
        <w:t>5）在运输、搬运过程中损坏或贮存时间过长、贮存方式不当引起的质量下降的原材料，不得使用在永久工程结构中，并应及时清理分类堆放并标识，以免混用。</w:t>
      </w:r>
    </w:p>
    <w:p w14:paraId="3D8D98F4">
      <w:pPr>
        <w:pStyle w:val="5"/>
        <w:spacing w:before="31" w:after="31"/>
        <w:ind w:firstLine="562"/>
      </w:pPr>
      <w:bookmarkStart w:id="5117" w:name="_Toc15558"/>
      <w:bookmarkStart w:id="5118" w:name="_Toc30028"/>
      <w:bookmarkStart w:id="5119" w:name="_Toc16715"/>
      <w:bookmarkStart w:id="5120" w:name="_Toc22767"/>
      <w:bookmarkStart w:id="5121" w:name="_Toc8450"/>
      <w:bookmarkStart w:id="5122" w:name="_Toc20590"/>
      <w:bookmarkStart w:id="5123" w:name="_Toc25134"/>
      <w:bookmarkStart w:id="5124" w:name="_Toc10361"/>
      <w:bookmarkStart w:id="5125" w:name="_Toc1198"/>
      <w:bookmarkStart w:id="5126" w:name="_Toc26821"/>
      <w:bookmarkStart w:id="5127" w:name="_Toc1833"/>
      <w:bookmarkStart w:id="5128" w:name="_Toc15919"/>
      <w:bookmarkStart w:id="5129" w:name="_Toc18888"/>
      <w:bookmarkStart w:id="5130" w:name="_Toc16634"/>
      <w:bookmarkStart w:id="5131" w:name="_Toc13648"/>
      <w:bookmarkStart w:id="5132" w:name="_Toc23915"/>
      <w:bookmarkStart w:id="5133" w:name="_Toc2675"/>
      <w:bookmarkStart w:id="5134" w:name="_Toc15627"/>
      <w:bookmarkStart w:id="5135" w:name="_Toc24679"/>
      <w:bookmarkStart w:id="5136" w:name="_Toc22476"/>
      <w:bookmarkStart w:id="5137" w:name="_Toc7561"/>
      <w:bookmarkStart w:id="5138" w:name="_Toc25970"/>
      <w:bookmarkStart w:id="5139" w:name="_Toc17913"/>
      <w:bookmarkStart w:id="5140" w:name="_Toc15033"/>
      <w:bookmarkStart w:id="5141" w:name="_Toc10429"/>
      <w:bookmarkStart w:id="5142" w:name="_Toc30338"/>
      <w:bookmarkStart w:id="5143" w:name="_Toc2731"/>
      <w:bookmarkStart w:id="5144" w:name="_Toc24132"/>
      <w:bookmarkStart w:id="5145" w:name="_Toc27325"/>
      <w:bookmarkStart w:id="5146" w:name="_Toc2124"/>
      <w:bookmarkStart w:id="5147" w:name="_Toc2293"/>
      <w:bookmarkStart w:id="5148" w:name="_Toc10257"/>
      <w:bookmarkStart w:id="5149" w:name="_Toc20226"/>
      <w:bookmarkStart w:id="5150" w:name="_Toc17077"/>
      <w:bookmarkStart w:id="5151" w:name="_Toc15388"/>
      <w:bookmarkStart w:id="5152" w:name="_Toc13071"/>
      <w:bookmarkStart w:id="5153" w:name="_Toc31965"/>
      <w:bookmarkStart w:id="5154" w:name="_Toc18693"/>
      <w:bookmarkStart w:id="5155" w:name="_Toc5449"/>
      <w:bookmarkStart w:id="5156" w:name="_Toc13704"/>
      <w:bookmarkStart w:id="5157" w:name="_Toc7457"/>
      <w:bookmarkStart w:id="5158" w:name="_Toc23855"/>
      <w:bookmarkStart w:id="5159" w:name="_Toc12341"/>
      <w:bookmarkStart w:id="5160" w:name="_Toc12874"/>
      <w:bookmarkStart w:id="5161" w:name="_Toc19120"/>
      <w:bookmarkStart w:id="5162" w:name="_Toc28364"/>
      <w:bookmarkStart w:id="5163" w:name="_Toc14403"/>
      <w:bookmarkStart w:id="5164" w:name="_Toc26027"/>
      <w:bookmarkStart w:id="5165" w:name="_Toc13197"/>
      <w:bookmarkStart w:id="5166" w:name="_Toc23510"/>
      <w:bookmarkStart w:id="5167" w:name="_Toc8549"/>
      <w:bookmarkStart w:id="5168" w:name="_Toc19312"/>
      <w:bookmarkStart w:id="5169" w:name="_Toc22721"/>
      <w:bookmarkStart w:id="5170" w:name="_Toc14692"/>
      <w:bookmarkStart w:id="5171" w:name="_Toc24085"/>
      <w:r>
        <w:rPr>
          <w:rFonts w:hint="eastAsia"/>
        </w:rPr>
        <w:t>（五）</w:t>
      </w:r>
      <w:r>
        <w:t>施工过程的质量控制</w:t>
      </w:r>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p>
    <w:p w14:paraId="5553E15A">
      <w:pPr>
        <w:ind w:firstLine="560"/>
      </w:pPr>
      <w:r>
        <w:t>1、总则</w:t>
      </w:r>
    </w:p>
    <w:p w14:paraId="1CB2DBF2">
      <w:pPr>
        <w:ind w:firstLine="560"/>
      </w:pPr>
      <w:r>
        <w:t>1）做好施工组织设计和施工方案的优化工作，按施工组织设计做好施工准备工作。</w:t>
      </w:r>
    </w:p>
    <w:p w14:paraId="42B9C12B">
      <w:pPr>
        <w:ind w:firstLine="560"/>
      </w:pPr>
      <w:r>
        <w:t>2）严格按照施工组织设计确定的合理施工工序进行操作施工，发现问题及时上报，并会同公司有关部门研究解决。</w:t>
      </w:r>
    </w:p>
    <w:p w14:paraId="2D626C5E">
      <w:pPr>
        <w:ind w:firstLine="560"/>
      </w:pPr>
      <w:r>
        <w:t>3）质安员实行跟班质量监督，发现问题及时处理。对有不按设计要求、施工验收规范、操作规程及施工方案施工，有损害工程质量行为的，有权停止施工并限期整改，实行质量一票否决权。</w:t>
      </w:r>
    </w:p>
    <w:p w14:paraId="468DFA19">
      <w:pPr>
        <w:ind w:firstLine="560"/>
      </w:pPr>
      <w:r>
        <w:t>4）严格上下工序和交叉工序的交接、验收制度，做到本工程质量不合格不交，上工序不符合要求，下工序不继续施工。分部（分项）工程的检查、验收按建设部相应的质量评定标准执行。</w:t>
      </w:r>
    </w:p>
    <w:p w14:paraId="71DC6A02">
      <w:pPr>
        <w:ind w:firstLine="560"/>
      </w:pPr>
      <w:r>
        <w:t>5）合理安排施工工序的穿插，相应穿插的单位要明确责任，要办好交底和验收，加强产品的保护。</w:t>
      </w:r>
    </w:p>
    <w:p w14:paraId="6B59A1AB">
      <w:pPr>
        <w:ind w:firstLine="560"/>
      </w:pPr>
      <w:r>
        <w:t>6）认真处理好土建与水电等安装施工的关系，积极配合安装工程的预留、预埋工作，严禁事后打凿。</w:t>
      </w:r>
    </w:p>
    <w:p w14:paraId="14EBDE00">
      <w:pPr>
        <w:ind w:firstLine="560"/>
      </w:pPr>
      <w:r>
        <w:t>7）各施工工序要坚持“自检、互检、专检”的质量检查制度，逐级检查，层层把关，所有隐蔽工作必须经监理或设计人验收并办好隐蔽记录签证后，才能进行下一道工序的施工。要尊重建设单位、监理人员、质监站，要积极配合，同心协力共同把好质量关，并为检查验收提供方便。</w:t>
      </w:r>
    </w:p>
    <w:p w14:paraId="23E4F521">
      <w:pPr>
        <w:ind w:firstLine="560"/>
      </w:pPr>
      <w:r>
        <w:t>8）加强工程资料管理，由项目资料员负责进行收集、整理，确保资料齐全和数据准确、可靠，按照合同要求编制竣工资料。</w:t>
      </w:r>
    </w:p>
    <w:p w14:paraId="07C9B07F">
      <w:pPr>
        <w:ind w:firstLine="560"/>
      </w:pPr>
      <w:r>
        <w:t>9）实行样板引路，以样板柱、墙、工序指导施工。各分项工程实施前，应做样板，经检查满足质量达到合格等级要求后，方可大面积施工。</w:t>
      </w:r>
    </w:p>
    <w:p w14:paraId="49FAAFF9">
      <w:pPr>
        <w:ind w:firstLine="560"/>
      </w:pPr>
      <w:r>
        <w:t>2、施工测量的质量控制</w:t>
      </w:r>
    </w:p>
    <w:p w14:paraId="21FF77A5">
      <w:pPr>
        <w:ind w:firstLine="560"/>
      </w:pPr>
      <w:r>
        <w:t>1）施工所用的测量仪器要定期送检，始终保持在良好状态。</w:t>
      </w:r>
    </w:p>
    <w:p w14:paraId="6B4CF3E6">
      <w:pPr>
        <w:ind w:firstLine="560"/>
      </w:pPr>
      <w:r>
        <w:t>2）测量员要严格遵守操作规程，一定按有关规定作业。</w:t>
      </w:r>
    </w:p>
    <w:p w14:paraId="286029C8">
      <w:pPr>
        <w:ind w:firstLine="560"/>
      </w:pPr>
      <w:r>
        <w:t>3）阴雨、曝晒天气，在露天测量时要对仪器进行遮盖。</w:t>
      </w:r>
    </w:p>
    <w:p w14:paraId="32636811">
      <w:pPr>
        <w:ind w:firstLine="560"/>
      </w:pPr>
      <w:r>
        <w:t>4）在观测过程中，经常检查仪器圆水泡是否居中，检查后视方向是否有变化，并及时调整好。本次观测完成后，一定要闭合或附合检查，防止仪器变化或偶然读错造成误差。</w:t>
      </w:r>
    </w:p>
    <w:p w14:paraId="358D294C">
      <w:pPr>
        <w:ind w:firstLine="560"/>
      </w:pPr>
      <w:r>
        <w:t>5）施工现场控制用点，经常复核、检查。</w:t>
      </w:r>
    </w:p>
    <w:p w14:paraId="013D7446">
      <w:pPr>
        <w:ind w:firstLine="560"/>
      </w:pPr>
      <w:r>
        <w:t>6）轴线、标高竖向传递要与基点校核，控制在规范范围内，确保精度要求。</w:t>
      </w:r>
    </w:p>
    <w:p w14:paraId="4EE67740">
      <w:pPr>
        <w:ind w:firstLine="560"/>
      </w:pPr>
      <w:r>
        <w:t>7）每个单体工程的测量人员固定，采用固定的仪器进行观测。</w:t>
      </w:r>
    </w:p>
    <w:p w14:paraId="0719A5BD">
      <w:pPr>
        <w:ind w:firstLine="560"/>
      </w:pPr>
      <w:r>
        <w:t>3、钢筋工程质量控制</w:t>
      </w:r>
    </w:p>
    <w:p w14:paraId="63BE8CF0">
      <w:pPr>
        <w:ind w:firstLine="560"/>
      </w:pPr>
      <w:r>
        <w:t>1）钢筋加工</w:t>
      </w:r>
    </w:p>
    <w:p w14:paraId="2D89FE62">
      <w:pPr>
        <w:ind w:firstLine="560"/>
      </w:pPr>
      <w:r>
        <w:t>（1）钢筋的品种和质量、焊条和焊剂的牌号、性能须符合设计要求和有关标准。</w:t>
      </w:r>
    </w:p>
    <w:p w14:paraId="15F0392A">
      <w:pPr>
        <w:ind w:firstLine="560"/>
      </w:pPr>
      <w:r>
        <w:t>（2）钢筋表面洁净，粘着的油污、泥土、浮锈使用前必须清理干净。</w:t>
      </w:r>
    </w:p>
    <w:p w14:paraId="6531B072">
      <w:pPr>
        <w:ind w:firstLine="560"/>
      </w:pPr>
      <w:r>
        <w:t>（3）钢筋调直后不得有局部弯曲、死弯、小波浪形、表面伤痕不应使钢筋截面减小5%，表面带有颗粒状或片状老锈经除锈后仍有麻点的钢筋严禁按原规格使用。</w:t>
      </w:r>
    </w:p>
    <w:p w14:paraId="7A47C1D5">
      <w:pPr>
        <w:ind w:firstLine="560"/>
      </w:pPr>
      <w:r>
        <w:t>（4）对钢筋开料切断尺寸不准，应根据钢筋所在部位和误差，确定调整或返工。</w:t>
      </w:r>
    </w:p>
    <w:p w14:paraId="5182990D">
      <w:pPr>
        <w:ind w:firstLine="560"/>
      </w:pPr>
      <w:r>
        <w:t>（5）对钢筋成型尺寸不准确，外形误差超过质量标准允许值，箍筋歪斜等，一级钢筋可进行一次重新调直后弯曲，其它级别钢筋不宜重新调直反复弯曲。</w:t>
      </w:r>
    </w:p>
    <w:p w14:paraId="696C4D12">
      <w:pPr>
        <w:ind w:firstLine="560"/>
      </w:pPr>
      <w:r>
        <w:t>（6）钢筋的类别和直径由于客观原因需调换替代时，必须征得设计人同意，并得到监理工程师的认可。</w:t>
      </w:r>
    </w:p>
    <w:p w14:paraId="1156450F">
      <w:pPr>
        <w:ind w:firstLine="560"/>
      </w:pPr>
      <w:r>
        <w:t>2）钢筋安装</w:t>
      </w:r>
    </w:p>
    <w:p w14:paraId="302E5BF2">
      <w:pPr>
        <w:ind w:firstLine="560"/>
      </w:pPr>
      <w:r>
        <w:t>（1）绑扎形式复杂的结构部件时，事先考虑支模和绑扎的先后次序，宜制定安装方案，绑扎部位的位置上所有杂物应在安装前清理好。</w:t>
      </w:r>
    </w:p>
    <w:p w14:paraId="0DEBC074">
      <w:pPr>
        <w:ind w:firstLine="560"/>
      </w:pPr>
      <w:r>
        <w:t>（2）钢筋的规格、形状、尺寸、数量、间距、锚固长度、接头位置、保护层厚度必须符合设计要求和施工规范的规定，钢筋与模板间要设置足够数量与强度的垫块。</w:t>
      </w:r>
    </w:p>
    <w:p w14:paraId="76210F85">
      <w:pPr>
        <w:ind w:firstLine="560"/>
      </w:pPr>
      <w:r>
        <w:t>（3）钢筋、骨架绑扎、缺扣不超过应绑扎数的10%，且不应集中。钢筋弯钩的朝向正确，绑扎接头需符合施工规范的规定，搭接长度不小于规定值。</w:t>
      </w:r>
    </w:p>
    <w:p w14:paraId="235FEF1B">
      <w:pPr>
        <w:ind w:firstLine="560"/>
      </w:pPr>
      <w:r>
        <w:t>（4）钢筋采用绑扎接头时，接头位置应相互错开，错开距离为受力钢筋直径的30倍且不小于500mm，有绑扎接头的受力钢筋截面面积占受力钢筋总截面面积的百分率：在受拉区不得超过25%，在受压区不得超过50%。</w:t>
      </w:r>
    </w:p>
    <w:p w14:paraId="0893DD1D">
      <w:pPr>
        <w:ind w:firstLine="560"/>
      </w:pPr>
      <w:r>
        <w:t>（5）钢筋接头不宜设在梁端、柱端的箍筋加密区。抗震结构绑扎接头的搭接长度，一、二级钢筋应比非抗震的最小搭接长度相应增加10d、5d（d为搭接钢筋直径）。</w:t>
      </w:r>
    </w:p>
    <w:p w14:paraId="3295A063">
      <w:pPr>
        <w:ind w:firstLine="560"/>
      </w:pPr>
      <w:r>
        <w:t>（6）钢筋采用焊接接头时，设置在同一构件内的焊接接头相互应错开，错开距离为受力钢筋直径的30倍且不小于500mm，一根钢筋不得有两个接头，有接头的钢筋总截面面积的百分率：在受拉区不得超过50%，在受压区不受限制。</w:t>
      </w:r>
    </w:p>
    <w:p w14:paraId="40B55A02">
      <w:pPr>
        <w:ind w:firstLine="560"/>
      </w:pPr>
      <w:r>
        <w:t>（7）钢筋焊接前，必须根据施工条件进行试焊，合格后方可正式施焊。焊接过程要及时清渣，焊缝表面光滑平整，加强焊缝平缓过渡，弧坑应填满。</w:t>
      </w:r>
    </w:p>
    <w:p w14:paraId="2C63D87B">
      <w:pPr>
        <w:ind w:firstLine="560"/>
      </w:pPr>
      <w:r>
        <w:t>4、模板工程质量控制</w:t>
      </w:r>
    </w:p>
    <w:p w14:paraId="6F6F3337">
      <w:pPr>
        <w:ind w:firstLine="560"/>
      </w:pPr>
      <w:r>
        <w:t>1）施工前的准备</w:t>
      </w:r>
    </w:p>
    <w:p w14:paraId="3710E861">
      <w:pPr>
        <w:ind w:firstLine="560"/>
      </w:pPr>
      <w:r>
        <w:t>（1）认真熟悉图纸，了解每个构件的截面尺寸、标高等。根据构件大小，对其支撑体系进行设计计算，设计支撑体系。并作好向操作工人的技术交底。</w:t>
      </w:r>
    </w:p>
    <w:p w14:paraId="17057961">
      <w:pPr>
        <w:ind w:firstLine="560"/>
      </w:pPr>
      <w:r>
        <w:t>（2）模板安装前，必须经过正确放样，检查无误后才能立模安装。</w:t>
      </w:r>
    </w:p>
    <w:p w14:paraId="3B1ECB25">
      <w:pPr>
        <w:ind w:firstLine="560"/>
      </w:pPr>
      <w:r>
        <w:t>（3）模板安装前，先检查模板及支撑杆件的质量，不符质量标准的不得投入使用。</w:t>
      </w:r>
    </w:p>
    <w:p w14:paraId="0E8ED44D">
      <w:pPr>
        <w:ind w:firstLine="560"/>
      </w:pPr>
      <w:r>
        <w:t>2）安装模板及支撑前必须弹出安装位置及标高控制墨线，确保构件几何尺寸符合设计要求。</w:t>
      </w:r>
    </w:p>
    <w:p w14:paraId="2F6B4363">
      <w:pPr>
        <w:ind w:firstLine="560"/>
      </w:pPr>
      <w:r>
        <w:t>3）墙柱模安装前，先将原砼面凿平，模板安装完成，在底部四周抹1：3水泥砂浆封住缝隙，确保不漏浆。</w:t>
      </w:r>
    </w:p>
    <w:p w14:paraId="62001D9E">
      <w:pPr>
        <w:ind w:firstLine="560"/>
      </w:pPr>
      <w:r>
        <w:t>4）模板门式脚手架驳接必须同一轴线，支顶应垂直，上下层支顶在同一竖向中心线上，而且要确保门架间在竖向与水平向的稳定。</w:t>
      </w:r>
    </w:p>
    <w:p w14:paraId="4622CB36">
      <w:pPr>
        <w:ind w:firstLine="560"/>
      </w:pPr>
      <w:r>
        <w:t>5）柱子与梁交接时，必须根据柱梁截面用夹板做成定型模板，并加柱头箍安装以保证柱、梁接头顺直，接缝平滑。</w:t>
      </w:r>
    </w:p>
    <w:p w14:paraId="712C73D1">
      <w:pPr>
        <w:ind w:firstLine="560"/>
      </w:pPr>
      <w:r>
        <w:t>6）门架支顶系统中，水平接杆必须两头紧顶柱子或剪力墙，保证支模体系稳固。</w:t>
      </w:r>
    </w:p>
    <w:p w14:paraId="725B82EE">
      <w:pPr>
        <w:ind w:firstLine="560"/>
      </w:pPr>
      <w:r>
        <w:t>7）模板安装前必须扫脱模剂，拆下的模板及时清理粘结物，并分类堆放整齐，拆下的扣件及时集中统一管理。</w:t>
      </w:r>
    </w:p>
    <w:p w14:paraId="21902A63">
      <w:pPr>
        <w:ind w:firstLine="560"/>
      </w:pPr>
      <w:r>
        <w:t>8）当梁底跨大于4米时，梁底按设计要求起拱，如设计无要求时，起拱高度为跨度的1/1000-3/1000。</w:t>
      </w:r>
    </w:p>
    <w:p w14:paraId="35820878">
      <w:pPr>
        <w:ind w:firstLine="560"/>
      </w:pPr>
      <w:r>
        <w:t>9）模板安装和预埋件、预留孔洞允许偏差和检验方法必须符合有关规定。</w:t>
      </w:r>
    </w:p>
    <w:p w14:paraId="5FC92186">
      <w:pPr>
        <w:ind w:firstLine="560"/>
      </w:pPr>
      <w:r>
        <w:t>10）模板应构造简单，装拆方便，应便于钢筋的绑扎与安装，符合混凝土的浇筑及养护等工艺要求。</w:t>
      </w:r>
    </w:p>
    <w:p w14:paraId="69EEAA11">
      <w:pPr>
        <w:ind w:firstLine="560"/>
      </w:pPr>
      <w:r>
        <w:t>11）模板必须支撑牢固、稳定，不得有跑模、超标准下沉等现象。对超重的顶板模板支撑刚度应进行设计计算。</w:t>
      </w:r>
    </w:p>
    <w:p w14:paraId="27544706">
      <w:pPr>
        <w:ind w:firstLine="560"/>
      </w:pPr>
      <w:r>
        <w:t>12）模板拼缝应平整严密，局部采用玻璃胶填缝，不得漏浆，模板表面应清理干净，拼缝处内贴止水胶带，防止漏浆。</w:t>
      </w:r>
    </w:p>
    <w:p w14:paraId="5BE95418">
      <w:pPr>
        <w:ind w:firstLine="560"/>
      </w:pPr>
      <w:r>
        <w:t>5、混凝土工程质量控制</w:t>
      </w:r>
    </w:p>
    <w:p w14:paraId="78F83B73">
      <w:pPr>
        <w:ind w:firstLine="560"/>
      </w:pPr>
      <w:r>
        <w:t>1）施工前的准备</w:t>
      </w:r>
    </w:p>
    <w:p w14:paraId="332FE16D">
      <w:pPr>
        <w:ind w:firstLine="560"/>
      </w:pPr>
      <w:r>
        <w:t>（1）进行混凝土施工的技术人员必须熟悉图纸，并做好施工技术交底签证，确定操作规程，确保混凝土质量达到设计要求及验收标准。严格按规范、规程施工，做到一丝不苟，不偷工减料，不粗制滥造。</w:t>
      </w:r>
    </w:p>
    <w:p w14:paraId="28E69552">
      <w:pPr>
        <w:ind w:firstLine="560"/>
      </w:pPr>
      <w:r>
        <w:t>（2）严格执行混凝土施工相关原材料、半成品验收制度，要求水泥、中砂、碎石均有质量合格证并经送检，满足强度等各种要求。不合格的材料严禁进场，并且将各种材料试验报告整理存档。</w:t>
      </w:r>
    </w:p>
    <w:p w14:paraId="4F9965D3">
      <w:pPr>
        <w:ind w:firstLine="560"/>
      </w:pPr>
      <w:r>
        <w:t>（3）在混凝土浇筑前，严格按照国家现行规定标准，计算确定混凝土的配合比，并将计算及实验结构报送监理批准。对于混凝土水灰比及塌落度应做严格的控制，项目部应配合混凝土搅拌站作好批量混凝土施工前的准备工作。</w:t>
      </w:r>
    </w:p>
    <w:p w14:paraId="240BAB48">
      <w:pPr>
        <w:ind w:firstLine="560"/>
      </w:pPr>
      <w:r>
        <w:t>2）混凝土浇筑</w:t>
      </w:r>
    </w:p>
    <w:p w14:paraId="4A98CE3F">
      <w:pPr>
        <w:ind w:firstLine="560"/>
      </w:pPr>
      <w:r>
        <w:t>（1）浇筑前的准备</w:t>
      </w:r>
    </w:p>
    <w:p w14:paraId="390F8BB9">
      <w:pPr>
        <w:ind w:firstLine="560"/>
      </w:pPr>
      <w:r>
        <w:t>a.对地基、旧混凝土面作必要的清理准备工作。</w:t>
      </w:r>
    </w:p>
    <w:p w14:paraId="28E564AE">
      <w:pPr>
        <w:ind w:firstLine="560"/>
      </w:pPr>
      <w:r>
        <w:t>b.对钢筋、模板、支架和预埋件进行检查，清除模板内的垃圾、泥土及钢筋上的油污，摆好马凳及混凝土垫块，在确保万无一失的情况下进行浇筑。</w:t>
      </w:r>
    </w:p>
    <w:p w14:paraId="63EC08C0">
      <w:pPr>
        <w:ind w:firstLine="560"/>
      </w:pPr>
      <w:r>
        <w:t>c.作好电力、动力、照明、养护等的准备工作。</w:t>
      </w:r>
    </w:p>
    <w:p w14:paraId="104F2408">
      <w:pPr>
        <w:ind w:firstLine="560"/>
      </w:pPr>
      <w:r>
        <w:t>（2）混凝土浇筑</w:t>
      </w:r>
    </w:p>
    <w:p w14:paraId="6C740C85">
      <w:pPr>
        <w:ind w:firstLine="560"/>
      </w:pPr>
      <w:r>
        <w:t>a.不能引起混凝土离析，混凝土自卸高度控制在2m以内。</w:t>
      </w:r>
    </w:p>
    <w:p w14:paraId="75050B1C">
      <w:pPr>
        <w:ind w:firstLine="560"/>
      </w:pPr>
      <w:r>
        <w:t>b.不做冷接缝：一次浇筑厚度控制在捣固棒长度2/3以内，防止浇筑厚度过大，水泥浆流动远而造成冷接缝。混凝土间隙浇筑时间不超过60min。</w:t>
      </w:r>
    </w:p>
    <w:p w14:paraId="76983BF3">
      <w:pPr>
        <w:ind w:firstLine="560"/>
      </w:pPr>
      <w:r>
        <w:t>c.在合理时间内浇筑完毕，浇筑速度不能过快，否则，易使模板侧向压力增大，振捣不充分，表面泛浆及沉降过大。</w:t>
      </w:r>
    </w:p>
    <w:p w14:paraId="45C0DC9C">
      <w:pPr>
        <w:ind w:firstLine="560"/>
      </w:pPr>
      <w:r>
        <w:t>d.在留置施工缝处继续浇筑混凝土时，已浇筑的混凝土，其抗压强度不应小于1.2Mpa。在已硬化的混凝土表面上，应清除水泥薄膜和松动石子以及软弱混凝土层，并加以充分湿润和冲洗干净，不得有积水。混凝土必须确保振动密实。</w:t>
      </w:r>
    </w:p>
    <w:p w14:paraId="6C8120B3">
      <w:pPr>
        <w:ind w:firstLine="560"/>
      </w:pPr>
      <w:r>
        <w:t>（3）混凝土捣固</w:t>
      </w:r>
    </w:p>
    <w:p w14:paraId="7EC3732C">
      <w:pPr>
        <w:ind w:firstLine="560"/>
      </w:pPr>
      <w:r>
        <w:t>a.在一处振捣时间控制在10-20s为宜，以振捣器附近混凝土表面不出现气泡和浮浆为宜。</w:t>
      </w:r>
    </w:p>
    <w:p w14:paraId="38A1ED0D">
      <w:pPr>
        <w:ind w:firstLine="560"/>
      </w:pPr>
      <w:r>
        <w:t>b.捣固棒插入间距以40cm为宜。</w:t>
      </w:r>
    </w:p>
    <w:p w14:paraId="70871ADE">
      <w:pPr>
        <w:ind w:firstLine="560"/>
      </w:pPr>
      <w:r>
        <w:t>c.不能将振捣器横置。</w:t>
      </w:r>
    </w:p>
    <w:p w14:paraId="7639E874">
      <w:pPr>
        <w:ind w:firstLine="560"/>
      </w:pPr>
      <w:r>
        <w:t>d.不能用振捣器使混凝土横向流动。</w:t>
      </w:r>
    </w:p>
    <w:p w14:paraId="76D7ADFC">
      <w:pPr>
        <w:ind w:firstLine="560"/>
      </w:pPr>
      <w:r>
        <w:t>e.不能用振捣器弄散堆积的混凝土。</w:t>
      </w:r>
    </w:p>
    <w:p w14:paraId="4132BB02">
      <w:pPr>
        <w:ind w:firstLine="560"/>
      </w:pPr>
      <w:r>
        <w:t>f.不能直接振动钢筋代替混凝土捣固。</w:t>
      </w:r>
    </w:p>
    <w:p w14:paraId="29C055B2">
      <w:pPr>
        <w:ind w:firstLine="560"/>
      </w:pPr>
      <w:r>
        <w:t>4）混凝土养护</w:t>
      </w:r>
    </w:p>
    <w:p w14:paraId="5052AD39">
      <w:pPr>
        <w:ind w:firstLine="560"/>
      </w:pPr>
      <w:r>
        <w:t>（1）混凝土拆模后，墙柱进行喷雾养护或薄膜覆盖养护。楼板养护采用覆盖及蓄水养护，养护时间保证不少于14天，养护用水采用自来水。</w:t>
      </w:r>
    </w:p>
    <w:p w14:paraId="0C3633FC">
      <w:pPr>
        <w:ind w:firstLine="560"/>
      </w:pPr>
      <w:r>
        <w:t>（2）在混凝土达到一定强度前避免承受荷载和冲击。</w:t>
      </w:r>
    </w:p>
    <w:p w14:paraId="03A2BBAF">
      <w:pPr>
        <w:ind w:firstLine="560"/>
      </w:pPr>
      <w:r>
        <w:t>（3）对混凝土内温度进行监测，技术人员根据测得的混凝土内外温差及时研究，调整养护保温措施，控制微裂缝的产生。</w:t>
      </w:r>
    </w:p>
    <w:p w14:paraId="0CB063BB">
      <w:pPr>
        <w:ind w:firstLine="560"/>
      </w:pPr>
      <w:r>
        <w:rPr>
          <w:rFonts w:hint="eastAsia"/>
        </w:rPr>
        <w:t>6、砌筑工程的质量控制</w:t>
      </w:r>
    </w:p>
    <w:p w14:paraId="7FC69478">
      <w:pPr>
        <w:ind w:firstLine="560"/>
      </w:pPr>
      <w:r>
        <w:rPr>
          <w:rFonts w:hint="eastAsia"/>
        </w:rPr>
        <w:t>1）为防止墙柱交界处出现纵向裂缝，砌块应紧靠柱壁砌筑，砌筑时灰缝要饱满密实，注意减少缝的厚度和原浆随手压缝；按规定锚入拉接筋。</w:t>
      </w:r>
    </w:p>
    <w:p w14:paraId="5ED96CF2">
      <w:pPr>
        <w:ind w:firstLine="560"/>
      </w:pPr>
      <w:r>
        <w:rPr>
          <w:rFonts w:hint="eastAsia"/>
        </w:rPr>
        <w:t>2）为防止出现墙、梁交界处的水平裂缝，梁底采用灰砂砖斜砌，砌块顶满铺砂浆顶紧梁底，并控制码口高度和最上一皮砌筑高度。</w:t>
      </w:r>
    </w:p>
    <w:p w14:paraId="468F159F">
      <w:pPr>
        <w:ind w:firstLine="560"/>
      </w:pPr>
      <w:r>
        <w:rPr>
          <w:rFonts w:hint="eastAsia"/>
        </w:rPr>
        <w:t>3）所有砌体拟砌筑的砌块，必须控制其含水率和达到28天龄期强度才允许使用。</w:t>
      </w:r>
    </w:p>
    <w:p w14:paraId="0C39AA35">
      <w:pPr>
        <w:ind w:firstLine="560"/>
      </w:pPr>
      <w:r>
        <w:rPr>
          <w:rFonts w:hint="eastAsia"/>
        </w:rPr>
        <w:t>4）改善砌筑砂浆和易性，控制抹灰层的厚度、配比和操作工艺。</w:t>
      </w:r>
    </w:p>
    <w:p w14:paraId="2784FB73">
      <w:pPr>
        <w:ind w:firstLine="560"/>
      </w:pPr>
      <w:r>
        <w:rPr>
          <w:rFonts w:hint="eastAsia"/>
        </w:rPr>
        <w:t>5）沿墙柱、墙梁交界处挂钢网，防止裂缝出现。</w:t>
      </w:r>
    </w:p>
    <w:p w14:paraId="271A9482">
      <w:pPr>
        <w:ind w:firstLine="560"/>
      </w:pPr>
      <w:r>
        <w:rPr>
          <w:rFonts w:hint="eastAsia"/>
        </w:rPr>
        <w:t>6）控制墙体的砌筑长度，按设计或规范要求加设构造梁、柱。</w:t>
      </w:r>
    </w:p>
    <w:p w14:paraId="482191C0">
      <w:pPr>
        <w:ind w:firstLine="560"/>
      </w:pPr>
      <w:r>
        <w:rPr>
          <w:rFonts w:hint="eastAsia"/>
        </w:rPr>
        <w:t>7）选用强度较高的砌块，抹灰层与基层材质相适应。</w:t>
      </w:r>
    </w:p>
    <w:p w14:paraId="704C7A78">
      <w:pPr>
        <w:ind w:firstLine="560"/>
      </w:pPr>
      <w:r>
        <w:rPr>
          <w:rFonts w:hint="eastAsia"/>
        </w:rPr>
        <w:t>8）抹灰打底要控制基层含水率，适量洒水，抹灰层要分遍压实赶平。</w:t>
      </w:r>
    </w:p>
    <w:p w14:paraId="18A64DE5">
      <w:pPr>
        <w:ind w:firstLine="560"/>
      </w:pPr>
      <w:r>
        <w:rPr>
          <w:rFonts w:hint="eastAsia"/>
        </w:rPr>
        <w:t>7、抹灰工程的质量控制</w:t>
      </w:r>
    </w:p>
    <w:p w14:paraId="133C5273">
      <w:pPr>
        <w:ind w:firstLine="560"/>
      </w:pPr>
      <w:r>
        <w:rPr>
          <w:rFonts w:hint="eastAsia"/>
        </w:rPr>
        <w:t>1）抹灰前，认真进行基层的处理。砌块墙面先浇水充分湿润，砼面清理后刷素水泥浆。</w:t>
      </w:r>
    </w:p>
    <w:p w14:paraId="1DF0E86C">
      <w:pPr>
        <w:ind w:firstLine="560"/>
      </w:pPr>
      <w:r>
        <w:rPr>
          <w:rFonts w:hint="eastAsia"/>
        </w:rPr>
        <w:t>2）基层平整度偏差较大时，要分层找平，每遍厚度控制在7-9mm。</w:t>
      </w:r>
    </w:p>
    <w:p w14:paraId="7A836604">
      <w:pPr>
        <w:ind w:firstLine="560"/>
      </w:pPr>
      <w:r>
        <w:rPr>
          <w:rFonts w:hint="eastAsia"/>
        </w:rPr>
        <w:t>3）根据不同的基层配制所需要的砂浆。</w:t>
      </w:r>
    </w:p>
    <w:p w14:paraId="6DCDA5B7">
      <w:pPr>
        <w:ind w:firstLine="560"/>
      </w:pPr>
      <w:r>
        <w:rPr>
          <w:rFonts w:hint="eastAsia"/>
        </w:rPr>
        <w:t>4）抹完面层灰后，在灰浆收水后再压光，避免出现起泡现象。</w:t>
      </w:r>
    </w:p>
    <w:p w14:paraId="31453892">
      <w:pPr>
        <w:ind w:firstLine="560"/>
      </w:pPr>
      <w:r>
        <w:rPr>
          <w:rFonts w:hint="eastAsia"/>
        </w:rPr>
        <w:t>5）抹灰前认真做好吊垂直，套方以及打砂浆墩、冲筋，每面墙体要求在同一班内完成。</w:t>
      </w:r>
    </w:p>
    <w:p w14:paraId="2F333502">
      <w:pPr>
        <w:ind w:firstLine="560"/>
      </w:pPr>
      <w:r>
        <w:rPr>
          <w:rFonts w:hint="eastAsia"/>
        </w:rPr>
        <w:t>6）抹天棚前，在墙面四周弹水平线，以控制天棚抹灰面的平整。</w:t>
      </w:r>
    </w:p>
    <w:p w14:paraId="503C9C09">
      <w:pPr>
        <w:pStyle w:val="5"/>
        <w:spacing w:before="31" w:after="31"/>
        <w:ind w:firstLine="562"/>
      </w:pPr>
      <w:bookmarkStart w:id="5172" w:name="_Toc27475"/>
      <w:bookmarkStart w:id="5173" w:name="_Toc10600"/>
      <w:bookmarkStart w:id="5174" w:name="_Toc14090"/>
      <w:bookmarkStart w:id="5175" w:name="_Toc18459"/>
      <w:bookmarkStart w:id="5176" w:name="_Toc19316"/>
      <w:bookmarkStart w:id="5177" w:name="_Toc26747"/>
      <w:bookmarkStart w:id="5178" w:name="_Toc26817"/>
      <w:bookmarkStart w:id="5179" w:name="_Toc15013"/>
      <w:bookmarkStart w:id="5180" w:name="_Toc7832"/>
      <w:bookmarkStart w:id="5181" w:name="_Toc26637"/>
      <w:bookmarkStart w:id="5182" w:name="_Toc17943"/>
      <w:bookmarkStart w:id="5183" w:name="_Toc5419"/>
      <w:bookmarkStart w:id="5184" w:name="_Toc4321"/>
      <w:bookmarkStart w:id="5185" w:name="_Toc16872"/>
      <w:bookmarkStart w:id="5186" w:name="_Toc4687"/>
      <w:bookmarkStart w:id="5187" w:name="_Toc15456"/>
      <w:bookmarkStart w:id="5188" w:name="_Toc7955"/>
      <w:bookmarkStart w:id="5189" w:name="_Toc32278"/>
      <w:bookmarkStart w:id="5190" w:name="_Toc8903"/>
      <w:bookmarkStart w:id="5191" w:name="_Toc22881"/>
      <w:bookmarkStart w:id="5192" w:name="_Toc21910"/>
      <w:bookmarkStart w:id="5193" w:name="_Toc9909"/>
      <w:bookmarkStart w:id="5194" w:name="_Toc10094"/>
      <w:bookmarkStart w:id="5195" w:name="_Toc9065"/>
      <w:bookmarkStart w:id="5196" w:name="_Toc25604"/>
      <w:bookmarkStart w:id="5197" w:name="_Toc13158"/>
      <w:bookmarkStart w:id="5198" w:name="_Toc25631"/>
      <w:bookmarkStart w:id="5199" w:name="_Toc16247"/>
      <w:bookmarkStart w:id="5200" w:name="_Toc3533"/>
      <w:bookmarkStart w:id="5201" w:name="_Toc20788"/>
      <w:bookmarkStart w:id="5202" w:name="_Toc17386"/>
      <w:bookmarkStart w:id="5203" w:name="_Toc12793"/>
      <w:bookmarkStart w:id="5204" w:name="_Toc29829"/>
      <w:bookmarkStart w:id="5205" w:name="_Toc7679"/>
      <w:bookmarkStart w:id="5206" w:name="_Toc17278"/>
      <w:bookmarkStart w:id="5207" w:name="_Toc32610"/>
      <w:bookmarkStart w:id="5208" w:name="_Toc2707"/>
      <w:bookmarkStart w:id="5209" w:name="_Toc7292"/>
      <w:bookmarkStart w:id="5210" w:name="_Toc28159"/>
      <w:bookmarkStart w:id="5211" w:name="_Toc23033"/>
      <w:bookmarkStart w:id="5212" w:name="_Toc19622"/>
      <w:bookmarkStart w:id="5213" w:name="_Toc16144"/>
      <w:bookmarkStart w:id="5214" w:name="_Toc29066"/>
      <w:bookmarkStart w:id="5215" w:name="_Toc21259"/>
      <w:bookmarkStart w:id="5216" w:name="_Toc13692"/>
      <w:bookmarkStart w:id="5217" w:name="_Toc22143"/>
      <w:bookmarkStart w:id="5218" w:name="_Toc11437"/>
      <w:bookmarkStart w:id="5219" w:name="_Toc17649"/>
      <w:bookmarkStart w:id="5220" w:name="_Toc27924"/>
      <w:bookmarkStart w:id="5221" w:name="_Toc20368"/>
      <w:bookmarkStart w:id="5222" w:name="_Toc15215"/>
      <w:bookmarkStart w:id="5223" w:name="_Toc19924"/>
      <w:bookmarkStart w:id="5224" w:name="_Toc3656"/>
      <w:bookmarkStart w:id="5225" w:name="_Toc25577"/>
      <w:bookmarkStart w:id="5226" w:name="_Toc15818"/>
      <w:r>
        <w:rPr>
          <w:rFonts w:hint="eastAsia"/>
        </w:rPr>
        <w:t>（六）</w:t>
      </w:r>
      <w:r>
        <w:t>施工期间对隐蔽工程的质量保证措施</w:t>
      </w:r>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p>
    <w:p w14:paraId="4B7F959B">
      <w:pPr>
        <w:ind w:firstLine="560"/>
      </w:pPr>
      <w:r>
        <w:t>1、总则</w:t>
      </w:r>
    </w:p>
    <w:p w14:paraId="7F42A024">
      <w:pPr>
        <w:ind w:firstLine="560"/>
      </w:pPr>
      <w:r>
        <w:t>为确保本工程质量始终处于受控状态，采用ISO9001质量标准，不断完善工程质量检查和验收制度，保证工程质量一次成优。</w:t>
      </w:r>
    </w:p>
    <w:p w14:paraId="5CDA4627">
      <w:pPr>
        <w:ind w:firstLine="560"/>
      </w:pPr>
      <w:r>
        <w:t>2、质量管理措施</w:t>
      </w:r>
    </w:p>
    <w:p w14:paraId="0B9F8EAD">
      <w:pPr>
        <w:ind w:firstLine="560"/>
      </w:pPr>
      <w:r>
        <w:t>1）隐蔽工程的检查验收坚持自检、互检、专检“三检制”。</w:t>
      </w:r>
    </w:p>
    <w:p w14:paraId="130A71D6">
      <w:pPr>
        <w:ind w:firstLine="560"/>
      </w:pPr>
      <w:r>
        <w:t>2）每道工序完工后，由分管该工序的技术人员、质检、领工员组织作业组长，按规范和验标要求进行验收，对不符合质量验收标准的，返工重作，直至再次验收合格。</w:t>
      </w:r>
    </w:p>
    <w:p w14:paraId="347254EF">
      <w:pPr>
        <w:ind w:firstLine="560"/>
      </w:pPr>
      <w:r>
        <w:t>3）工序中间交接时，应填写工序交接清单和工序质量自检评定表，互相签字认可。各班组对各工序要严格执行“三控制”。</w:t>
      </w:r>
    </w:p>
    <w:p w14:paraId="233E6204">
      <w:pPr>
        <w:ind w:firstLine="560"/>
      </w:pPr>
      <w:r>
        <w:t>4）隐蔽工程经自检合格后，邀请甲方驻地监理工程师检查验收，同时作好隐蔽工程验收质量记录和签字工作，并归档保存。</w:t>
      </w:r>
    </w:p>
    <w:p w14:paraId="545B67E1">
      <w:pPr>
        <w:ind w:firstLine="560"/>
      </w:pPr>
      <w:r>
        <w:t>5）所有隐蔽工程必须监理工程师签字认可后，方能进行下一道工序施工，未经签字认可的，禁止进行下道工序施工。</w:t>
      </w:r>
    </w:p>
    <w:p w14:paraId="37A05D5B">
      <w:pPr>
        <w:ind w:firstLine="560"/>
      </w:pPr>
      <w:r>
        <w:t>6）经监理工程师检查验收不合格的隐蔽工程项目，返工自检复验合格后，重新填写隐蔽工程验收记录，并监理工程师发出复检报告，经检查认可后，及时办理签认手续。</w:t>
      </w:r>
    </w:p>
    <w:p w14:paraId="2A651957">
      <w:pPr>
        <w:ind w:firstLine="560"/>
      </w:pPr>
      <w:r>
        <w:t>7）按竣工文件编制要求进行整理各项隐蔽工程验收记录，并按ISO9001质量标准《文件、资料控制程序》分类归档保存。工序施工中应保证施工日志、隐蔽工程验收记录、分项、分部工程质量评定记录等资料齐全。按《工程质量检验评定标准》要求用碳素墨水填写，其内容及签字齐全，使其具有可追溯性。</w:t>
      </w:r>
    </w:p>
    <w:p w14:paraId="7BBC0EC0">
      <w:pPr>
        <w:pStyle w:val="5"/>
        <w:spacing w:before="31" w:after="31"/>
        <w:ind w:firstLine="562"/>
      </w:pPr>
      <w:bookmarkStart w:id="5227" w:name="_Toc16137"/>
      <w:bookmarkStart w:id="5228" w:name="_Toc14767"/>
      <w:bookmarkStart w:id="5229" w:name="_Toc21488"/>
      <w:bookmarkStart w:id="5230" w:name="_Toc1458"/>
      <w:bookmarkStart w:id="5231" w:name="_Toc18539"/>
      <w:bookmarkStart w:id="5232" w:name="_Toc22226"/>
      <w:bookmarkStart w:id="5233" w:name="_Toc162"/>
      <w:bookmarkStart w:id="5234" w:name="_Toc9921"/>
      <w:bookmarkStart w:id="5235" w:name="_Toc21240"/>
      <w:bookmarkStart w:id="5236" w:name="_Toc4281"/>
      <w:bookmarkStart w:id="5237" w:name="_Toc12774"/>
      <w:bookmarkStart w:id="5238" w:name="_Toc27981"/>
      <w:bookmarkStart w:id="5239" w:name="_Toc14302"/>
      <w:bookmarkStart w:id="5240" w:name="_Toc4235"/>
      <w:bookmarkStart w:id="5241" w:name="_Toc7291"/>
      <w:bookmarkStart w:id="5242" w:name="_Toc31551"/>
      <w:bookmarkStart w:id="5243" w:name="_Toc10464"/>
      <w:bookmarkStart w:id="5244" w:name="_Toc27108"/>
      <w:bookmarkStart w:id="5245" w:name="_Toc2687"/>
      <w:bookmarkStart w:id="5246" w:name="_Toc11202"/>
      <w:bookmarkStart w:id="5247" w:name="_Toc27454"/>
      <w:bookmarkStart w:id="5248" w:name="_Toc14060"/>
      <w:bookmarkStart w:id="5249" w:name="_Toc16238"/>
      <w:bookmarkStart w:id="5250" w:name="_Toc23943"/>
      <w:bookmarkStart w:id="5251" w:name="_Toc7086"/>
      <w:bookmarkStart w:id="5252" w:name="_Toc8116"/>
      <w:bookmarkStart w:id="5253" w:name="_Toc21800"/>
      <w:bookmarkStart w:id="5254" w:name="_Toc30230"/>
      <w:bookmarkStart w:id="5255" w:name="_Toc17185"/>
      <w:bookmarkStart w:id="5256" w:name="_Toc25178"/>
      <w:bookmarkStart w:id="5257" w:name="_Toc15148"/>
      <w:bookmarkStart w:id="5258" w:name="_Toc17800"/>
      <w:bookmarkStart w:id="5259" w:name="_Toc22168"/>
      <w:bookmarkStart w:id="5260" w:name="_Toc31297"/>
      <w:bookmarkStart w:id="5261" w:name="_Toc28314"/>
      <w:bookmarkStart w:id="5262" w:name="_Toc90"/>
      <w:bookmarkStart w:id="5263" w:name="_Toc8290"/>
      <w:bookmarkStart w:id="5264" w:name="_Toc7655"/>
      <w:bookmarkStart w:id="5265" w:name="_Toc21726"/>
      <w:bookmarkStart w:id="5266" w:name="_Toc15617"/>
      <w:bookmarkStart w:id="5267" w:name="_Toc5936"/>
      <w:bookmarkStart w:id="5268" w:name="_Toc14697"/>
      <w:bookmarkStart w:id="5269" w:name="_Toc9898"/>
      <w:bookmarkStart w:id="5270" w:name="_Toc14725"/>
      <w:bookmarkStart w:id="5271" w:name="_Toc14610"/>
      <w:bookmarkStart w:id="5272" w:name="_Toc3291"/>
      <w:bookmarkStart w:id="5273" w:name="_Toc30477"/>
      <w:bookmarkStart w:id="5274" w:name="_Toc18949"/>
      <w:bookmarkStart w:id="5275" w:name="_Toc27036"/>
      <w:bookmarkStart w:id="5276" w:name="_Toc15322"/>
      <w:bookmarkStart w:id="5277" w:name="_Toc6924"/>
      <w:bookmarkStart w:id="5278" w:name="_Toc10047"/>
      <w:bookmarkStart w:id="5279" w:name="_Toc8089"/>
      <w:bookmarkStart w:id="5280" w:name="_Toc11069"/>
      <w:bookmarkStart w:id="5281" w:name="_Toc26247"/>
      <w:bookmarkStart w:id="5282" w:name="_Toc18996"/>
      <w:r>
        <w:rPr>
          <w:rFonts w:hint="eastAsia"/>
        </w:rPr>
        <w:t>（七）</w:t>
      </w:r>
      <w:r>
        <w:t>确保工程质量的计量管理</w:t>
      </w:r>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p>
    <w:p w14:paraId="55E5EB8C">
      <w:pPr>
        <w:ind w:firstLine="560"/>
      </w:pPr>
      <w:r>
        <w:t>1）各计量器具，如磅秤、量尺、试验设备和仪器等，必须按照计量法所要求定期送到计量部门校验，并妥善保管与维护，正确使用，特别是经纬仪、水准仪等仪器要经常校核，凡超过误差规定，决不能使用，要隔离存放。</w:t>
      </w:r>
    </w:p>
    <w:p w14:paraId="3EC64F8A">
      <w:pPr>
        <w:ind w:firstLine="560"/>
      </w:pPr>
      <w:r>
        <w:t>2）施工中严格执行计量工作的有关规定。特别是钢筋混凝土工程和主要结构，要加强对钢筋、混凝土施工过程的计量监督，拌制混凝土和砂浆必须按重量配合比，要常抽检砂、石、水泥、水的计量原始检测数据，测定砂、石含水率，准确控制拌合用水量，控制水灰比。</w:t>
      </w:r>
    </w:p>
    <w:p w14:paraId="0F1686A6">
      <w:pPr>
        <w:ind w:firstLine="560"/>
      </w:pPr>
      <w:r>
        <w:t>3）检查了解在用的各种计量器具的周检情况，检查是否漏检现象，检查计量器具的三率：即配备率、检测率、合格率是否满足规范及工艺要求。</w:t>
      </w:r>
    </w:p>
    <w:p w14:paraId="13075E69">
      <w:pPr>
        <w:ind w:firstLine="560"/>
      </w:pPr>
      <w:r>
        <w:t>4）计量数据是企业科学管理的依据，各种试验要按其试验程序及标准操作，各项计量数据必须准确一致，各种数据要作原始记录并及时将各种数据存档。做好计量数据的采集、处理、统计、上报四步工作。</w:t>
      </w:r>
    </w:p>
    <w:p w14:paraId="1AA25CB8">
      <w:pPr>
        <w:ind w:firstLine="560"/>
      </w:pPr>
      <w:r>
        <w:t>5）原材料检测要及时作好记录，发现量差超过正负公差范围时，要立即通知有关部门和人员进行处理。</w:t>
      </w:r>
    </w:p>
    <w:p w14:paraId="7D307FE5">
      <w:pPr>
        <w:ind w:firstLine="560"/>
      </w:pPr>
      <w:r>
        <w:t>6）模板安装、预留预埋误差不得超过规范规定的范围，否则要整改。</w:t>
      </w:r>
    </w:p>
    <w:p w14:paraId="171C959D">
      <w:pPr>
        <w:ind w:firstLine="560"/>
      </w:pPr>
      <w:r>
        <w:t>7）钢筋的规格型号，必须符合设计要求，钢筋加工严格按配料单进行；绑扎及焊接的参数用相应计量器具进行检测，偏差不得超过规范要求。</w:t>
      </w:r>
    </w:p>
    <w:p w14:paraId="6796D780">
      <w:pPr>
        <w:ind w:firstLine="560"/>
      </w:pPr>
      <w:r>
        <w:t>8）砼施工前对供应本项目的搅拌站的计量器具进行一次检查，减少仪表造成的系统误差。砼施工中，试验人员根据气候条件及时调整配合比，并按规定做塌落度试验及强度试块。</w:t>
      </w:r>
    </w:p>
    <w:p w14:paraId="558636CC">
      <w:pPr>
        <w:ind w:firstLine="560"/>
      </w:pPr>
      <w:r>
        <w:t>9）试验人员每季度要对实验仪器进行一次抽检，维修及保养。无证人员不得使用仪器设备，各种试验要按其试验程序及标准操作。</w:t>
      </w:r>
    </w:p>
    <w:p w14:paraId="388A90DF">
      <w:pPr>
        <w:ind w:firstLine="560"/>
      </w:pPr>
      <w:r>
        <w:t>10）现场测量组每季度要对所有测量仪器进行抽检、维修及保养。在测量前对仪器要认真校核，按测量步骤做好原始记录，及时消除测量中各种因素造成的误差。</w:t>
      </w:r>
    </w:p>
    <w:p w14:paraId="3A74D9B1">
      <w:pPr>
        <w:ind w:firstLine="560"/>
      </w:pPr>
      <w:r>
        <w:t>11）计量器具的保管，使用人员必须按其使用说明书正确使用，精心维修，妥善保管。使用完后，擦试干净，对量具量仪的测量面和刻度不得用油石、砂纸等硬物擦拭；非计量人员不得任意拆卸、改造、检修计量器具；对较贵重的计量器具，其存放地应符合有关规定要求。</w:t>
      </w:r>
    </w:p>
    <w:p w14:paraId="4FCFC4B9">
      <w:pPr>
        <w:pStyle w:val="4"/>
        <w:spacing w:before="93" w:after="31"/>
      </w:pPr>
      <w:bookmarkStart w:id="5283" w:name="_Toc21663"/>
      <w:bookmarkStart w:id="5284" w:name="_Toc18816"/>
      <w:bookmarkStart w:id="5285" w:name="_Toc20848"/>
      <w:bookmarkStart w:id="5286" w:name="_Toc20941"/>
      <w:bookmarkStart w:id="5287" w:name="_Toc21038"/>
      <w:bookmarkStart w:id="5288" w:name="_Toc16234"/>
      <w:bookmarkStart w:id="5289" w:name="_Toc10573"/>
      <w:bookmarkStart w:id="5290" w:name="_Toc21154"/>
      <w:bookmarkStart w:id="5291" w:name="_Toc3264"/>
      <w:bookmarkStart w:id="5292" w:name="_Toc24258"/>
      <w:bookmarkStart w:id="5293" w:name="_Toc25996"/>
      <w:bookmarkStart w:id="5294" w:name="_Toc1774"/>
      <w:bookmarkStart w:id="5295" w:name="_Toc19017"/>
      <w:bookmarkStart w:id="5296" w:name="_Toc1177"/>
      <w:bookmarkStart w:id="5297" w:name="_Toc28052"/>
      <w:bookmarkStart w:id="5298" w:name="_Toc13086"/>
      <w:bookmarkStart w:id="5299" w:name="_Toc31586"/>
      <w:bookmarkStart w:id="5300" w:name="_Toc10106"/>
      <w:bookmarkStart w:id="5301" w:name="_Toc13398"/>
      <w:bookmarkStart w:id="5302" w:name="_Toc15030"/>
      <w:bookmarkStart w:id="5303" w:name="_Toc22742"/>
      <w:bookmarkStart w:id="5304" w:name="_Toc19036"/>
      <w:bookmarkStart w:id="5305" w:name="_Toc15706"/>
      <w:bookmarkStart w:id="5306" w:name="_Toc1814"/>
      <w:bookmarkStart w:id="5307" w:name="_Toc22596"/>
      <w:bookmarkStart w:id="5308" w:name="_Toc25028"/>
      <w:bookmarkStart w:id="5309" w:name="_Toc31121"/>
      <w:bookmarkStart w:id="5310" w:name="_Toc31500"/>
      <w:bookmarkStart w:id="5311" w:name="_Toc15630"/>
      <w:bookmarkStart w:id="5312" w:name="_Toc30906"/>
      <w:bookmarkStart w:id="5313" w:name="_Toc6188"/>
      <w:bookmarkStart w:id="5314" w:name="_Toc28895"/>
      <w:bookmarkStart w:id="5315" w:name="_Toc695"/>
      <w:bookmarkStart w:id="5316" w:name="_Toc28890"/>
      <w:bookmarkStart w:id="5317" w:name="_Toc19700"/>
      <w:bookmarkStart w:id="5318" w:name="_Toc797"/>
      <w:bookmarkStart w:id="5319" w:name="_Toc24956"/>
      <w:bookmarkStart w:id="5320" w:name="_Toc31465"/>
      <w:bookmarkStart w:id="5321" w:name="_Toc6848"/>
      <w:bookmarkStart w:id="5322" w:name="_Toc3972"/>
      <w:bookmarkStart w:id="5323" w:name="_Toc948"/>
      <w:bookmarkStart w:id="5324" w:name="_Toc1268"/>
      <w:bookmarkStart w:id="5325" w:name="_Toc31943"/>
      <w:bookmarkStart w:id="5326" w:name="_Toc361"/>
      <w:bookmarkStart w:id="5327" w:name="_Toc16753"/>
      <w:bookmarkStart w:id="5328" w:name="_Toc7706"/>
      <w:bookmarkStart w:id="5329" w:name="_Toc19545"/>
      <w:bookmarkStart w:id="5330" w:name="_Toc27332"/>
      <w:bookmarkStart w:id="5331" w:name="_Toc31033"/>
      <w:bookmarkStart w:id="5332" w:name="_Toc18984"/>
      <w:bookmarkStart w:id="5333" w:name="_Toc28271"/>
      <w:bookmarkStart w:id="5334" w:name="_Toc17653"/>
      <w:bookmarkStart w:id="5335" w:name="_Toc3952"/>
      <w:r>
        <w:rPr>
          <w:rFonts w:hint="eastAsia"/>
        </w:rPr>
        <w:t>三、工程质量的技术要求</w:t>
      </w:r>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p>
    <w:p w14:paraId="05FF6EF5">
      <w:pPr>
        <w:pStyle w:val="5"/>
        <w:spacing w:before="31" w:after="31"/>
        <w:ind w:firstLine="562"/>
      </w:pPr>
      <w:bookmarkStart w:id="5336" w:name="_Toc5333"/>
      <w:bookmarkStart w:id="5337" w:name="_Toc24998"/>
      <w:bookmarkStart w:id="5338" w:name="_Toc19889"/>
      <w:bookmarkStart w:id="5339" w:name="_Toc2799"/>
      <w:bookmarkStart w:id="5340" w:name="_Toc20719"/>
      <w:bookmarkStart w:id="5341" w:name="_Toc15333"/>
      <w:bookmarkStart w:id="5342" w:name="_Toc15292"/>
      <w:bookmarkStart w:id="5343" w:name="_Toc11073"/>
      <w:bookmarkStart w:id="5344" w:name="_Toc22039"/>
      <w:bookmarkStart w:id="5345" w:name="_Toc11640"/>
      <w:bookmarkStart w:id="5346" w:name="_Toc17739"/>
      <w:bookmarkStart w:id="5347" w:name="_Toc32716"/>
      <w:bookmarkStart w:id="5348" w:name="_Toc26182"/>
      <w:bookmarkStart w:id="5349" w:name="_Toc13967"/>
      <w:bookmarkStart w:id="5350" w:name="_Toc29337"/>
      <w:bookmarkStart w:id="5351" w:name="_Toc17561"/>
      <w:bookmarkStart w:id="5352" w:name="_Toc24867"/>
      <w:bookmarkStart w:id="5353" w:name="_Toc15830"/>
      <w:bookmarkStart w:id="5354" w:name="_Toc19399"/>
      <w:bookmarkStart w:id="5355" w:name="_Toc2769"/>
      <w:bookmarkStart w:id="5356" w:name="_Toc28664"/>
      <w:bookmarkStart w:id="5357" w:name="_Toc9387"/>
      <w:bookmarkStart w:id="5358" w:name="_Toc12733"/>
      <w:bookmarkStart w:id="5359" w:name="_Toc1941"/>
      <w:bookmarkStart w:id="5360" w:name="_Toc19617"/>
      <w:bookmarkStart w:id="5361" w:name="_Toc26788"/>
      <w:bookmarkStart w:id="5362" w:name="_Toc25127"/>
      <w:bookmarkStart w:id="5363" w:name="_Toc1016"/>
      <w:bookmarkStart w:id="5364" w:name="_Toc10147"/>
      <w:bookmarkStart w:id="5365" w:name="_Toc14710"/>
      <w:bookmarkStart w:id="5366" w:name="_Toc17001"/>
      <w:bookmarkStart w:id="5367" w:name="_Toc32335"/>
      <w:bookmarkStart w:id="5368" w:name="_Toc16667"/>
      <w:bookmarkStart w:id="5369" w:name="_Toc1915"/>
      <w:bookmarkStart w:id="5370" w:name="_Toc29234"/>
      <w:bookmarkStart w:id="5371" w:name="_Toc325"/>
      <w:bookmarkStart w:id="5372" w:name="_Toc15422"/>
      <w:bookmarkStart w:id="5373" w:name="_Toc2174"/>
      <w:bookmarkStart w:id="5374" w:name="_Toc7166"/>
      <w:bookmarkStart w:id="5375" w:name="_Toc21330"/>
      <w:bookmarkStart w:id="5376" w:name="_Toc4615"/>
      <w:bookmarkStart w:id="5377" w:name="_Toc2833"/>
      <w:bookmarkStart w:id="5378" w:name="_Toc11708"/>
      <w:bookmarkStart w:id="5379" w:name="_Toc24829"/>
      <w:bookmarkStart w:id="5380" w:name="_Toc17899"/>
      <w:bookmarkStart w:id="5381" w:name="_Toc7923"/>
      <w:bookmarkStart w:id="5382" w:name="_Toc4588"/>
      <w:bookmarkStart w:id="5383" w:name="_Toc6345"/>
      <w:bookmarkStart w:id="5384" w:name="_Toc18272"/>
      <w:bookmarkStart w:id="5385" w:name="_Toc10658"/>
      <w:r>
        <w:rPr>
          <w:rFonts w:hint="eastAsia"/>
        </w:rPr>
        <w:t>（一）技术保证措施</w:t>
      </w:r>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p>
    <w:p w14:paraId="56EC07EC">
      <w:pPr>
        <w:ind w:firstLine="560"/>
      </w:pPr>
      <w:r>
        <w:rPr>
          <w:rFonts w:hint="eastAsia"/>
        </w:rPr>
        <w:t>1、施工前，技术负责人组织工长、内业、质安员认真学习有关规范，施工工艺及操作规程，熟悉图纸，做好图纸会审工作，有针对性的编制施工组织设计。</w:t>
      </w:r>
    </w:p>
    <w:p w14:paraId="720B243C">
      <w:pPr>
        <w:ind w:firstLine="560"/>
      </w:pPr>
      <w:r>
        <w:rPr>
          <w:rFonts w:hint="eastAsia"/>
        </w:rPr>
        <w:t>2、针对该工程的施工难点，建立QC小组，制定详细的施工工艺流程卡，严格按卡施工，确保工程质量。</w:t>
      </w:r>
    </w:p>
    <w:p w14:paraId="3890D948">
      <w:pPr>
        <w:ind w:firstLine="560"/>
      </w:pPr>
      <w:r>
        <w:rPr>
          <w:rFonts w:hint="eastAsia"/>
        </w:rPr>
        <w:t>3、严格按图施工。凡因施工或业主要求变更的，必须办理设计变更通知或核定单，经设计单位同意后，才能施工。</w:t>
      </w:r>
    </w:p>
    <w:p w14:paraId="56CDDC94">
      <w:pPr>
        <w:ind w:firstLine="560"/>
      </w:pPr>
      <w:r>
        <w:rPr>
          <w:rFonts w:hint="eastAsia"/>
        </w:rPr>
        <w:t>4、严格技术复核制度。轴线、标高等，在测量员施测后，应由工长、质量员复核无误后，才能作出标记。隐蔽工程应由质检站、设计院、业主共同检查合格签字后，才能进入下一道工序。</w:t>
      </w:r>
    </w:p>
    <w:p w14:paraId="1389DF54">
      <w:pPr>
        <w:ind w:firstLine="560"/>
      </w:pPr>
      <w:r>
        <w:rPr>
          <w:rFonts w:hint="eastAsia"/>
        </w:rPr>
        <w:t>5、技术负责人要经常检查各种记录、报告，发现问题及时处理。内业员要整理好各种资料，工长作好施工日记，现场施工管理和各种施工技术资料全部采用计算机管理。</w:t>
      </w:r>
    </w:p>
    <w:p w14:paraId="2E4C3C66">
      <w:pPr>
        <w:ind w:firstLine="560"/>
      </w:pPr>
      <w:r>
        <w:rPr>
          <w:rFonts w:hint="eastAsia"/>
        </w:rPr>
        <w:t>6、装修工程坚持做好“样板间”，包括釉面砖、天然石材等的排版，色彩协调、天棚作法、管线安装、卫生洁具、门窗安装等全部装修内容，待检查合格，业主、设计监理满意，施工人员参观学习后，再全面展开装修工作。</w:t>
      </w:r>
    </w:p>
    <w:p w14:paraId="2707676B">
      <w:pPr>
        <w:ind w:firstLine="560"/>
      </w:pPr>
      <w:r>
        <w:rPr>
          <w:rFonts w:hint="eastAsia"/>
        </w:rPr>
        <w:t>7、最大限度地提高施工机械化程度，加大科技含量，发挥我局的技术优势，充分利用新工艺新技术和新材料，选用先进、合理、经济的施工方案，提高施工的科技水平，确保多、快、好、省地完成业主交给的施工任务。</w:t>
      </w:r>
    </w:p>
    <w:p w14:paraId="10C751E2">
      <w:pPr>
        <w:ind w:firstLine="560"/>
      </w:pPr>
      <w:r>
        <w:rPr>
          <w:rFonts w:hint="eastAsia"/>
        </w:rPr>
        <w:t>8、作好施工技术档案的收集、整理。</w:t>
      </w:r>
    </w:p>
    <w:p w14:paraId="7F50ED4C">
      <w:pPr>
        <w:ind w:firstLine="560"/>
      </w:pPr>
      <w:r>
        <w:rPr>
          <w:rFonts w:hint="eastAsia"/>
        </w:rPr>
        <w:t>（1）土建施工文件资料：</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5"/>
        <w:gridCol w:w="6568"/>
        <w:gridCol w:w="3085"/>
      </w:tblGrid>
      <w:tr w14:paraId="1298C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670D6850">
            <w:pPr>
              <w:pStyle w:val="18"/>
            </w:pPr>
            <w:r>
              <w:rPr>
                <w:rFonts w:hint="eastAsia"/>
              </w:rPr>
              <w:t>序号</w:t>
            </w:r>
          </w:p>
        </w:tc>
        <w:tc>
          <w:tcPr>
            <w:tcW w:w="3075" w:type="pct"/>
            <w:shd w:val="clear" w:color="auto" w:fill="auto"/>
          </w:tcPr>
          <w:p w14:paraId="6A23C68C">
            <w:pPr>
              <w:pStyle w:val="18"/>
            </w:pPr>
            <w:r>
              <w:rPr>
                <w:rFonts w:hint="eastAsia"/>
              </w:rPr>
              <w:t>文件名称</w:t>
            </w:r>
          </w:p>
        </w:tc>
        <w:tc>
          <w:tcPr>
            <w:tcW w:w="1444" w:type="pct"/>
            <w:shd w:val="clear" w:color="auto" w:fill="auto"/>
          </w:tcPr>
          <w:p w14:paraId="0673F972">
            <w:pPr>
              <w:pStyle w:val="18"/>
            </w:pPr>
            <w:r>
              <w:rPr>
                <w:rFonts w:hint="eastAsia"/>
              </w:rPr>
              <w:t>责任人</w:t>
            </w:r>
          </w:p>
        </w:tc>
      </w:tr>
      <w:tr w14:paraId="55B24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vAlign w:val="center"/>
          </w:tcPr>
          <w:p w14:paraId="67170A58">
            <w:pPr>
              <w:pStyle w:val="18"/>
            </w:pPr>
            <w:r>
              <w:rPr>
                <w:rFonts w:hint="eastAsia"/>
              </w:rPr>
              <w:t>1</w:t>
            </w:r>
          </w:p>
        </w:tc>
        <w:tc>
          <w:tcPr>
            <w:tcW w:w="3075" w:type="pct"/>
            <w:shd w:val="clear" w:color="auto" w:fill="auto"/>
            <w:vAlign w:val="center"/>
          </w:tcPr>
          <w:p w14:paraId="12624E2E">
            <w:pPr>
              <w:pStyle w:val="18"/>
            </w:pPr>
            <w:r>
              <w:rPr>
                <w:rFonts w:hint="eastAsia"/>
              </w:rPr>
              <w:t>施工合同书</w:t>
            </w:r>
          </w:p>
        </w:tc>
        <w:tc>
          <w:tcPr>
            <w:tcW w:w="1444" w:type="pct"/>
            <w:shd w:val="clear" w:color="auto" w:fill="auto"/>
          </w:tcPr>
          <w:p w14:paraId="1ABDA55A">
            <w:pPr>
              <w:pStyle w:val="18"/>
            </w:pPr>
            <w:r>
              <w:rPr>
                <w:rFonts w:hint="eastAsia"/>
              </w:rPr>
              <w:t>公司法人</w:t>
            </w:r>
          </w:p>
        </w:tc>
      </w:tr>
      <w:tr w14:paraId="563DD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76951F7C">
            <w:pPr>
              <w:pStyle w:val="18"/>
            </w:pPr>
            <w:r>
              <w:rPr>
                <w:rFonts w:hint="eastAsia"/>
              </w:rPr>
              <w:t>2</w:t>
            </w:r>
          </w:p>
        </w:tc>
        <w:tc>
          <w:tcPr>
            <w:tcW w:w="3075" w:type="pct"/>
            <w:shd w:val="clear" w:color="auto" w:fill="auto"/>
          </w:tcPr>
          <w:p w14:paraId="2DF1339F">
            <w:pPr>
              <w:pStyle w:val="18"/>
            </w:pPr>
            <w:r>
              <w:rPr>
                <w:rFonts w:hint="eastAsia"/>
              </w:rPr>
              <w:t>开工报告书</w:t>
            </w:r>
          </w:p>
        </w:tc>
        <w:tc>
          <w:tcPr>
            <w:tcW w:w="1444" w:type="pct"/>
            <w:shd w:val="clear" w:color="auto" w:fill="auto"/>
          </w:tcPr>
          <w:p w14:paraId="5F46207F">
            <w:pPr>
              <w:pStyle w:val="18"/>
            </w:pPr>
            <w:r>
              <w:rPr>
                <w:rFonts w:hint="eastAsia"/>
              </w:rPr>
              <w:t>项目经理</w:t>
            </w:r>
          </w:p>
        </w:tc>
      </w:tr>
      <w:tr w14:paraId="13F00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6DB96B6B">
            <w:pPr>
              <w:pStyle w:val="18"/>
            </w:pPr>
            <w:r>
              <w:rPr>
                <w:rFonts w:hint="eastAsia"/>
              </w:rPr>
              <w:t>3</w:t>
            </w:r>
          </w:p>
        </w:tc>
        <w:tc>
          <w:tcPr>
            <w:tcW w:w="3075" w:type="pct"/>
            <w:shd w:val="clear" w:color="auto" w:fill="auto"/>
          </w:tcPr>
          <w:p w14:paraId="3A564F0D">
            <w:pPr>
              <w:pStyle w:val="18"/>
            </w:pPr>
            <w:r>
              <w:rPr>
                <w:rFonts w:hint="eastAsia"/>
              </w:rPr>
              <w:t>技术交底、图纸会审纪要</w:t>
            </w:r>
          </w:p>
        </w:tc>
        <w:tc>
          <w:tcPr>
            <w:tcW w:w="1444" w:type="pct"/>
            <w:shd w:val="clear" w:color="auto" w:fill="auto"/>
          </w:tcPr>
          <w:p w14:paraId="62C9BD5D">
            <w:pPr>
              <w:pStyle w:val="18"/>
            </w:pPr>
            <w:r>
              <w:rPr>
                <w:rFonts w:hint="eastAsia"/>
              </w:rPr>
              <w:t>内业技术员</w:t>
            </w:r>
          </w:p>
        </w:tc>
      </w:tr>
      <w:tr w14:paraId="4C3D6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0213FCCA">
            <w:pPr>
              <w:pStyle w:val="18"/>
            </w:pPr>
            <w:r>
              <w:rPr>
                <w:rFonts w:hint="eastAsia"/>
              </w:rPr>
              <w:t>4</w:t>
            </w:r>
          </w:p>
        </w:tc>
        <w:tc>
          <w:tcPr>
            <w:tcW w:w="3075" w:type="pct"/>
            <w:shd w:val="clear" w:color="auto" w:fill="auto"/>
          </w:tcPr>
          <w:p w14:paraId="27D87ABD">
            <w:pPr>
              <w:pStyle w:val="18"/>
            </w:pPr>
            <w:r>
              <w:rPr>
                <w:rFonts w:hint="eastAsia"/>
              </w:rPr>
              <w:t>施工组织设计或施工方案</w:t>
            </w:r>
          </w:p>
        </w:tc>
        <w:tc>
          <w:tcPr>
            <w:tcW w:w="1444" w:type="pct"/>
            <w:shd w:val="clear" w:color="auto" w:fill="auto"/>
          </w:tcPr>
          <w:p w14:paraId="66F327E1">
            <w:pPr>
              <w:pStyle w:val="18"/>
            </w:pPr>
            <w:r>
              <w:rPr>
                <w:rFonts w:hint="eastAsia"/>
              </w:rPr>
              <w:t>项目技术负责人</w:t>
            </w:r>
          </w:p>
        </w:tc>
      </w:tr>
      <w:tr w14:paraId="67BD6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242ABAA7">
            <w:pPr>
              <w:pStyle w:val="18"/>
            </w:pPr>
            <w:r>
              <w:rPr>
                <w:rFonts w:hint="eastAsia"/>
              </w:rPr>
              <w:t>5</w:t>
            </w:r>
          </w:p>
        </w:tc>
        <w:tc>
          <w:tcPr>
            <w:tcW w:w="3075" w:type="pct"/>
            <w:shd w:val="clear" w:color="auto" w:fill="auto"/>
          </w:tcPr>
          <w:p w14:paraId="53686A62">
            <w:pPr>
              <w:pStyle w:val="18"/>
            </w:pPr>
            <w:r>
              <w:rPr>
                <w:rFonts w:hint="eastAsia"/>
              </w:rPr>
              <w:t>设计变更通知单、核定单</w:t>
            </w:r>
          </w:p>
        </w:tc>
        <w:tc>
          <w:tcPr>
            <w:tcW w:w="1444" w:type="pct"/>
            <w:shd w:val="clear" w:color="auto" w:fill="auto"/>
          </w:tcPr>
          <w:p w14:paraId="3ECE4B0A">
            <w:pPr>
              <w:pStyle w:val="18"/>
            </w:pPr>
            <w:r>
              <w:rPr>
                <w:rFonts w:hint="eastAsia"/>
              </w:rPr>
              <w:t>内业技术员</w:t>
            </w:r>
          </w:p>
        </w:tc>
      </w:tr>
      <w:tr w14:paraId="2B9A3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618BBDB4">
            <w:pPr>
              <w:pStyle w:val="18"/>
            </w:pPr>
            <w:r>
              <w:rPr>
                <w:rFonts w:hint="eastAsia"/>
              </w:rPr>
              <w:t>6</w:t>
            </w:r>
          </w:p>
        </w:tc>
        <w:tc>
          <w:tcPr>
            <w:tcW w:w="3075" w:type="pct"/>
            <w:shd w:val="clear" w:color="auto" w:fill="auto"/>
          </w:tcPr>
          <w:p w14:paraId="2EF1C0EC">
            <w:pPr>
              <w:pStyle w:val="18"/>
            </w:pPr>
            <w:r>
              <w:rPr>
                <w:rFonts w:hint="eastAsia"/>
              </w:rPr>
              <w:t>原材料出厂质量证明书</w:t>
            </w:r>
          </w:p>
        </w:tc>
        <w:tc>
          <w:tcPr>
            <w:tcW w:w="1444" w:type="pct"/>
            <w:shd w:val="clear" w:color="auto" w:fill="auto"/>
          </w:tcPr>
          <w:p w14:paraId="3F93303B">
            <w:pPr>
              <w:pStyle w:val="18"/>
            </w:pPr>
            <w:r>
              <w:rPr>
                <w:rFonts w:hint="eastAsia"/>
              </w:rPr>
              <w:t>材料员</w:t>
            </w:r>
          </w:p>
        </w:tc>
      </w:tr>
      <w:tr w14:paraId="20DBC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4692D636">
            <w:pPr>
              <w:pStyle w:val="18"/>
            </w:pPr>
            <w:r>
              <w:rPr>
                <w:rFonts w:hint="eastAsia"/>
              </w:rPr>
              <w:t>7</w:t>
            </w:r>
          </w:p>
        </w:tc>
        <w:tc>
          <w:tcPr>
            <w:tcW w:w="3075" w:type="pct"/>
            <w:shd w:val="clear" w:color="auto" w:fill="auto"/>
          </w:tcPr>
          <w:p w14:paraId="0A84E938">
            <w:pPr>
              <w:pStyle w:val="18"/>
            </w:pPr>
            <w:r>
              <w:rPr>
                <w:rFonts w:hint="eastAsia"/>
              </w:rPr>
              <w:t>原材料试验报告</w:t>
            </w:r>
          </w:p>
        </w:tc>
        <w:tc>
          <w:tcPr>
            <w:tcW w:w="1444" w:type="pct"/>
            <w:shd w:val="clear" w:color="auto" w:fill="auto"/>
          </w:tcPr>
          <w:p w14:paraId="3CBB1947">
            <w:pPr>
              <w:pStyle w:val="18"/>
            </w:pPr>
            <w:r>
              <w:rPr>
                <w:rFonts w:hint="eastAsia"/>
              </w:rPr>
              <w:t>试验员</w:t>
            </w:r>
          </w:p>
        </w:tc>
      </w:tr>
      <w:tr w14:paraId="2FF14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5F11E065">
            <w:pPr>
              <w:pStyle w:val="18"/>
            </w:pPr>
            <w:r>
              <w:rPr>
                <w:rFonts w:hint="eastAsia"/>
              </w:rPr>
              <w:t>8</w:t>
            </w:r>
          </w:p>
        </w:tc>
        <w:tc>
          <w:tcPr>
            <w:tcW w:w="3075" w:type="pct"/>
            <w:shd w:val="clear" w:color="auto" w:fill="auto"/>
          </w:tcPr>
          <w:p w14:paraId="53D8F282">
            <w:pPr>
              <w:pStyle w:val="18"/>
            </w:pPr>
            <w:r>
              <w:rPr>
                <w:rFonts w:hint="eastAsia"/>
              </w:rPr>
              <w:t>施工定位测量记录</w:t>
            </w:r>
          </w:p>
        </w:tc>
        <w:tc>
          <w:tcPr>
            <w:tcW w:w="1444" w:type="pct"/>
            <w:shd w:val="clear" w:color="auto" w:fill="auto"/>
          </w:tcPr>
          <w:p w14:paraId="765ED0B9">
            <w:pPr>
              <w:pStyle w:val="18"/>
            </w:pPr>
            <w:r>
              <w:rPr>
                <w:rFonts w:hint="eastAsia"/>
              </w:rPr>
              <w:t>测量员</w:t>
            </w:r>
          </w:p>
        </w:tc>
      </w:tr>
      <w:tr w14:paraId="0E59D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20E29468">
            <w:pPr>
              <w:pStyle w:val="18"/>
            </w:pPr>
            <w:r>
              <w:rPr>
                <w:rFonts w:hint="eastAsia"/>
              </w:rPr>
              <w:t>9</w:t>
            </w:r>
          </w:p>
        </w:tc>
        <w:tc>
          <w:tcPr>
            <w:tcW w:w="3075" w:type="pct"/>
            <w:shd w:val="clear" w:color="auto" w:fill="auto"/>
          </w:tcPr>
          <w:p w14:paraId="4D76259A">
            <w:pPr>
              <w:pStyle w:val="18"/>
            </w:pPr>
            <w:r>
              <w:rPr>
                <w:rFonts w:hint="eastAsia"/>
              </w:rPr>
              <w:t>隐蔽记录</w:t>
            </w:r>
          </w:p>
        </w:tc>
        <w:tc>
          <w:tcPr>
            <w:tcW w:w="1444" w:type="pct"/>
            <w:shd w:val="clear" w:color="auto" w:fill="auto"/>
          </w:tcPr>
          <w:p w14:paraId="7F218C08">
            <w:pPr>
              <w:pStyle w:val="18"/>
            </w:pPr>
            <w:r>
              <w:rPr>
                <w:rFonts w:hint="eastAsia"/>
              </w:rPr>
              <w:t>工长</w:t>
            </w:r>
          </w:p>
        </w:tc>
      </w:tr>
      <w:tr w14:paraId="2DBF7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725E44E1">
            <w:pPr>
              <w:pStyle w:val="18"/>
            </w:pPr>
            <w:r>
              <w:rPr>
                <w:rFonts w:hint="eastAsia"/>
              </w:rPr>
              <w:t>10</w:t>
            </w:r>
          </w:p>
        </w:tc>
        <w:tc>
          <w:tcPr>
            <w:tcW w:w="3075" w:type="pct"/>
            <w:shd w:val="clear" w:color="auto" w:fill="auto"/>
          </w:tcPr>
          <w:p w14:paraId="70C5F4F7">
            <w:pPr>
              <w:pStyle w:val="18"/>
            </w:pPr>
            <w:r>
              <w:rPr>
                <w:rFonts w:hint="eastAsia"/>
              </w:rPr>
              <w:t>分部、分项单位工程质量评定及质量事故处理报告</w:t>
            </w:r>
          </w:p>
        </w:tc>
        <w:tc>
          <w:tcPr>
            <w:tcW w:w="1444" w:type="pct"/>
            <w:shd w:val="clear" w:color="auto" w:fill="auto"/>
          </w:tcPr>
          <w:p w14:paraId="2CD3BEF0">
            <w:pPr>
              <w:pStyle w:val="18"/>
            </w:pPr>
            <w:r>
              <w:rPr>
                <w:rFonts w:hint="eastAsia"/>
              </w:rPr>
              <w:t>质量安全员</w:t>
            </w:r>
          </w:p>
        </w:tc>
      </w:tr>
      <w:tr w14:paraId="6177C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02A2C550">
            <w:pPr>
              <w:pStyle w:val="18"/>
            </w:pPr>
            <w:r>
              <w:rPr>
                <w:rFonts w:hint="eastAsia"/>
              </w:rPr>
              <w:t>11</w:t>
            </w:r>
          </w:p>
        </w:tc>
        <w:tc>
          <w:tcPr>
            <w:tcW w:w="3075" w:type="pct"/>
            <w:shd w:val="clear" w:color="auto" w:fill="auto"/>
          </w:tcPr>
          <w:p w14:paraId="5D7E6640">
            <w:pPr>
              <w:pStyle w:val="18"/>
            </w:pPr>
            <w:r>
              <w:rPr>
                <w:rFonts w:hint="eastAsia"/>
              </w:rPr>
              <w:t>交工验收证明书</w:t>
            </w:r>
          </w:p>
        </w:tc>
        <w:tc>
          <w:tcPr>
            <w:tcW w:w="1444" w:type="pct"/>
            <w:shd w:val="clear" w:color="auto" w:fill="auto"/>
          </w:tcPr>
          <w:p w14:paraId="1932EEAC">
            <w:pPr>
              <w:pStyle w:val="18"/>
            </w:pPr>
            <w:r>
              <w:rPr>
                <w:rFonts w:hint="eastAsia"/>
              </w:rPr>
              <w:t>内业技术员</w:t>
            </w:r>
          </w:p>
        </w:tc>
      </w:tr>
      <w:tr w14:paraId="46E6F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3688D8DB">
            <w:pPr>
              <w:pStyle w:val="18"/>
            </w:pPr>
            <w:r>
              <w:rPr>
                <w:rFonts w:hint="eastAsia"/>
              </w:rPr>
              <w:t>12</w:t>
            </w:r>
          </w:p>
        </w:tc>
        <w:tc>
          <w:tcPr>
            <w:tcW w:w="3075" w:type="pct"/>
            <w:shd w:val="clear" w:color="auto" w:fill="auto"/>
          </w:tcPr>
          <w:p w14:paraId="72D7E870">
            <w:pPr>
              <w:pStyle w:val="18"/>
            </w:pPr>
            <w:r>
              <w:rPr>
                <w:rFonts w:hint="eastAsia"/>
              </w:rPr>
              <w:t>施工总结、技术总结</w:t>
            </w:r>
          </w:p>
        </w:tc>
        <w:tc>
          <w:tcPr>
            <w:tcW w:w="1444" w:type="pct"/>
            <w:shd w:val="clear" w:color="auto" w:fill="auto"/>
          </w:tcPr>
          <w:p w14:paraId="12AA8255">
            <w:pPr>
              <w:pStyle w:val="18"/>
            </w:pPr>
            <w:r>
              <w:rPr>
                <w:rFonts w:hint="eastAsia"/>
              </w:rPr>
              <w:t>项目技术负责人</w:t>
            </w:r>
          </w:p>
        </w:tc>
      </w:tr>
      <w:tr w14:paraId="6D245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5BBD2F96">
            <w:pPr>
              <w:pStyle w:val="18"/>
            </w:pPr>
            <w:r>
              <w:rPr>
                <w:rFonts w:hint="eastAsia"/>
              </w:rPr>
              <w:t>13</w:t>
            </w:r>
          </w:p>
        </w:tc>
        <w:tc>
          <w:tcPr>
            <w:tcW w:w="3075" w:type="pct"/>
            <w:shd w:val="clear" w:color="auto" w:fill="auto"/>
          </w:tcPr>
          <w:p w14:paraId="5B52DC17">
            <w:pPr>
              <w:pStyle w:val="18"/>
            </w:pPr>
            <w:r>
              <w:rPr>
                <w:rFonts w:hint="eastAsia"/>
              </w:rPr>
              <w:t>竣工报告（含停、复工报告）</w:t>
            </w:r>
          </w:p>
        </w:tc>
        <w:tc>
          <w:tcPr>
            <w:tcW w:w="1444" w:type="pct"/>
            <w:shd w:val="clear" w:color="auto" w:fill="auto"/>
          </w:tcPr>
          <w:p w14:paraId="294DCDF9">
            <w:pPr>
              <w:pStyle w:val="18"/>
            </w:pPr>
            <w:r>
              <w:rPr>
                <w:rFonts w:hint="eastAsia"/>
              </w:rPr>
              <w:t>项目经理</w:t>
            </w:r>
          </w:p>
        </w:tc>
      </w:tr>
      <w:tr w14:paraId="52F72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tcPr>
          <w:p w14:paraId="38378CFF">
            <w:pPr>
              <w:pStyle w:val="18"/>
            </w:pPr>
            <w:r>
              <w:rPr>
                <w:rFonts w:hint="eastAsia"/>
              </w:rPr>
              <w:t>14</w:t>
            </w:r>
          </w:p>
        </w:tc>
        <w:tc>
          <w:tcPr>
            <w:tcW w:w="3075" w:type="pct"/>
            <w:shd w:val="clear" w:color="auto" w:fill="auto"/>
          </w:tcPr>
          <w:p w14:paraId="5E4773F1">
            <w:pPr>
              <w:pStyle w:val="18"/>
            </w:pPr>
            <w:r>
              <w:rPr>
                <w:rFonts w:hint="eastAsia"/>
              </w:rPr>
              <w:t>施工日志、大事记</w:t>
            </w:r>
          </w:p>
        </w:tc>
        <w:tc>
          <w:tcPr>
            <w:tcW w:w="1444" w:type="pct"/>
            <w:shd w:val="clear" w:color="auto" w:fill="auto"/>
          </w:tcPr>
          <w:p w14:paraId="1485731E">
            <w:pPr>
              <w:pStyle w:val="18"/>
            </w:pPr>
            <w:r>
              <w:rPr>
                <w:rFonts w:hint="eastAsia"/>
              </w:rPr>
              <w:t>工长</w:t>
            </w:r>
          </w:p>
        </w:tc>
      </w:tr>
    </w:tbl>
    <w:p w14:paraId="30F0213E">
      <w:pPr>
        <w:ind w:firstLine="560"/>
      </w:pPr>
      <w:r>
        <w:rPr>
          <w:rFonts w:hint="eastAsia"/>
        </w:rPr>
        <w:t>（2）竣工图</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6362"/>
        <w:gridCol w:w="3182"/>
      </w:tblGrid>
      <w:tr w14:paraId="69DDC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31" w:type="pct"/>
            <w:shd w:val="clear" w:color="auto" w:fill="auto"/>
          </w:tcPr>
          <w:p w14:paraId="5D7DFB8E">
            <w:pPr>
              <w:pStyle w:val="18"/>
            </w:pPr>
            <w:r>
              <w:rPr>
                <w:rFonts w:hint="eastAsia"/>
                <w:lang w:val="en-US" w:bidi="ar-SA"/>
              </w:rPr>
              <w:drawing>
                <wp:anchor distT="0" distB="0" distL="114300" distR="114300" simplePos="0" relativeHeight="251659264" behindDoc="1" locked="1" layoutInCell="1" allowOverlap="1">
                  <wp:simplePos x="0" y="0"/>
                  <wp:positionH relativeFrom="column">
                    <wp:posOffset>4965700</wp:posOffset>
                  </wp:positionH>
                  <wp:positionV relativeFrom="paragraph">
                    <wp:posOffset>9207500</wp:posOffset>
                  </wp:positionV>
                  <wp:extent cx="596900" cy="571500"/>
                  <wp:effectExtent l="0" t="0" r="12700" b="0"/>
                  <wp:wrapNone/>
                  <wp:docPr id="63" name="图片 6"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descr="38"/>
                          <pic:cNvPicPr>
                            <a:picLocks noChangeAspect="1"/>
                          </pic:cNvPicPr>
                        </pic:nvPicPr>
                        <pic:blipFill>
                          <a:blip r:embed="rId68"/>
                          <a:stretch>
                            <a:fillRect/>
                          </a:stretch>
                        </pic:blipFill>
                        <pic:spPr>
                          <a:xfrm>
                            <a:off x="0" y="0"/>
                            <a:ext cx="596900" cy="571500"/>
                          </a:xfrm>
                          <a:prstGeom prst="rect">
                            <a:avLst/>
                          </a:prstGeom>
                          <a:noFill/>
                          <a:ln>
                            <a:noFill/>
                          </a:ln>
                        </pic:spPr>
                      </pic:pic>
                    </a:graphicData>
                  </a:graphic>
                </wp:anchor>
              </w:drawing>
            </w:r>
            <w:r>
              <w:rPr>
                <w:rFonts w:hint="eastAsia"/>
              </w:rPr>
              <w:t>序号</w:t>
            </w:r>
          </w:p>
        </w:tc>
        <w:tc>
          <w:tcPr>
            <w:tcW w:w="2978" w:type="pct"/>
            <w:shd w:val="clear" w:color="auto" w:fill="auto"/>
          </w:tcPr>
          <w:p w14:paraId="28B31899">
            <w:pPr>
              <w:pStyle w:val="18"/>
            </w:pPr>
            <w:r>
              <w:rPr>
                <w:rFonts w:hint="eastAsia"/>
              </w:rPr>
              <w:t>文件名称</w:t>
            </w:r>
          </w:p>
        </w:tc>
        <w:tc>
          <w:tcPr>
            <w:tcW w:w="1489" w:type="pct"/>
            <w:shd w:val="clear" w:color="auto" w:fill="auto"/>
          </w:tcPr>
          <w:p w14:paraId="632FBC28">
            <w:pPr>
              <w:pStyle w:val="18"/>
            </w:pPr>
            <w:r>
              <w:rPr>
                <w:rFonts w:hint="eastAsia"/>
              </w:rPr>
              <w:t>责任人</w:t>
            </w:r>
          </w:p>
        </w:tc>
      </w:tr>
      <w:tr w14:paraId="5F809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pct"/>
            <w:shd w:val="clear" w:color="auto" w:fill="auto"/>
          </w:tcPr>
          <w:p w14:paraId="75DCC02B">
            <w:pPr>
              <w:pStyle w:val="18"/>
            </w:pPr>
            <w:r>
              <w:rPr>
                <w:rFonts w:hint="eastAsia"/>
              </w:rPr>
              <w:t>1</w:t>
            </w:r>
          </w:p>
        </w:tc>
        <w:tc>
          <w:tcPr>
            <w:tcW w:w="2978" w:type="pct"/>
            <w:shd w:val="clear" w:color="auto" w:fill="auto"/>
          </w:tcPr>
          <w:p w14:paraId="1C82EB27">
            <w:pPr>
              <w:pStyle w:val="18"/>
            </w:pPr>
            <w:r>
              <w:rPr>
                <w:rFonts w:hint="eastAsia"/>
              </w:rPr>
              <w:t>土建建施竣工图</w:t>
            </w:r>
          </w:p>
        </w:tc>
        <w:tc>
          <w:tcPr>
            <w:tcW w:w="1489" w:type="pct"/>
            <w:shd w:val="clear" w:color="auto" w:fill="auto"/>
          </w:tcPr>
          <w:p w14:paraId="0B9B8198">
            <w:pPr>
              <w:pStyle w:val="18"/>
            </w:pPr>
            <w:r>
              <w:rPr>
                <w:rFonts w:hint="eastAsia"/>
              </w:rPr>
              <w:t>土建内业技术员</w:t>
            </w:r>
          </w:p>
        </w:tc>
      </w:tr>
      <w:tr w14:paraId="47CC2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pct"/>
            <w:shd w:val="clear" w:color="auto" w:fill="auto"/>
          </w:tcPr>
          <w:p w14:paraId="68846BAC">
            <w:pPr>
              <w:pStyle w:val="18"/>
            </w:pPr>
            <w:r>
              <w:rPr>
                <w:rFonts w:hint="eastAsia"/>
              </w:rPr>
              <w:t>2</w:t>
            </w:r>
          </w:p>
        </w:tc>
        <w:tc>
          <w:tcPr>
            <w:tcW w:w="2978" w:type="pct"/>
            <w:shd w:val="clear" w:color="auto" w:fill="auto"/>
          </w:tcPr>
          <w:p w14:paraId="623F5DFC">
            <w:pPr>
              <w:pStyle w:val="18"/>
            </w:pPr>
            <w:r>
              <w:rPr>
                <w:rFonts w:hint="eastAsia"/>
              </w:rPr>
              <w:t>土建结施竣工图</w:t>
            </w:r>
          </w:p>
        </w:tc>
        <w:tc>
          <w:tcPr>
            <w:tcW w:w="1489" w:type="pct"/>
            <w:shd w:val="clear" w:color="auto" w:fill="auto"/>
          </w:tcPr>
          <w:p w14:paraId="53A028C3">
            <w:pPr>
              <w:pStyle w:val="18"/>
            </w:pPr>
            <w:r>
              <w:rPr>
                <w:rFonts w:hint="eastAsia"/>
              </w:rPr>
              <w:t>土建内业技术员</w:t>
            </w:r>
          </w:p>
        </w:tc>
      </w:tr>
    </w:tbl>
    <w:p w14:paraId="434EB6AC">
      <w:pPr>
        <w:pStyle w:val="5"/>
        <w:spacing w:before="31" w:after="31"/>
        <w:ind w:firstLine="562"/>
      </w:pPr>
      <w:bookmarkStart w:id="5386" w:name="_Toc27673"/>
      <w:bookmarkStart w:id="5387" w:name="_Toc23644"/>
      <w:bookmarkStart w:id="5388" w:name="_Toc20422"/>
      <w:bookmarkStart w:id="5389" w:name="_Toc17245"/>
      <w:bookmarkStart w:id="5390" w:name="_Toc21890"/>
      <w:bookmarkStart w:id="5391" w:name="_Toc32474"/>
      <w:bookmarkStart w:id="5392" w:name="_Toc20711"/>
      <w:bookmarkStart w:id="5393" w:name="_Toc31615"/>
      <w:bookmarkStart w:id="5394" w:name="_Toc24466"/>
      <w:bookmarkStart w:id="5395" w:name="_Toc23408"/>
      <w:bookmarkStart w:id="5396" w:name="_Toc898"/>
      <w:bookmarkStart w:id="5397" w:name="_Toc11961"/>
      <w:bookmarkStart w:id="5398" w:name="_Toc2728"/>
      <w:bookmarkStart w:id="5399" w:name="_Toc10763"/>
      <w:bookmarkStart w:id="5400" w:name="_Toc21772"/>
      <w:bookmarkStart w:id="5401" w:name="_Toc6147"/>
      <w:bookmarkStart w:id="5402" w:name="_Toc31415"/>
      <w:bookmarkStart w:id="5403" w:name="_Toc21332"/>
      <w:bookmarkStart w:id="5404" w:name="_Toc3070"/>
      <w:bookmarkStart w:id="5405" w:name="_Toc15489"/>
      <w:bookmarkStart w:id="5406" w:name="_Toc27959"/>
      <w:bookmarkStart w:id="5407" w:name="_Toc3997"/>
      <w:bookmarkStart w:id="5408" w:name="_Toc28488"/>
      <w:bookmarkStart w:id="5409" w:name="_Toc14380"/>
      <w:bookmarkStart w:id="5410" w:name="_Toc19179"/>
      <w:bookmarkStart w:id="5411" w:name="_Toc19332"/>
      <w:bookmarkStart w:id="5412" w:name="_Toc5858"/>
      <w:bookmarkStart w:id="5413" w:name="_Toc10038"/>
      <w:bookmarkStart w:id="5414" w:name="_Toc6329"/>
      <w:bookmarkStart w:id="5415" w:name="_Toc26097"/>
      <w:bookmarkStart w:id="5416" w:name="_Toc27611"/>
      <w:bookmarkStart w:id="5417" w:name="_Toc5060"/>
      <w:bookmarkStart w:id="5418" w:name="_Toc5192"/>
      <w:bookmarkStart w:id="5419" w:name="_Toc30346"/>
      <w:bookmarkStart w:id="5420" w:name="_Toc32597"/>
      <w:bookmarkStart w:id="5421" w:name="_Toc11596"/>
      <w:bookmarkStart w:id="5422" w:name="_Toc12260"/>
      <w:bookmarkStart w:id="5423" w:name="_Toc17013"/>
      <w:bookmarkStart w:id="5424" w:name="_Toc7799"/>
      <w:bookmarkStart w:id="5425" w:name="_Toc32675"/>
      <w:bookmarkStart w:id="5426" w:name="_Toc16676"/>
      <w:bookmarkStart w:id="5427" w:name="_Toc6914"/>
      <w:bookmarkStart w:id="5428" w:name="_Toc22447"/>
      <w:bookmarkStart w:id="5429" w:name="_Toc28049"/>
      <w:bookmarkStart w:id="5430" w:name="_Toc10997"/>
      <w:bookmarkStart w:id="5431" w:name="_Toc6950"/>
      <w:bookmarkStart w:id="5432" w:name="_Toc6222"/>
      <w:bookmarkStart w:id="5433" w:name="_Toc10801"/>
      <w:bookmarkStart w:id="5434" w:name="_Toc5680"/>
      <w:bookmarkStart w:id="5435" w:name="_Toc21077"/>
      <w:r>
        <w:rPr>
          <w:rFonts w:hint="eastAsia"/>
        </w:rPr>
        <w:t>（二）施工保证措施</w:t>
      </w:r>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p>
    <w:p w14:paraId="61A21395">
      <w:pPr>
        <w:ind w:firstLine="560"/>
      </w:pPr>
      <w:r>
        <w:rPr>
          <w:rFonts w:hint="eastAsia"/>
        </w:rPr>
        <w:t>1、坚持按程序合理组织施工，做到紧张有序，忙而不乱。上道工序未检查合格，不得作下道工序。</w:t>
      </w:r>
    </w:p>
    <w:p w14:paraId="5A60B162">
      <w:pPr>
        <w:ind w:firstLine="560"/>
      </w:pPr>
      <w:r>
        <w:rPr>
          <w:rFonts w:hint="eastAsia"/>
        </w:rPr>
        <w:t>2、坚持“三检”制度，实行优质优价，奖罚分明，对不合格工程，坚决推倒重做，并按规定对有关责任人做出处罚，积累分析原因，避免同样事故重复出现。</w:t>
      </w:r>
    </w:p>
    <w:p w14:paraId="2CA2CD3F">
      <w:pPr>
        <w:ind w:firstLine="560"/>
      </w:pPr>
      <w:r>
        <w:rPr>
          <w:rFonts w:hint="eastAsia"/>
        </w:rPr>
        <w:t>3、钢筋接头，绑扎必须符合规范，对焊、电渣压力焊、机械连接，经检验合格后，才能成批焊接。焊工必须持证上岗。</w:t>
      </w:r>
    </w:p>
    <w:p w14:paraId="3D17616A">
      <w:pPr>
        <w:ind w:firstLine="560"/>
      </w:pPr>
      <w:r>
        <w:rPr>
          <w:rFonts w:hint="eastAsia"/>
        </w:rPr>
        <w:t>4、模板支撑系统必须有足够的强度、刚度和稳定性，以保证的几何尺寸，高支模必须验证其稳定性及刚度。</w:t>
      </w:r>
    </w:p>
    <w:p w14:paraId="35BF7A47">
      <w:pPr>
        <w:ind w:firstLine="560"/>
      </w:pPr>
      <w:r>
        <w:rPr>
          <w:rFonts w:hint="eastAsia"/>
        </w:rPr>
        <w:t>5、实行砼浇灌证制度，大体积砼浇筑必须有“砼浇灌令”，在砼浇灌前必须认真检查。</w:t>
      </w:r>
    </w:p>
    <w:p w14:paraId="23AC6536">
      <w:pPr>
        <w:ind w:firstLine="560"/>
      </w:pPr>
      <w:r>
        <w:rPr>
          <w:rFonts w:hint="eastAsia"/>
        </w:rPr>
        <w:t>6、严格检查制度。轴线、模板标高、断面尺寸是否符合设计要求，梁是否起拱正确，是否办理钢筋及预埋件的隐蔽验收资料签证；按计划规定设置的锚固螺、预留孔以及下道工序部配件是否正确；模板、钢筋的垃圾、油污是否清除干净；砼准备工作是否完毕；天气预报情况、砼运输道路是否畅通等。</w:t>
      </w:r>
    </w:p>
    <w:p w14:paraId="54E57E41">
      <w:pPr>
        <w:ind w:firstLine="560"/>
      </w:pPr>
      <w:r>
        <w:rPr>
          <w:rFonts w:hint="eastAsia"/>
        </w:rPr>
        <w:t>7、砼浇筑，需经各施工工长、质量检查员、安装负责人、现场代表签字后，方能进行砼浇灌。</w:t>
      </w:r>
    </w:p>
    <w:p w14:paraId="483794EC">
      <w:pPr>
        <w:ind w:firstLine="560"/>
      </w:pPr>
      <w:r>
        <w:rPr>
          <w:rFonts w:hint="eastAsia"/>
        </w:rPr>
        <w:t>8、砼浇灌前必须用压缩空气将渣子吹净，并将模板充分湿润。</w:t>
      </w:r>
    </w:p>
    <w:p w14:paraId="34FCA31E">
      <w:pPr>
        <w:ind w:firstLine="560"/>
      </w:pPr>
      <w:r>
        <w:rPr>
          <w:rFonts w:hint="eastAsia"/>
        </w:rPr>
        <w:t>9、在浇筑墙砼前，先浇5-10cm厚和砼内同标号的水泥砂浆，防止烂根。</w:t>
      </w:r>
    </w:p>
    <w:p w14:paraId="5223BBF6">
      <w:pPr>
        <w:ind w:firstLine="560"/>
      </w:pPr>
      <w:r>
        <w:rPr>
          <w:rFonts w:hint="eastAsia"/>
        </w:rPr>
        <w:t>10、砼的振捣应密实，不得出现欠振、漏振和超振，防止出现蜂窝麻面。</w:t>
      </w:r>
    </w:p>
    <w:p w14:paraId="60420711">
      <w:pPr>
        <w:ind w:firstLine="560"/>
      </w:pPr>
      <w:r>
        <w:rPr>
          <w:rFonts w:hint="eastAsia"/>
        </w:rPr>
        <w:t>11、水平钢筋机械连接必须可靠，轴线必须准确。</w:t>
      </w:r>
    </w:p>
    <w:p w14:paraId="236C288F">
      <w:pPr>
        <w:pStyle w:val="5"/>
        <w:spacing w:before="31" w:after="31"/>
        <w:ind w:firstLine="562"/>
      </w:pPr>
      <w:bookmarkStart w:id="5436" w:name="_Toc27237"/>
      <w:bookmarkStart w:id="5437" w:name="_Toc911"/>
      <w:bookmarkStart w:id="5438" w:name="_Toc27076"/>
      <w:bookmarkStart w:id="5439" w:name="_Toc24600"/>
      <w:bookmarkStart w:id="5440" w:name="_Toc25671"/>
      <w:bookmarkStart w:id="5441" w:name="_Toc22288"/>
      <w:bookmarkStart w:id="5442" w:name="_Toc5553"/>
      <w:bookmarkStart w:id="5443" w:name="_Toc27063"/>
      <w:bookmarkStart w:id="5444" w:name="_Toc17795"/>
      <w:bookmarkStart w:id="5445" w:name="_Toc19287"/>
      <w:bookmarkStart w:id="5446" w:name="_Toc19828"/>
      <w:bookmarkStart w:id="5447" w:name="_Toc1716"/>
      <w:bookmarkStart w:id="5448" w:name="_Toc20876"/>
      <w:bookmarkStart w:id="5449" w:name="_Toc29681"/>
      <w:bookmarkStart w:id="5450" w:name="_Toc9744"/>
      <w:bookmarkStart w:id="5451" w:name="_Toc310"/>
      <w:bookmarkStart w:id="5452" w:name="_Toc1521"/>
      <w:bookmarkStart w:id="5453" w:name="_Toc14600"/>
      <w:bookmarkStart w:id="5454" w:name="_Toc8980"/>
      <w:bookmarkStart w:id="5455" w:name="_Toc11670"/>
      <w:bookmarkStart w:id="5456" w:name="_Toc28595"/>
      <w:bookmarkStart w:id="5457" w:name="_Toc24802"/>
      <w:bookmarkStart w:id="5458" w:name="_Toc14945"/>
      <w:bookmarkStart w:id="5459" w:name="_Toc27055"/>
      <w:bookmarkStart w:id="5460" w:name="_Toc29244"/>
      <w:bookmarkStart w:id="5461" w:name="_Toc27141"/>
      <w:bookmarkStart w:id="5462" w:name="_Toc22545"/>
      <w:bookmarkStart w:id="5463" w:name="_Toc18526"/>
      <w:bookmarkStart w:id="5464" w:name="_Toc15116"/>
      <w:bookmarkStart w:id="5465" w:name="_Toc11449"/>
      <w:bookmarkStart w:id="5466" w:name="_Toc14481"/>
      <w:bookmarkStart w:id="5467" w:name="_Toc15020"/>
      <w:bookmarkStart w:id="5468" w:name="_Toc8219"/>
      <w:bookmarkStart w:id="5469" w:name="_Toc11521"/>
      <w:bookmarkStart w:id="5470" w:name="_Toc522"/>
      <w:bookmarkStart w:id="5471" w:name="_Toc25450"/>
      <w:bookmarkStart w:id="5472" w:name="_Toc19377"/>
      <w:bookmarkStart w:id="5473" w:name="_Toc26582"/>
      <w:bookmarkStart w:id="5474" w:name="_Toc23337"/>
      <w:bookmarkStart w:id="5475" w:name="_Toc24656"/>
      <w:bookmarkStart w:id="5476" w:name="_Toc2917"/>
      <w:bookmarkStart w:id="5477" w:name="_Toc881"/>
      <w:bookmarkStart w:id="5478" w:name="_Toc6830"/>
      <w:bookmarkStart w:id="5479" w:name="_Toc14911"/>
      <w:bookmarkStart w:id="5480" w:name="_Toc22680"/>
      <w:bookmarkStart w:id="5481" w:name="_Toc26990"/>
      <w:bookmarkStart w:id="5482" w:name="_Toc11302"/>
      <w:bookmarkStart w:id="5483" w:name="_Toc28041"/>
      <w:bookmarkStart w:id="5484" w:name="_Toc12308"/>
      <w:bookmarkStart w:id="5485" w:name="_Toc9801"/>
      <w:bookmarkStart w:id="5486" w:name="_Toc8925"/>
      <w:bookmarkStart w:id="5487" w:name="_Toc21836"/>
      <w:bookmarkStart w:id="5488" w:name="_Toc26822"/>
      <w:bookmarkStart w:id="5489" w:name="_Toc17144"/>
      <w:bookmarkStart w:id="5490" w:name="_Toc26624"/>
      <w:r>
        <w:rPr>
          <w:rFonts w:hint="eastAsia"/>
        </w:rPr>
        <w:t>（三）计量保证措施</w:t>
      </w:r>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p>
    <w:p w14:paraId="3EA49D21">
      <w:pPr>
        <w:ind w:firstLine="560"/>
      </w:pPr>
      <w:r>
        <w:rPr>
          <w:rFonts w:hint="eastAsia"/>
        </w:rPr>
        <w:t>1、严格执行公司的计量检测网络。</w:t>
      </w:r>
    </w:p>
    <w:p w14:paraId="5189456A">
      <w:pPr>
        <w:ind w:firstLine="560"/>
      </w:pPr>
      <w:r>
        <w:rPr>
          <w:rFonts w:hint="eastAsia"/>
        </w:rPr>
        <w:t>2、砼、砂浆、钢筋接头由内业员按规范要求提出取样计划，由试验员取样送试验室检验，不合格不得使用。</w:t>
      </w:r>
    </w:p>
    <w:p w14:paraId="16D2F91D">
      <w:pPr>
        <w:ind w:firstLine="560"/>
      </w:pPr>
      <w:r>
        <w:rPr>
          <w:rFonts w:hint="eastAsia"/>
        </w:rPr>
        <w:t>3、控制砼搅拌站严格按配合比投料，严格按商品砼有关技术规范执行。</w:t>
      </w:r>
    </w:p>
    <w:p w14:paraId="7D54681F">
      <w:pPr>
        <w:ind w:firstLine="560"/>
      </w:pPr>
      <w:r>
        <w:rPr>
          <w:rFonts w:hint="eastAsia"/>
        </w:rPr>
        <w:t>4、现场设立砼快速测强点，由试验员负责操作，为拆模提供依据。</w:t>
      </w:r>
    </w:p>
    <w:p w14:paraId="5F8D2789">
      <w:pPr>
        <w:ind w:firstLine="560"/>
      </w:pPr>
      <w:r>
        <w:rPr>
          <w:rFonts w:hint="eastAsia"/>
        </w:rPr>
        <w:t>5、经纬仪、水准仪、台秤等计量工具由项目技改计量工长负责按规定送法定检验单位检校。</w:t>
      </w:r>
    </w:p>
    <w:p w14:paraId="20B904BC">
      <w:pPr>
        <w:pStyle w:val="5"/>
        <w:spacing w:before="31" w:after="31"/>
        <w:ind w:firstLine="562"/>
      </w:pPr>
      <w:bookmarkStart w:id="5491" w:name="_Toc28350"/>
      <w:bookmarkStart w:id="5492" w:name="_Toc22259"/>
      <w:bookmarkStart w:id="5493" w:name="_Toc32767"/>
      <w:bookmarkStart w:id="5494" w:name="_Toc12847"/>
      <w:bookmarkStart w:id="5495" w:name="_Toc28805"/>
      <w:bookmarkStart w:id="5496" w:name="_Toc13181"/>
      <w:bookmarkStart w:id="5497" w:name="_Toc4382"/>
      <w:bookmarkStart w:id="5498" w:name="_Toc30802"/>
      <w:bookmarkStart w:id="5499" w:name="_Toc431"/>
      <w:bookmarkStart w:id="5500" w:name="_Toc11151"/>
      <w:bookmarkStart w:id="5501" w:name="_Toc8894"/>
      <w:bookmarkStart w:id="5502" w:name="_Toc19853"/>
      <w:bookmarkStart w:id="5503" w:name="_Toc15844"/>
      <w:bookmarkStart w:id="5504" w:name="_Toc12156"/>
      <w:bookmarkStart w:id="5505" w:name="_Toc16497"/>
      <w:bookmarkStart w:id="5506" w:name="_Toc13365"/>
      <w:bookmarkStart w:id="5507" w:name="_Toc334"/>
      <w:bookmarkStart w:id="5508" w:name="_Toc21456"/>
      <w:bookmarkStart w:id="5509" w:name="_Toc31507"/>
      <w:bookmarkStart w:id="5510" w:name="_Toc22607"/>
      <w:bookmarkStart w:id="5511" w:name="_Toc29403"/>
      <w:bookmarkStart w:id="5512" w:name="_Toc1653"/>
      <w:bookmarkStart w:id="5513" w:name="_Toc1513"/>
      <w:bookmarkStart w:id="5514" w:name="_Toc19903"/>
      <w:bookmarkStart w:id="5515" w:name="_Toc2662"/>
      <w:bookmarkStart w:id="5516" w:name="_Toc30248"/>
      <w:bookmarkStart w:id="5517" w:name="_Toc1220"/>
      <w:bookmarkStart w:id="5518" w:name="_Toc15687"/>
      <w:bookmarkStart w:id="5519" w:name="_Toc18306"/>
      <w:bookmarkStart w:id="5520" w:name="_Toc84"/>
      <w:bookmarkStart w:id="5521" w:name="_Toc23336"/>
      <w:bookmarkStart w:id="5522" w:name="_Toc5206"/>
      <w:bookmarkStart w:id="5523" w:name="_Toc5008"/>
      <w:bookmarkStart w:id="5524" w:name="_Toc8281"/>
      <w:bookmarkStart w:id="5525" w:name="_Toc23839"/>
      <w:bookmarkStart w:id="5526" w:name="_Toc15029"/>
      <w:bookmarkStart w:id="5527" w:name="_Toc12150"/>
      <w:bookmarkStart w:id="5528" w:name="_Toc22939"/>
      <w:bookmarkStart w:id="5529" w:name="_Toc13987"/>
      <w:bookmarkStart w:id="5530" w:name="_Toc12496"/>
      <w:bookmarkStart w:id="5531" w:name="_Toc7059"/>
      <w:bookmarkStart w:id="5532" w:name="_Toc19508"/>
      <w:bookmarkStart w:id="5533" w:name="_Toc17037"/>
      <w:bookmarkStart w:id="5534" w:name="_Toc16306"/>
      <w:bookmarkStart w:id="5535" w:name="_Toc27644"/>
      <w:bookmarkStart w:id="5536" w:name="_Toc19650"/>
      <w:bookmarkStart w:id="5537" w:name="_Toc30302"/>
      <w:bookmarkStart w:id="5538" w:name="_Toc10325"/>
      <w:bookmarkStart w:id="5539" w:name="_Toc12255"/>
      <w:bookmarkStart w:id="5540" w:name="_Toc4067"/>
      <w:bookmarkStart w:id="5541" w:name="_Toc20059"/>
      <w:bookmarkStart w:id="5542" w:name="_Toc24713"/>
      <w:bookmarkStart w:id="5543" w:name="_Toc11703"/>
      <w:bookmarkStart w:id="5544" w:name="_Toc7569"/>
      <w:r>
        <w:rPr>
          <w:rFonts w:hint="eastAsia"/>
        </w:rPr>
        <w:t>（四）建立质量管理机构</w:t>
      </w:r>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p>
    <w:p w14:paraId="5E344718">
      <w:pPr>
        <w:ind w:firstLine="560"/>
      </w:pPr>
      <w:r>
        <w:rPr>
          <w:rFonts w:hint="eastAsia"/>
        </w:rPr>
        <w:t>1、坚决贯彻“百年大计、质量第一”的方针，牢固树立“预防为主”的思想。在施工过程中，通过各种形式，加强对参建职工的教育，不断提高工作责任心和质量意识，对质量问题坚决执行“三不放过”和一票否决制度精心组织、精心施工，确保工程质量达到优良。</w:t>
      </w:r>
    </w:p>
    <w:p w14:paraId="2C70BA43">
      <w:pPr>
        <w:ind w:firstLine="560"/>
      </w:pPr>
      <w:r>
        <w:rPr>
          <w:rFonts w:hint="eastAsia"/>
        </w:rPr>
        <w:t>2、建立以局总工程师为首的质量管理体系，全面控制施工项目的工程质量。为了充分发挥质量管理体系的作用，保证工程量为优良标准，协调各部门与项目经理部的关系，成立局领导、项目有关人员参加的本工程施工质量控制小组控制本工程的质量。</w:t>
      </w:r>
    </w:p>
    <w:p w14:paraId="31D97296">
      <w:pPr>
        <w:pStyle w:val="5"/>
        <w:spacing w:before="31" w:after="31"/>
        <w:ind w:firstLine="562"/>
      </w:pPr>
      <w:bookmarkStart w:id="5545" w:name="_Toc2946"/>
      <w:bookmarkStart w:id="5546" w:name="_Toc12007"/>
      <w:bookmarkStart w:id="5547" w:name="_Toc25334"/>
      <w:bookmarkStart w:id="5548" w:name="_Toc788"/>
      <w:bookmarkStart w:id="5549" w:name="_Toc16451"/>
      <w:bookmarkStart w:id="5550" w:name="_Toc16454"/>
      <w:bookmarkStart w:id="5551" w:name="_Toc27783"/>
      <w:bookmarkStart w:id="5552" w:name="_Toc25932"/>
      <w:bookmarkStart w:id="5553" w:name="_Toc3641"/>
      <w:bookmarkStart w:id="5554" w:name="_Toc29197"/>
      <w:bookmarkStart w:id="5555" w:name="_Toc10276"/>
      <w:bookmarkStart w:id="5556" w:name="_Toc23484"/>
      <w:bookmarkStart w:id="5557" w:name="_Toc3812"/>
      <w:bookmarkStart w:id="5558" w:name="_Toc16834"/>
      <w:bookmarkStart w:id="5559" w:name="_Toc19815"/>
      <w:bookmarkStart w:id="5560" w:name="_Toc23223"/>
      <w:bookmarkStart w:id="5561" w:name="_Toc30149"/>
      <w:bookmarkStart w:id="5562" w:name="_Toc23296"/>
      <w:bookmarkStart w:id="5563" w:name="_Toc466"/>
      <w:bookmarkStart w:id="5564" w:name="_Toc22743"/>
      <w:bookmarkStart w:id="5565" w:name="_Toc8359"/>
      <w:bookmarkStart w:id="5566" w:name="_Toc15321"/>
      <w:bookmarkStart w:id="5567" w:name="_Toc24974"/>
      <w:bookmarkStart w:id="5568" w:name="_Toc29858"/>
      <w:bookmarkStart w:id="5569" w:name="_Toc4745"/>
      <w:bookmarkStart w:id="5570" w:name="_Toc19027"/>
      <w:bookmarkStart w:id="5571" w:name="_Toc3530"/>
      <w:bookmarkStart w:id="5572" w:name="_Toc8122"/>
      <w:bookmarkStart w:id="5573" w:name="_Toc31280"/>
      <w:bookmarkStart w:id="5574" w:name="_Toc18471"/>
      <w:bookmarkStart w:id="5575" w:name="_Toc55"/>
      <w:bookmarkStart w:id="5576" w:name="_Toc15073"/>
      <w:bookmarkStart w:id="5577" w:name="_Toc29263"/>
      <w:bookmarkStart w:id="5578" w:name="_Toc6815"/>
      <w:bookmarkStart w:id="5579" w:name="_Toc22142"/>
      <w:bookmarkStart w:id="5580" w:name="_Toc4550"/>
      <w:bookmarkStart w:id="5581" w:name="_Toc8564"/>
      <w:bookmarkStart w:id="5582" w:name="_Toc21447"/>
      <w:bookmarkStart w:id="5583" w:name="_Toc5754"/>
      <w:bookmarkStart w:id="5584" w:name="_Toc18727"/>
      <w:bookmarkStart w:id="5585" w:name="_Toc5153"/>
      <w:bookmarkStart w:id="5586" w:name="_Toc18188"/>
      <w:bookmarkStart w:id="5587" w:name="_Toc28928"/>
      <w:bookmarkStart w:id="5588" w:name="_Toc387"/>
      <w:bookmarkStart w:id="5589" w:name="_Toc7616"/>
      <w:bookmarkStart w:id="5590" w:name="_Toc26653"/>
      <w:bookmarkStart w:id="5591" w:name="_Toc29080"/>
      <w:bookmarkStart w:id="5592" w:name="_Toc1448"/>
      <w:bookmarkStart w:id="5593" w:name="_Toc26476"/>
      <w:bookmarkStart w:id="5594" w:name="_Toc16917"/>
      <w:r>
        <w:rPr>
          <w:rFonts w:hint="eastAsia"/>
        </w:rPr>
        <w:t>（五）建立质量回访维修制度</w:t>
      </w:r>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p>
    <w:p w14:paraId="2FD613BC">
      <w:pPr>
        <w:ind w:firstLine="560"/>
      </w:pPr>
      <w:r>
        <w:rPr>
          <w:rFonts w:hint="eastAsia"/>
        </w:rPr>
        <w:t>自工程竣工验收交付使用开始，严格地执行建筑工程的质量回访和保修、维修制度，树立“用户是上帝”的思想，具体措施是：</w:t>
      </w:r>
    </w:p>
    <w:p w14:paraId="78595422">
      <w:pPr>
        <w:ind w:firstLine="560"/>
      </w:pPr>
      <w:r>
        <w:rPr>
          <w:rFonts w:hint="eastAsia"/>
        </w:rPr>
        <w:t>（1）在保修期内，每个季度进行质量回访一次。保修期外坚持每年进行质量回访一次。</w:t>
      </w:r>
    </w:p>
    <w:p w14:paraId="047AB7DD">
      <w:pPr>
        <w:ind w:firstLine="560"/>
      </w:pPr>
      <w:r>
        <w:rPr>
          <w:rFonts w:hint="eastAsia"/>
        </w:rPr>
        <w:t>在回访过程中，根据建设单位所提出的要求整改或维修。</w:t>
      </w:r>
    </w:p>
    <w:p w14:paraId="41D08CD8">
      <w:pPr>
        <w:ind w:firstLine="560"/>
      </w:pPr>
      <w:r>
        <w:rPr>
          <w:rFonts w:hint="eastAsia"/>
        </w:rPr>
        <w:t>（2）保修期间派专业人员负责，配合业主工作，进行检修维修。保修期满，继续与业主保持联系。</w:t>
      </w:r>
    </w:p>
    <w:p w14:paraId="39E2FEB5">
      <w:pPr>
        <w:ind w:firstLine="560"/>
      </w:pPr>
      <w:r>
        <w:rPr>
          <w:rFonts w:hint="eastAsia"/>
        </w:rPr>
        <w:t>（3）工程交工后，交钥匙的同时发给各用户维修卡，保修期满，用户签字，业主存档，并做好保修期间的记录，经用户和业主检查后签字。</w:t>
      </w:r>
    </w:p>
    <w:p w14:paraId="733D4AC3">
      <w:pPr>
        <w:pStyle w:val="5"/>
        <w:spacing w:before="31" w:after="31"/>
        <w:ind w:firstLine="562"/>
      </w:pPr>
      <w:bookmarkStart w:id="5595" w:name="_Toc11747"/>
      <w:bookmarkStart w:id="5596" w:name="_Toc23262"/>
      <w:bookmarkStart w:id="5597" w:name="_Toc15452"/>
      <w:bookmarkStart w:id="5598" w:name="_Toc5604"/>
      <w:bookmarkStart w:id="5599" w:name="_Toc10998"/>
      <w:bookmarkStart w:id="5600" w:name="_Toc21549"/>
      <w:bookmarkStart w:id="5601" w:name="_Toc15187"/>
      <w:bookmarkStart w:id="5602" w:name="_Toc15253"/>
      <w:bookmarkStart w:id="5603" w:name="_Toc15997"/>
      <w:bookmarkStart w:id="5604" w:name="_Toc11983"/>
      <w:bookmarkStart w:id="5605" w:name="_Toc790"/>
      <w:bookmarkStart w:id="5606" w:name="_Toc18110"/>
      <w:bookmarkStart w:id="5607" w:name="_Toc1326"/>
      <w:bookmarkStart w:id="5608" w:name="_Toc15772"/>
      <w:bookmarkStart w:id="5609" w:name="_Toc28522"/>
      <w:bookmarkStart w:id="5610" w:name="_Toc24721"/>
      <w:bookmarkStart w:id="5611" w:name="_Toc15047"/>
      <w:bookmarkStart w:id="5612" w:name="_Toc4172"/>
      <w:bookmarkStart w:id="5613" w:name="_Toc19618"/>
      <w:bookmarkStart w:id="5614" w:name="_Toc6976"/>
      <w:bookmarkStart w:id="5615" w:name="_Toc10001"/>
      <w:bookmarkStart w:id="5616" w:name="_Toc27527"/>
      <w:bookmarkStart w:id="5617" w:name="_Toc18496"/>
      <w:bookmarkStart w:id="5618" w:name="_Toc19465"/>
      <w:bookmarkStart w:id="5619" w:name="_Toc1264"/>
      <w:bookmarkStart w:id="5620" w:name="_Toc27365"/>
      <w:bookmarkStart w:id="5621" w:name="_Toc18663"/>
      <w:bookmarkStart w:id="5622" w:name="_Toc32545"/>
      <w:bookmarkStart w:id="5623" w:name="_Toc2471"/>
      <w:bookmarkStart w:id="5624" w:name="_Toc24728"/>
      <w:bookmarkStart w:id="5625" w:name="_Toc24680"/>
      <w:bookmarkStart w:id="5626" w:name="_Toc23975"/>
      <w:bookmarkStart w:id="5627" w:name="_Toc23543"/>
      <w:bookmarkStart w:id="5628" w:name="_Toc19145"/>
      <w:bookmarkStart w:id="5629" w:name="_Toc9655"/>
      <w:bookmarkStart w:id="5630" w:name="_Toc3738"/>
      <w:bookmarkStart w:id="5631" w:name="_Toc16540"/>
      <w:bookmarkStart w:id="5632" w:name="_Toc5435"/>
      <w:bookmarkStart w:id="5633" w:name="_Toc14434"/>
      <w:bookmarkStart w:id="5634" w:name="_Toc28189"/>
      <w:bookmarkStart w:id="5635" w:name="_Toc9723"/>
      <w:bookmarkStart w:id="5636" w:name="_Toc20795"/>
      <w:bookmarkStart w:id="5637" w:name="_Toc17019"/>
      <w:bookmarkStart w:id="5638" w:name="_Toc2499"/>
      <w:bookmarkStart w:id="5639" w:name="_Toc1105"/>
      <w:bookmarkStart w:id="5640" w:name="_Toc17321"/>
      <w:bookmarkStart w:id="5641" w:name="_Toc19177"/>
      <w:bookmarkStart w:id="5642" w:name="_Toc20091"/>
      <w:bookmarkStart w:id="5643" w:name="_Toc25552"/>
      <w:bookmarkStart w:id="5644" w:name="_Toc23401"/>
      <w:r>
        <w:rPr>
          <w:rFonts w:hint="eastAsia"/>
        </w:rPr>
        <w:t>（六）施工阶段的级配及试块管理制度</w:t>
      </w:r>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p>
    <w:p w14:paraId="5F6BA843">
      <w:pPr>
        <w:ind w:firstLine="560"/>
      </w:pPr>
      <w:r>
        <w:rPr>
          <w:rFonts w:hint="eastAsia"/>
        </w:rPr>
        <w:t>1、凡在设计图纸中标明强度等级的混凝土、砂浆均属级配管理范围。</w:t>
      </w:r>
    </w:p>
    <w:p w14:paraId="200672CD">
      <w:pPr>
        <w:ind w:firstLine="560"/>
      </w:pPr>
      <w:r>
        <w:rPr>
          <w:rFonts w:hint="eastAsia"/>
        </w:rPr>
        <w:t>2、管理职责分工:</w:t>
      </w:r>
    </w:p>
    <w:p w14:paraId="634CA65A">
      <w:pPr>
        <w:ind w:firstLine="560"/>
      </w:pPr>
      <w:r>
        <w:rPr>
          <w:rFonts w:hint="eastAsia"/>
        </w:rPr>
        <w:t>（1）项目工程师负责混凝土、砂浆强度评定(数理统计与非数理统计)。</w:t>
      </w:r>
    </w:p>
    <w:p w14:paraId="49A8903F">
      <w:pPr>
        <w:ind w:firstLine="560"/>
      </w:pPr>
      <w:r>
        <w:rPr>
          <w:rFonts w:hint="eastAsia"/>
        </w:rPr>
        <w:t>（2）项目技术员负责级配申请的复核，签发配合比通知单。</w:t>
      </w:r>
    </w:p>
    <w:p w14:paraId="6B6EEE86">
      <w:pPr>
        <w:ind w:firstLine="560"/>
      </w:pPr>
      <w:r>
        <w:rPr>
          <w:rFonts w:hint="eastAsia"/>
        </w:rPr>
        <w:t>（3）施工员负责开具级配单申请单，负责计量工作的检查与监控。</w:t>
      </w:r>
    </w:p>
    <w:p w14:paraId="2FAC09D4">
      <w:pPr>
        <w:ind w:firstLine="560"/>
      </w:pPr>
      <w:r>
        <w:rPr>
          <w:rFonts w:hint="eastAsia"/>
        </w:rPr>
        <w:t>（4）项目试验工负责接受配合比通知单，并根据通知单校验磅秤等计量器，负责向施工班组进行级配交底、中途抽查，负责现场试块制作、养护及送试工作。</w:t>
      </w:r>
    </w:p>
    <w:p w14:paraId="18A6444A">
      <w:pPr>
        <w:ind w:firstLine="560"/>
      </w:pPr>
      <w:r>
        <w:rPr>
          <w:rFonts w:hint="eastAsia"/>
        </w:rPr>
        <w:t>（5）技术质量科的试验员负责试块的试压及填表工作，监督现场试块制作及“三过磅”执行。</w:t>
      </w:r>
    </w:p>
    <w:p w14:paraId="394CA7BD">
      <w:pPr>
        <w:pStyle w:val="5"/>
        <w:spacing w:before="31" w:after="31"/>
        <w:ind w:firstLine="562"/>
      </w:pPr>
      <w:bookmarkStart w:id="5645" w:name="_Toc2810"/>
      <w:bookmarkStart w:id="5646" w:name="_Toc19530"/>
      <w:bookmarkStart w:id="5647" w:name="_Toc8661"/>
      <w:bookmarkStart w:id="5648" w:name="_Toc26657"/>
      <w:bookmarkStart w:id="5649" w:name="_Toc32274"/>
      <w:bookmarkStart w:id="5650" w:name="_Toc15677"/>
      <w:bookmarkStart w:id="5651" w:name="_Toc1514"/>
      <w:bookmarkStart w:id="5652" w:name="_Toc1940"/>
      <w:bookmarkStart w:id="5653" w:name="_Toc11246"/>
      <w:bookmarkStart w:id="5654" w:name="_Toc18921"/>
      <w:bookmarkStart w:id="5655" w:name="_Toc13408"/>
      <w:bookmarkStart w:id="5656" w:name="_Toc32748"/>
      <w:bookmarkStart w:id="5657" w:name="_Toc21837"/>
      <w:bookmarkStart w:id="5658" w:name="_Toc13452"/>
      <w:bookmarkStart w:id="5659" w:name="_Toc15869"/>
      <w:bookmarkStart w:id="5660" w:name="_Toc9011"/>
      <w:bookmarkStart w:id="5661" w:name="_Toc28961"/>
      <w:bookmarkStart w:id="5662" w:name="_Toc9186"/>
      <w:bookmarkStart w:id="5663" w:name="_Toc9596"/>
      <w:bookmarkStart w:id="5664" w:name="_Toc19218"/>
      <w:bookmarkStart w:id="5665" w:name="_Toc11731"/>
      <w:bookmarkStart w:id="5666" w:name="_Toc12514"/>
      <w:bookmarkStart w:id="5667" w:name="_Toc7738"/>
      <w:bookmarkStart w:id="5668" w:name="_Toc9644"/>
      <w:bookmarkStart w:id="5669" w:name="_Toc28970"/>
      <w:bookmarkStart w:id="5670" w:name="_Toc15867"/>
      <w:bookmarkStart w:id="5671" w:name="_Toc18258"/>
      <w:bookmarkStart w:id="5672" w:name="_Toc12387"/>
      <w:bookmarkStart w:id="5673" w:name="_Toc26052"/>
      <w:bookmarkStart w:id="5674" w:name="_Toc4266"/>
      <w:bookmarkStart w:id="5675" w:name="_Toc12753"/>
      <w:bookmarkStart w:id="5676" w:name="_Toc9640"/>
      <w:bookmarkStart w:id="5677" w:name="_Toc4298"/>
      <w:bookmarkStart w:id="5678" w:name="_Toc12762"/>
      <w:bookmarkStart w:id="5679" w:name="_Toc16197"/>
      <w:bookmarkStart w:id="5680" w:name="_Toc18060"/>
      <w:bookmarkStart w:id="5681" w:name="_Toc14721"/>
      <w:bookmarkStart w:id="5682" w:name="_Toc16858"/>
      <w:bookmarkStart w:id="5683" w:name="_Toc14207"/>
      <w:bookmarkStart w:id="5684" w:name="_Toc2169"/>
      <w:bookmarkStart w:id="5685" w:name="_Toc10695"/>
      <w:bookmarkStart w:id="5686" w:name="_Toc16218"/>
      <w:bookmarkStart w:id="5687" w:name="_Toc17814"/>
      <w:bookmarkStart w:id="5688" w:name="_Toc20604"/>
      <w:bookmarkStart w:id="5689" w:name="_Toc8243"/>
      <w:bookmarkStart w:id="5690" w:name="_Toc25700"/>
      <w:bookmarkStart w:id="5691" w:name="_Toc27927"/>
      <w:bookmarkStart w:id="5692" w:name="_Toc26568"/>
      <w:bookmarkStart w:id="5693" w:name="_Toc24474"/>
      <w:r>
        <w:rPr>
          <w:rFonts w:hint="eastAsia"/>
        </w:rPr>
        <w:t>（七）技术、质量交底制度</w:t>
      </w:r>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p>
    <w:p w14:paraId="6C5E9F0F">
      <w:pPr>
        <w:ind w:firstLine="560"/>
      </w:pPr>
      <w:r>
        <w:rPr>
          <w:rFonts w:hint="eastAsia"/>
        </w:rPr>
        <w:t>技术、质量的交底工作是施工过程基础管理中一项不可缺少的重要工作内容，交底必须采用书面签证确认形式，具体可分如下几个方面：</w:t>
      </w:r>
    </w:p>
    <w:p w14:paraId="08F61812">
      <w:pPr>
        <w:ind w:firstLine="560"/>
      </w:pPr>
      <w:r>
        <w:rPr>
          <w:rFonts w:hint="eastAsia"/>
        </w:rPr>
        <w:t>1、当项目部接到设计图纸后，项目经理必须组织项目部全体人员对图纸进行认真学习，并督促建设单位组织设计交底会。</w:t>
      </w:r>
    </w:p>
    <w:p w14:paraId="483445DD">
      <w:pPr>
        <w:ind w:firstLine="560"/>
      </w:pPr>
      <w:r>
        <w:rPr>
          <w:rFonts w:hint="eastAsia"/>
        </w:rPr>
        <w:t>2、施工组织设计编制完毕并送审确认后，由项目经理牵头，项目工程师组织全体人员认真学习施工方案，并进行技术、质量、安全书面交底，列出监控部位及监控要点。</w:t>
      </w:r>
    </w:p>
    <w:p w14:paraId="21AA90B0">
      <w:pPr>
        <w:ind w:firstLine="560"/>
      </w:pPr>
      <w:r>
        <w:rPr>
          <w:rFonts w:hint="eastAsia"/>
        </w:rPr>
        <w:t>3、本着谁负责施工谁负责质量、安全工作的原则，各分管工种负责人（生产经理、施工员、关砌、翻样）在安排施工任务的同时，必须对施工班组进行书面技术质量安全交底，必须做到交底不明确不上岗，不签证不上岗。</w:t>
      </w:r>
    </w:p>
    <w:p w14:paraId="3F079011">
      <w:pPr>
        <w:pStyle w:val="5"/>
        <w:spacing w:before="31" w:after="31"/>
        <w:ind w:firstLine="562"/>
      </w:pPr>
      <w:bookmarkStart w:id="5694" w:name="_Toc2867"/>
      <w:bookmarkStart w:id="5695" w:name="_Toc864"/>
      <w:bookmarkStart w:id="5696" w:name="_Toc14397"/>
      <w:bookmarkStart w:id="5697" w:name="_Toc6158"/>
      <w:bookmarkStart w:id="5698" w:name="_Toc31892"/>
      <w:bookmarkStart w:id="5699" w:name="_Toc10148"/>
      <w:bookmarkStart w:id="5700" w:name="_Toc5483"/>
      <w:bookmarkStart w:id="5701" w:name="_Toc31143"/>
      <w:bookmarkStart w:id="5702" w:name="_Toc9334"/>
      <w:bookmarkStart w:id="5703" w:name="_Toc15920"/>
      <w:bookmarkStart w:id="5704" w:name="_Toc390"/>
      <w:bookmarkStart w:id="5705" w:name="_Toc6530"/>
      <w:bookmarkStart w:id="5706" w:name="_Toc24919"/>
      <w:bookmarkStart w:id="5707" w:name="_Toc30865"/>
      <w:bookmarkStart w:id="5708" w:name="_Toc21897"/>
      <w:bookmarkStart w:id="5709" w:name="_Toc6668"/>
      <w:bookmarkStart w:id="5710" w:name="_Toc3207"/>
      <w:bookmarkStart w:id="5711" w:name="_Toc32146"/>
      <w:bookmarkStart w:id="5712" w:name="_Toc2419"/>
      <w:bookmarkStart w:id="5713" w:name="_Toc13696"/>
      <w:bookmarkStart w:id="5714" w:name="_Toc17975"/>
      <w:bookmarkStart w:id="5715" w:name="_Toc11474"/>
      <w:bookmarkStart w:id="5716" w:name="_Toc29603"/>
      <w:bookmarkStart w:id="5717" w:name="_Toc11748"/>
      <w:bookmarkStart w:id="5718" w:name="_Toc13713"/>
      <w:bookmarkStart w:id="5719" w:name="_Toc7642"/>
      <w:bookmarkStart w:id="5720" w:name="_Toc26186"/>
      <w:bookmarkStart w:id="5721" w:name="_Toc17251"/>
      <w:bookmarkStart w:id="5722" w:name="_Toc14704"/>
      <w:bookmarkStart w:id="5723" w:name="_Toc32191"/>
      <w:bookmarkStart w:id="5724" w:name="_Toc19672"/>
      <w:bookmarkStart w:id="5725" w:name="_Toc8383"/>
      <w:bookmarkStart w:id="5726" w:name="_Toc2611"/>
      <w:bookmarkStart w:id="5727" w:name="_Toc6817"/>
      <w:bookmarkStart w:id="5728" w:name="_Toc28253"/>
      <w:bookmarkStart w:id="5729" w:name="_Toc26046"/>
      <w:bookmarkStart w:id="5730" w:name="_Toc31774"/>
      <w:bookmarkStart w:id="5731" w:name="_Toc27614"/>
      <w:bookmarkStart w:id="5732" w:name="_Toc30812"/>
      <w:bookmarkStart w:id="5733" w:name="_Toc22105"/>
      <w:bookmarkStart w:id="5734" w:name="_Toc6992"/>
      <w:bookmarkStart w:id="5735" w:name="_Toc6802"/>
      <w:bookmarkStart w:id="5736" w:name="_Toc6235"/>
      <w:bookmarkStart w:id="5737" w:name="_Toc25489"/>
      <w:bookmarkStart w:id="5738" w:name="_Toc10221"/>
      <w:bookmarkStart w:id="5739" w:name="_Toc31357"/>
      <w:bookmarkStart w:id="5740" w:name="_Toc14348"/>
      <w:bookmarkStart w:id="5741" w:name="_Toc20371"/>
      <w:bookmarkStart w:id="5742" w:name="_Toc9961"/>
      <w:bookmarkStart w:id="5743" w:name="_Toc20293"/>
      <w:bookmarkStart w:id="5744" w:name="_Toc1763"/>
      <w:bookmarkStart w:id="5745" w:name="_Toc30622"/>
      <w:bookmarkStart w:id="5746" w:name="_Toc15825"/>
      <w:r>
        <w:rPr>
          <w:rFonts w:hint="eastAsia"/>
        </w:rPr>
        <w:t>（八）二级验收及分部分项质量评定制度</w:t>
      </w:r>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p>
    <w:p w14:paraId="37F415D8">
      <w:pPr>
        <w:ind w:firstLine="560"/>
      </w:pPr>
      <w:r>
        <w:rPr>
          <w:rFonts w:hint="eastAsia"/>
        </w:rPr>
        <w:t>1、分项工程施工过程中，各分管工种负责人必须督促班组做好自检工作，确保当天问题当天整改完毕。</w:t>
      </w:r>
    </w:p>
    <w:p w14:paraId="77DB3514">
      <w:pPr>
        <w:ind w:firstLine="560"/>
      </w:pPr>
      <w:r>
        <w:rPr>
          <w:rFonts w:hint="eastAsia"/>
        </w:rPr>
        <w:t>2、分项工程施工完毕后，各分管工种负责人必须及时组织班组进行分项工程质量评定工作，并填写分项工程质量评定表交项目经理确认，最终评定表由工程管理部技术质量科专职质量员核定。</w:t>
      </w:r>
    </w:p>
    <w:p w14:paraId="6013FF03">
      <w:pPr>
        <w:ind w:firstLine="560"/>
      </w:pPr>
      <w:r>
        <w:rPr>
          <w:rFonts w:hint="eastAsia"/>
        </w:rPr>
        <w:t>3、项目经理每月组织一次施工班组之间的质量互检，并进行质量讲评。</w:t>
      </w:r>
    </w:p>
    <w:p w14:paraId="19DED8B2">
      <w:pPr>
        <w:ind w:firstLine="560"/>
      </w:pPr>
      <w:r>
        <w:rPr>
          <w:rFonts w:hint="eastAsia"/>
        </w:rPr>
        <w:t>4、工程管理部技术质量科对每个项目进行不定期抽样检查，发现问题以书面形式发出限期整改指令单。项目经理负责在指定限期内将整改情况以书面形式反馈到技术质量科。</w:t>
      </w:r>
    </w:p>
    <w:p w14:paraId="32FB0ECE">
      <w:pPr>
        <w:ind w:firstLine="560"/>
      </w:pPr>
      <w:r>
        <w:rPr>
          <w:rFonts w:hint="eastAsia"/>
        </w:rPr>
        <w:t>5、分部工程质量核验前项目工程师必须提前5d填写好分部工程核验单，并经项目经理、建设单位、设计单位确认签证后交工程管理部技术质量科。技术质量科核实后上报公司技术质量部及质监站申请核验。</w:t>
      </w:r>
    </w:p>
    <w:p w14:paraId="1B0239FC">
      <w:pPr>
        <w:pStyle w:val="5"/>
        <w:spacing w:before="31" w:after="31"/>
        <w:ind w:firstLine="562"/>
      </w:pPr>
      <w:bookmarkStart w:id="5747" w:name="_Toc12508"/>
      <w:bookmarkStart w:id="5748" w:name="_Toc24371"/>
      <w:bookmarkStart w:id="5749" w:name="_Toc29976"/>
      <w:bookmarkStart w:id="5750" w:name="_Toc11360"/>
      <w:bookmarkStart w:id="5751" w:name="_Toc24342"/>
      <w:bookmarkStart w:id="5752" w:name="_Toc15971"/>
      <w:bookmarkStart w:id="5753" w:name="_Toc343"/>
      <w:bookmarkStart w:id="5754" w:name="_Toc17518"/>
      <w:bookmarkStart w:id="5755" w:name="_Toc17921"/>
      <w:bookmarkStart w:id="5756" w:name="_Toc8462"/>
      <w:bookmarkStart w:id="5757" w:name="_Toc10508"/>
      <w:bookmarkStart w:id="5758" w:name="_Toc7783"/>
      <w:bookmarkStart w:id="5759" w:name="_Toc27889"/>
      <w:bookmarkStart w:id="5760" w:name="_Toc4780"/>
      <w:bookmarkStart w:id="5761" w:name="_Toc32518"/>
      <w:bookmarkStart w:id="5762" w:name="_Toc13758"/>
      <w:bookmarkStart w:id="5763" w:name="_Toc19159"/>
      <w:bookmarkStart w:id="5764" w:name="_Toc21388"/>
      <w:bookmarkStart w:id="5765" w:name="_Toc30090"/>
      <w:bookmarkStart w:id="5766" w:name="_Toc2212"/>
      <w:bookmarkStart w:id="5767" w:name="_Toc22014"/>
      <w:bookmarkStart w:id="5768" w:name="_Toc4317"/>
      <w:bookmarkStart w:id="5769" w:name="_Toc17182"/>
      <w:bookmarkStart w:id="5770" w:name="_Toc22055"/>
      <w:bookmarkStart w:id="5771" w:name="_Toc26933"/>
      <w:bookmarkStart w:id="5772" w:name="_Toc7017"/>
      <w:bookmarkStart w:id="5773" w:name="_Toc30619"/>
      <w:bookmarkStart w:id="5774" w:name="_Toc15730"/>
      <w:bookmarkStart w:id="5775" w:name="_Toc23145"/>
      <w:bookmarkStart w:id="5776" w:name="_Toc5671"/>
      <w:bookmarkStart w:id="5777" w:name="_Toc4964"/>
      <w:bookmarkStart w:id="5778" w:name="_Toc32651"/>
      <w:bookmarkStart w:id="5779" w:name="_Toc20049"/>
      <w:bookmarkStart w:id="5780" w:name="_Toc362"/>
      <w:bookmarkStart w:id="5781" w:name="_Toc11686"/>
      <w:bookmarkStart w:id="5782" w:name="_Toc13565"/>
      <w:bookmarkStart w:id="5783" w:name="_Toc12040"/>
      <w:bookmarkStart w:id="5784" w:name="_Toc6515"/>
      <w:bookmarkStart w:id="5785" w:name="_Toc14311"/>
      <w:bookmarkStart w:id="5786" w:name="_Toc18383"/>
      <w:bookmarkStart w:id="5787" w:name="_Toc3400"/>
      <w:bookmarkStart w:id="5788" w:name="_Toc3982"/>
      <w:bookmarkStart w:id="5789" w:name="_Toc19142"/>
      <w:bookmarkStart w:id="5790" w:name="_Toc20351"/>
      <w:bookmarkStart w:id="5791" w:name="_Toc17537"/>
      <w:bookmarkStart w:id="5792" w:name="_Toc23007"/>
      <w:bookmarkStart w:id="5793" w:name="_Toc31204"/>
      <w:bookmarkStart w:id="5794" w:name="_Toc29123"/>
      <w:bookmarkStart w:id="5795" w:name="_Toc855"/>
      <w:bookmarkStart w:id="5796" w:name="_Toc1875"/>
      <w:bookmarkStart w:id="5797" w:name="_Toc20069"/>
      <w:r>
        <w:rPr>
          <w:rFonts w:hint="eastAsia"/>
        </w:rPr>
        <w:t>（九）现场材料质量管理</w:t>
      </w:r>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p>
    <w:p w14:paraId="19087851">
      <w:pPr>
        <w:ind w:firstLine="560"/>
      </w:pPr>
      <w:r>
        <w:rPr>
          <w:rFonts w:hint="eastAsia"/>
        </w:rPr>
        <w:t>1、严格控制外加工、采购材料的质量</w:t>
      </w:r>
    </w:p>
    <w:p w14:paraId="31CC61F7">
      <w:pPr>
        <w:ind w:firstLine="560"/>
      </w:pPr>
      <w:r>
        <w:rPr>
          <w:rFonts w:hint="eastAsia"/>
        </w:rPr>
        <w:t>各类建筑材料到现场后必须由项目经理和项目工程师组织有关人员进行抽样检查，发现问题立即与供货商联系，直到退货。</w:t>
      </w:r>
    </w:p>
    <w:p w14:paraId="51B81804">
      <w:pPr>
        <w:ind w:firstLine="560"/>
      </w:pPr>
      <w:r>
        <w:rPr>
          <w:rFonts w:hint="eastAsia"/>
        </w:rPr>
        <w:t>2、搞好原材料二次复试取样、送样工作</w:t>
      </w:r>
    </w:p>
    <w:p w14:paraId="3EC96CA5">
      <w:pPr>
        <w:ind w:firstLine="560"/>
      </w:pPr>
      <w:r>
        <w:rPr>
          <w:rFonts w:hint="eastAsia"/>
        </w:rPr>
        <w:t>水泥必须取样进行物理试验；钢筋原材料必须取样进行物理试验；进口钢筋除物理试验外还需进行化学成分分析及可焊性试验；所有防水材料必须进行取样复试；C30等级以上的混凝土及M10等级以上砂浆的骨料必须进行取样分析；存放期超过3个月的水泥必须重新取样进行物理试验，合格后方可使用。</w:t>
      </w:r>
    </w:p>
    <w:p w14:paraId="66631718">
      <w:pPr>
        <w:pStyle w:val="5"/>
        <w:spacing w:before="31" w:after="31"/>
        <w:ind w:firstLine="562"/>
      </w:pPr>
      <w:bookmarkStart w:id="5798" w:name="_Toc4270"/>
      <w:bookmarkStart w:id="5799" w:name="_Toc10482"/>
      <w:bookmarkStart w:id="5800" w:name="_Toc25715"/>
      <w:bookmarkStart w:id="5801" w:name="_Toc11023"/>
      <w:bookmarkStart w:id="5802" w:name="_Toc16829"/>
      <w:bookmarkStart w:id="5803" w:name="_Toc2271"/>
      <w:bookmarkStart w:id="5804" w:name="_Toc18751"/>
      <w:bookmarkStart w:id="5805" w:name="_Toc23926"/>
      <w:bookmarkStart w:id="5806" w:name="_Toc22554"/>
      <w:bookmarkStart w:id="5807" w:name="_Toc10772"/>
      <w:bookmarkStart w:id="5808" w:name="_Toc7401"/>
      <w:bookmarkStart w:id="5809" w:name="_Toc19163"/>
      <w:bookmarkStart w:id="5810" w:name="_Toc20202"/>
      <w:bookmarkStart w:id="5811" w:name="_Toc14145"/>
      <w:bookmarkStart w:id="5812" w:name="_Toc11219"/>
      <w:bookmarkStart w:id="5813" w:name="_Toc13271"/>
      <w:bookmarkStart w:id="5814" w:name="_Toc21700"/>
      <w:bookmarkStart w:id="5815" w:name="_Toc14601"/>
      <w:bookmarkStart w:id="5816" w:name="_Toc12196"/>
      <w:bookmarkStart w:id="5817" w:name="_Toc810"/>
      <w:bookmarkStart w:id="5818" w:name="_Toc23678"/>
      <w:bookmarkStart w:id="5819" w:name="_Toc23020"/>
      <w:bookmarkStart w:id="5820" w:name="_Toc28401"/>
      <w:bookmarkStart w:id="5821" w:name="_Toc5592"/>
      <w:bookmarkStart w:id="5822" w:name="_Toc10176"/>
      <w:bookmarkStart w:id="5823" w:name="_Toc30631"/>
      <w:bookmarkStart w:id="5824" w:name="_Toc2866"/>
      <w:bookmarkStart w:id="5825" w:name="_Toc32765"/>
      <w:bookmarkStart w:id="5826" w:name="_Toc25477"/>
      <w:bookmarkStart w:id="5827" w:name="_Toc19128"/>
      <w:bookmarkStart w:id="5828" w:name="_Toc2221"/>
      <w:bookmarkStart w:id="5829" w:name="_Toc17855"/>
      <w:bookmarkStart w:id="5830" w:name="_Toc18718"/>
      <w:bookmarkStart w:id="5831" w:name="_Toc22792"/>
      <w:bookmarkStart w:id="5832" w:name="_Toc7471"/>
      <w:bookmarkStart w:id="5833" w:name="_Toc27636"/>
      <w:bookmarkStart w:id="5834" w:name="_Toc9442"/>
      <w:bookmarkStart w:id="5835" w:name="_Toc23530"/>
      <w:bookmarkStart w:id="5836" w:name="_Toc18296"/>
      <w:bookmarkStart w:id="5837" w:name="_Toc216"/>
      <w:bookmarkStart w:id="5838" w:name="_Toc32078"/>
      <w:bookmarkStart w:id="5839" w:name="_Toc2308"/>
      <w:bookmarkStart w:id="5840" w:name="_Toc23217"/>
      <w:bookmarkStart w:id="5841" w:name="_Toc32438"/>
      <w:bookmarkStart w:id="5842" w:name="_Toc18397"/>
      <w:bookmarkStart w:id="5843" w:name="_Toc32340"/>
      <w:bookmarkStart w:id="5844" w:name="_Toc23623"/>
      <w:bookmarkStart w:id="5845" w:name="_Toc10454"/>
      <w:bookmarkStart w:id="5846" w:name="_Toc18583"/>
      <w:bookmarkStart w:id="5847" w:name="_Toc23535"/>
      <w:r>
        <w:rPr>
          <w:rFonts w:hint="eastAsia"/>
        </w:rPr>
        <w:t>（十）计量器具管理</w:t>
      </w:r>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p>
    <w:p w14:paraId="0806DAAB">
      <w:pPr>
        <w:ind w:firstLine="560"/>
      </w:pPr>
      <w:r>
        <w:rPr>
          <w:rFonts w:hint="eastAsia"/>
        </w:rPr>
        <w:t>1、工程管理部计量员负责本部所有计量器材的鉴定、督促及管理工作；</w:t>
      </w:r>
    </w:p>
    <w:p w14:paraId="66F0B095">
      <w:pPr>
        <w:ind w:firstLine="560"/>
      </w:pPr>
      <w:r>
        <w:rPr>
          <w:rFonts w:hint="eastAsia"/>
        </w:rPr>
        <w:t>2、现场计量器具必须确定专人保管、专人使用。他人不得随意动用，以免造成人为损坏。</w:t>
      </w:r>
    </w:p>
    <w:p w14:paraId="6876AD9B">
      <w:pPr>
        <w:ind w:firstLine="560"/>
      </w:pPr>
      <w:r>
        <w:rPr>
          <w:rFonts w:hint="eastAsia"/>
        </w:rPr>
        <w:t>3、损坏的计量器必须及时申报修理调换，不得带病工作;</w:t>
      </w:r>
    </w:p>
    <w:p w14:paraId="19098222">
      <w:pPr>
        <w:ind w:firstLine="560"/>
      </w:pPr>
      <w:r>
        <w:rPr>
          <w:rFonts w:hint="eastAsia"/>
        </w:rPr>
        <w:t>4、计量器具要定期进行校对、鉴定，严禁使用未经校对过的量具。</w:t>
      </w:r>
    </w:p>
    <w:p w14:paraId="1B553738">
      <w:pPr>
        <w:pStyle w:val="5"/>
        <w:spacing w:before="31" w:after="31"/>
        <w:ind w:firstLine="562"/>
      </w:pPr>
      <w:bookmarkStart w:id="5848" w:name="_Toc5743"/>
      <w:bookmarkStart w:id="5849" w:name="_Toc4335"/>
      <w:bookmarkStart w:id="5850" w:name="_Toc18677"/>
      <w:bookmarkStart w:id="5851" w:name="_Toc14891"/>
      <w:bookmarkStart w:id="5852" w:name="_Toc12230"/>
      <w:bookmarkStart w:id="5853" w:name="_Toc25825"/>
      <w:bookmarkStart w:id="5854" w:name="_Toc7085"/>
      <w:bookmarkStart w:id="5855" w:name="_Toc546"/>
      <w:bookmarkStart w:id="5856" w:name="_Toc5888"/>
      <w:bookmarkStart w:id="5857" w:name="_Toc28029"/>
      <w:bookmarkStart w:id="5858" w:name="_Toc9222"/>
      <w:bookmarkStart w:id="5859" w:name="_Toc4519"/>
      <w:bookmarkStart w:id="5860" w:name="_Toc28898"/>
      <w:bookmarkStart w:id="5861" w:name="_Toc31865"/>
      <w:bookmarkStart w:id="5862" w:name="_Toc9682"/>
      <w:bookmarkStart w:id="5863" w:name="_Toc22697"/>
      <w:bookmarkStart w:id="5864" w:name="_Toc12545"/>
      <w:bookmarkStart w:id="5865" w:name="_Toc6858"/>
      <w:bookmarkStart w:id="5866" w:name="_Toc702"/>
      <w:bookmarkStart w:id="5867" w:name="_Toc1993"/>
      <w:bookmarkStart w:id="5868" w:name="_Toc20267"/>
      <w:bookmarkStart w:id="5869" w:name="_Toc28755"/>
      <w:bookmarkStart w:id="5870" w:name="_Toc16754"/>
      <w:bookmarkStart w:id="5871" w:name="_Toc31555"/>
      <w:bookmarkStart w:id="5872" w:name="_Toc13378"/>
      <w:bookmarkStart w:id="5873" w:name="_Toc26551"/>
      <w:bookmarkStart w:id="5874" w:name="_Toc6078"/>
      <w:bookmarkStart w:id="5875" w:name="_Toc3472"/>
      <w:bookmarkStart w:id="5876" w:name="_Toc14963"/>
      <w:bookmarkStart w:id="5877" w:name="_Toc25390"/>
      <w:bookmarkStart w:id="5878" w:name="_Toc15440"/>
      <w:bookmarkStart w:id="5879" w:name="_Toc7772"/>
      <w:bookmarkStart w:id="5880" w:name="_Toc32424"/>
      <w:bookmarkStart w:id="5881" w:name="_Toc8140"/>
      <w:bookmarkStart w:id="5882" w:name="_Toc19883"/>
      <w:bookmarkStart w:id="5883" w:name="_Toc26850"/>
      <w:bookmarkStart w:id="5884" w:name="_Toc30039"/>
      <w:bookmarkStart w:id="5885" w:name="_Toc13559"/>
      <w:bookmarkStart w:id="5886" w:name="_Toc26800"/>
      <w:bookmarkStart w:id="5887" w:name="_Toc12594"/>
      <w:bookmarkStart w:id="5888" w:name="_Toc22833"/>
      <w:bookmarkStart w:id="5889" w:name="_Toc22386"/>
      <w:bookmarkStart w:id="5890" w:name="_Toc4366"/>
      <w:bookmarkStart w:id="5891" w:name="_Toc12310"/>
      <w:bookmarkStart w:id="5892" w:name="_Toc3506"/>
      <w:bookmarkStart w:id="5893" w:name="_Toc30839"/>
      <w:bookmarkStart w:id="5894" w:name="_Toc604"/>
      <w:bookmarkStart w:id="5895" w:name="_Toc18715"/>
      <w:bookmarkStart w:id="5896" w:name="_Toc14358"/>
      <w:bookmarkStart w:id="5897" w:name="_Toc18173"/>
      <w:bookmarkStart w:id="5898" w:name="_Toc17421"/>
      <w:bookmarkStart w:id="5899" w:name="_Toc18063"/>
      <w:bookmarkStart w:id="5900" w:name="_Toc9249"/>
      <w:r>
        <w:rPr>
          <w:rFonts w:hint="eastAsia"/>
        </w:rPr>
        <w:t>（十一）工程质量奖罚制度</w:t>
      </w:r>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p>
    <w:p w14:paraId="70443A65">
      <w:pPr>
        <w:ind w:firstLine="560"/>
      </w:pPr>
      <w:r>
        <w:rPr>
          <w:rFonts w:hint="eastAsia"/>
        </w:rPr>
        <w:t>1、总承包方遵循“谁施工、谁负责”的原则，对各分包单位进行全面质量管理和追踪管理。</w:t>
      </w:r>
    </w:p>
    <w:p w14:paraId="44C1DF04">
      <w:pPr>
        <w:ind w:firstLine="560"/>
      </w:pPr>
      <w:r>
        <w:rPr>
          <w:rFonts w:hint="eastAsia"/>
        </w:rPr>
        <w:t>2、凡各分包单位在施工过程中违反操作规程，不按图施工，屡教不改或发生了质量问题，总承包方有权对分包单位进行处罚，处罚形式为整改停工、罚款直至赶出本工地。</w:t>
      </w:r>
    </w:p>
    <w:p w14:paraId="0AA68615">
      <w:pPr>
        <w:ind w:firstLine="560"/>
      </w:pPr>
      <w:r>
        <w:rPr>
          <w:rFonts w:hint="eastAsia"/>
        </w:rPr>
        <w:t>3、凡各分包单位在施工过程中，按图施工，质量优良且达到优质，总承包方可对分包单位进行奖励，奖励形式为表扬、表彰、奖金。</w:t>
      </w:r>
    </w:p>
    <w:p w14:paraId="116A9A51">
      <w:pPr>
        <w:ind w:firstLine="560"/>
      </w:pPr>
      <w:r>
        <w:rPr>
          <w:rFonts w:hint="eastAsia"/>
        </w:rPr>
        <w:t>4、总承包方在实施奖罚时，以平常检查、抽查、每月一次大检查、市质监站抽查、评定质量等形式作为依据。</w:t>
      </w:r>
    </w:p>
    <w:p w14:paraId="75448031">
      <w:pPr>
        <w:pStyle w:val="5"/>
        <w:spacing w:before="31" w:after="31"/>
        <w:ind w:firstLine="562"/>
      </w:pPr>
      <w:bookmarkStart w:id="5901" w:name="_Toc30333"/>
      <w:bookmarkStart w:id="5902" w:name="_Toc32188"/>
      <w:bookmarkStart w:id="5903" w:name="_Toc20410"/>
      <w:bookmarkStart w:id="5904" w:name="_Toc30632"/>
      <w:bookmarkStart w:id="5905" w:name="_Toc4524"/>
      <w:bookmarkStart w:id="5906" w:name="_Toc24879"/>
      <w:bookmarkStart w:id="5907" w:name="_Toc7324"/>
      <w:bookmarkStart w:id="5908" w:name="_Toc29506"/>
      <w:bookmarkStart w:id="5909" w:name="_Toc12079"/>
      <w:bookmarkStart w:id="5910" w:name="_Toc7945"/>
      <w:bookmarkStart w:id="5911" w:name="_Toc22956"/>
      <w:bookmarkStart w:id="5912" w:name="_Toc29232"/>
      <w:bookmarkStart w:id="5913" w:name="_Toc9093"/>
      <w:bookmarkStart w:id="5914" w:name="_Toc12591"/>
      <w:bookmarkStart w:id="5915" w:name="_Toc10876"/>
      <w:bookmarkStart w:id="5916" w:name="_Toc25200"/>
      <w:bookmarkStart w:id="5917" w:name="_Toc4187"/>
      <w:bookmarkStart w:id="5918" w:name="_Toc1419"/>
      <w:bookmarkStart w:id="5919" w:name="_Toc10241"/>
      <w:bookmarkStart w:id="5920" w:name="_Toc27171"/>
      <w:bookmarkStart w:id="5921" w:name="_Toc11663"/>
      <w:bookmarkStart w:id="5922" w:name="_Toc14571"/>
      <w:bookmarkStart w:id="5923" w:name="_Toc12617"/>
      <w:bookmarkStart w:id="5924" w:name="_Toc26611"/>
      <w:bookmarkStart w:id="5925" w:name="_Toc24251"/>
      <w:bookmarkStart w:id="5926" w:name="_Toc26285"/>
      <w:bookmarkStart w:id="5927" w:name="_Toc18562"/>
      <w:bookmarkStart w:id="5928" w:name="_Toc11963"/>
      <w:bookmarkStart w:id="5929" w:name="_Toc10791"/>
      <w:bookmarkStart w:id="5930" w:name="_Toc25900"/>
      <w:bookmarkStart w:id="5931" w:name="_Toc29187"/>
      <w:bookmarkStart w:id="5932" w:name="_Toc4190"/>
      <w:bookmarkStart w:id="5933" w:name="_Toc6535"/>
      <w:bookmarkStart w:id="5934" w:name="_Toc30719"/>
      <w:bookmarkStart w:id="5935" w:name="_Toc10778"/>
      <w:bookmarkStart w:id="5936" w:name="_Toc7058"/>
      <w:bookmarkStart w:id="5937" w:name="_Toc1428"/>
      <w:bookmarkStart w:id="5938" w:name="_Toc18958"/>
      <w:bookmarkStart w:id="5939" w:name="_Toc10320"/>
      <w:bookmarkStart w:id="5940" w:name="_Toc15578"/>
      <w:bookmarkStart w:id="5941" w:name="_Toc3616"/>
      <w:bookmarkStart w:id="5942" w:name="_Toc21156"/>
      <w:bookmarkStart w:id="5943" w:name="_Toc19894"/>
      <w:bookmarkStart w:id="5944" w:name="_Toc24390"/>
      <w:bookmarkStart w:id="5945" w:name="_Toc19794"/>
      <w:bookmarkStart w:id="5946" w:name="_Toc27734"/>
      <w:bookmarkStart w:id="5947" w:name="_Toc10494"/>
      <w:bookmarkStart w:id="5948" w:name="_Toc2716"/>
      <w:bookmarkStart w:id="5949" w:name="_Toc18591"/>
      <w:bookmarkStart w:id="5950" w:name="_Toc11054"/>
      <w:r>
        <w:rPr>
          <w:rFonts w:hint="eastAsia"/>
        </w:rPr>
        <w:t>（十二）竣工图的编制、审核、移交制度</w:t>
      </w:r>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p>
    <w:p w14:paraId="447A4351">
      <w:pPr>
        <w:ind w:firstLine="560"/>
      </w:pPr>
      <w:r>
        <w:rPr>
          <w:rFonts w:hint="eastAsia"/>
        </w:rPr>
        <w:t>1、建筑师提供给总承包方除规定数量的图纸外，还应提供二套图纸给总承包方作为编制竣工图之用。</w:t>
      </w:r>
    </w:p>
    <w:p w14:paraId="6D2F21FE">
      <w:pPr>
        <w:ind w:firstLine="560"/>
      </w:pPr>
      <w:r>
        <w:rPr>
          <w:rFonts w:hint="eastAsia"/>
        </w:rPr>
        <w:t>2、各分包单位根据建筑师的设调变更、书面指示、技术核定单编制竣工图，并及时汇总到总承包方。</w:t>
      </w:r>
    </w:p>
    <w:p w14:paraId="07B757AB">
      <w:pPr>
        <w:ind w:firstLine="560"/>
      </w:pPr>
      <w:r>
        <w:rPr>
          <w:rFonts w:hint="eastAsia"/>
        </w:rPr>
        <w:t>3、总承包方根据市档案管理文件的要求，对各分包单位编制的竣工图进行审核、汇总装订成册。</w:t>
      </w:r>
    </w:p>
    <w:p w14:paraId="48C4DA06">
      <w:pPr>
        <w:ind w:firstLine="560"/>
      </w:pPr>
      <w:r>
        <w:rPr>
          <w:rFonts w:hint="eastAsia"/>
        </w:rPr>
        <w:t>4、工程竣工后，由总承包方将竣工图和工程技术资料一并交给发包方。</w:t>
      </w:r>
    </w:p>
    <w:p w14:paraId="1E94552D">
      <w:pPr>
        <w:ind w:firstLine="560"/>
      </w:pPr>
      <w:r>
        <w:rPr>
          <w:rFonts w:hint="eastAsia"/>
        </w:rPr>
        <w:t>5、竣工图的图面应整洁，字、符一律采用碳素墨水书写，字迹端正清楚，编绘者和审定者均应在竣工图上签字盖章。</w:t>
      </w:r>
    </w:p>
    <w:p w14:paraId="76F48A9E">
      <w:pPr>
        <w:pStyle w:val="4"/>
        <w:spacing w:before="93" w:after="31"/>
      </w:pPr>
      <w:bookmarkStart w:id="5951" w:name="_Toc18687"/>
      <w:bookmarkStart w:id="5952" w:name="_Toc20195"/>
      <w:bookmarkStart w:id="5953" w:name="_Toc17917"/>
      <w:bookmarkStart w:id="5954" w:name="_Toc27038"/>
      <w:bookmarkStart w:id="5955" w:name="_Toc22907"/>
      <w:bookmarkStart w:id="5956" w:name="_Toc10639"/>
      <w:bookmarkStart w:id="5957" w:name="_Toc6518"/>
      <w:bookmarkStart w:id="5958" w:name="_Toc16235"/>
      <w:bookmarkStart w:id="5959" w:name="_Toc28996"/>
      <w:bookmarkStart w:id="5960" w:name="_Toc8755"/>
      <w:bookmarkStart w:id="5961" w:name="_Toc29169"/>
      <w:bookmarkStart w:id="5962" w:name="_Toc369"/>
      <w:bookmarkStart w:id="5963" w:name="_Toc31167"/>
      <w:bookmarkStart w:id="5964" w:name="_Toc25332"/>
      <w:bookmarkStart w:id="5965" w:name="_Toc1730"/>
      <w:bookmarkStart w:id="5966" w:name="_Toc15503"/>
      <w:bookmarkStart w:id="5967" w:name="_Toc18139"/>
      <w:bookmarkStart w:id="5968" w:name="_Toc27186"/>
      <w:bookmarkStart w:id="5969" w:name="_Toc12765"/>
      <w:bookmarkStart w:id="5970" w:name="_Toc5511"/>
      <w:bookmarkStart w:id="5971" w:name="_Toc7613"/>
      <w:bookmarkStart w:id="5972" w:name="_Toc9855"/>
      <w:bookmarkStart w:id="5973" w:name="_Toc14714"/>
      <w:bookmarkStart w:id="5974" w:name="_Toc24455"/>
      <w:bookmarkStart w:id="5975" w:name="_Toc30611"/>
      <w:bookmarkStart w:id="5976" w:name="_Toc11736"/>
      <w:bookmarkStart w:id="5977" w:name="_Toc18219"/>
      <w:bookmarkStart w:id="5978" w:name="_Toc8485"/>
      <w:bookmarkStart w:id="5979" w:name="_Toc8530"/>
      <w:bookmarkStart w:id="5980" w:name="_Toc17382"/>
      <w:bookmarkStart w:id="5981" w:name="_Toc11701"/>
      <w:bookmarkStart w:id="5982" w:name="_Toc5172"/>
      <w:bookmarkStart w:id="5983" w:name="_Toc21874"/>
      <w:bookmarkStart w:id="5984" w:name="_Toc29582"/>
      <w:bookmarkStart w:id="5985" w:name="_Toc20929"/>
      <w:bookmarkStart w:id="5986" w:name="_Toc29163"/>
      <w:bookmarkStart w:id="5987" w:name="_Toc4416"/>
      <w:bookmarkStart w:id="5988" w:name="_Toc25745"/>
      <w:bookmarkStart w:id="5989" w:name="_Toc2480"/>
      <w:bookmarkStart w:id="5990" w:name="_Toc21918"/>
      <w:bookmarkStart w:id="5991" w:name="_Toc1796"/>
      <w:bookmarkStart w:id="5992" w:name="_Toc13615"/>
      <w:bookmarkStart w:id="5993" w:name="_Toc5191"/>
      <w:bookmarkStart w:id="5994" w:name="_Toc22269"/>
      <w:bookmarkStart w:id="5995" w:name="_Toc27429"/>
      <w:bookmarkStart w:id="5996" w:name="_Toc20359"/>
      <w:bookmarkStart w:id="5997" w:name="_Toc10442"/>
      <w:bookmarkStart w:id="5998" w:name="_Toc27863"/>
      <w:bookmarkStart w:id="5999" w:name="_Toc3536"/>
      <w:bookmarkStart w:id="6000" w:name="_Toc8364"/>
      <w:bookmarkStart w:id="6001" w:name="_Toc588"/>
      <w:bookmarkStart w:id="6002" w:name="_Toc371"/>
      <w:bookmarkStart w:id="6003" w:name="_Toc4209"/>
      <w:bookmarkStart w:id="6004" w:name="_Toc23788"/>
      <w:bookmarkStart w:id="6005" w:name="_Toc16841"/>
      <w:bookmarkStart w:id="6006" w:name="_Toc26742"/>
      <w:bookmarkStart w:id="6007" w:name="_Toc29253"/>
      <w:r>
        <w:rPr>
          <w:rFonts w:hint="eastAsia"/>
        </w:rPr>
        <w:t>四、工程质量的管理</w:t>
      </w:r>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p>
    <w:p w14:paraId="6C2EBA28">
      <w:pPr>
        <w:pStyle w:val="5"/>
        <w:spacing w:before="31" w:after="31"/>
        <w:ind w:firstLine="562"/>
      </w:pPr>
      <w:bookmarkStart w:id="6008" w:name="_Toc2119"/>
      <w:bookmarkStart w:id="6009" w:name="_Toc29023"/>
      <w:bookmarkStart w:id="6010" w:name="_Toc8989"/>
      <w:bookmarkStart w:id="6011" w:name="_Toc26507"/>
      <w:bookmarkStart w:id="6012" w:name="_Toc24938"/>
      <w:bookmarkStart w:id="6013" w:name="_Toc3980"/>
      <w:bookmarkStart w:id="6014" w:name="_Toc30116"/>
      <w:bookmarkStart w:id="6015" w:name="_Toc15572"/>
      <w:bookmarkStart w:id="6016" w:name="_Toc25898"/>
      <w:bookmarkStart w:id="6017" w:name="_Toc16161"/>
      <w:bookmarkStart w:id="6018" w:name="_Toc10906"/>
      <w:bookmarkStart w:id="6019" w:name="_Toc22896"/>
      <w:bookmarkStart w:id="6020" w:name="_Toc9076"/>
      <w:bookmarkStart w:id="6021" w:name="_Toc14743"/>
      <w:bookmarkStart w:id="6022" w:name="_Toc18152"/>
      <w:bookmarkStart w:id="6023" w:name="_Toc6665"/>
      <w:bookmarkStart w:id="6024" w:name="_Toc18414"/>
      <w:bookmarkStart w:id="6025" w:name="_Toc22868"/>
      <w:bookmarkStart w:id="6026" w:name="_Toc15039"/>
      <w:bookmarkStart w:id="6027" w:name="_Toc15185"/>
      <w:bookmarkStart w:id="6028" w:name="_Toc2698"/>
      <w:bookmarkStart w:id="6029" w:name="_Toc17385"/>
      <w:bookmarkStart w:id="6030" w:name="_Toc11786"/>
      <w:bookmarkStart w:id="6031" w:name="_Toc9361"/>
      <w:bookmarkStart w:id="6032" w:name="_Toc8160"/>
      <w:bookmarkStart w:id="6033" w:name="_Toc11850"/>
      <w:bookmarkStart w:id="6034" w:name="_Toc13626"/>
      <w:bookmarkStart w:id="6035" w:name="_Toc22648"/>
      <w:bookmarkStart w:id="6036" w:name="_Toc29091"/>
      <w:bookmarkStart w:id="6037" w:name="_Toc32312"/>
      <w:bookmarkStart w:id="6038" w:name="_Toc4373"/>
      <w:bookmarkStart w:id="6039" w:name="_Toc18623"/>
      <w:bookmarkStart w:id="6040" w:name="_Toc7224"/>
      <w:bookmarkStart w:id="6041" w:name="_Toc18208"/>
      <w:bookmarkStart w:id="6042" w:name="_Toc13400"/>
      <w:bookmarkStart w:id="6043" w:name="_Toc3615"/>
      <w:bookmarkStart w:id="6044" w:name="_Toc8965"/>
      <w:bookmarkStart w:id="6045" w:name="_Toc20204"/>
      <w:bookmarkStart w:id="6046" w:name="_Toc20432"/>
      <w:bookmarkStart w:id="6047" w:name="_Toc27656"/>
      <w:bookmarkStart w:id="6048" w:name="_Toc11303"/>
      <w:bookmarkStart w:id="6049" w:name="_Toc15072"/>
      <w:bookmarkStart w:id="6050" w:name="_Toc5732"/>
      <w:bookmarkStart w:id="6051" w:name="_Toc24207"/>
      <w:bookmarkStart w:id="6052" w:name="_Toc22497"/>
      <w:bookmarkStart w:id="6053" w:name="_Toc28251"/>
      <w:bookmarkStart w:id="6054" w:name="_Toc4322"/>
      <w:bookmarkStart w:id="6055" w:name="_Toc23492"/>
      <w:bookmarkStart w:id="6056" w:name="_Toc10013"/>
      <w:bookmarkStart w:id="6057" w:name="_Toc27946"/>
      <w:bookmarkStart w:id="6058" w:name="_Toc19517"/>
      <w:r>
        <w:rPr>
          <w:rFonts w:hint="eastAsia"/>
        </w:rPr>
        <w:t>（一）质量组织措施</w:t>
      </w:r>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p>
    <w:p w14:paraId="22C6552C">
      <w:pPr>
        <w:ind w:firstLine="560"/>
      </w:pPr>
      <w:r>
        <w:rPr>
          <w:rFonts w:hint="eastAsia"/>
        </w:rPr>
        <w:t>1.质量管理组织机构及职责</w:t>
      </w:r>
    </w:p>
    <w:p w14:paraId="681E1FF0">
      <w:pPr>
        <w:ind w:firstLine="560"/>
      </w:pPr>
      <w:r>
        <w:rPr>
          <w:rFonts w:hint="eastAsia"/>
        </w:rPr>
        <w:t>1.1设置以项目经理负责制质量管理机构，配备资质合格的各级质量管理人员，使质量责任制纵向到底，横向到边，形成网络。</w:t>
      </w:r>
    </w:p>
    <w:p w14:paraId="60957DB4">
      <w:pPr>
        <w:ind w:firstLine="560"/>
      </w:pPr>
      <w:r>
        <w:rPr>
          <w:rFonts w:hint="eastAsia"/>
        </w:rPr>
        <w:t>1.2项目管理职责</w:t>
      </w:r>
    </w:p>
    <w:p w14:paraId="17F13881">
      <w:pPr>
        <w:ind w:firstLine="560"/>
      </w:pPr>
      <w:r>
        <w:rPr>
          <w:rFonts w:hint="eastAsia"/>
        </w:rPr>
        <w:t>（1）项目经理质量职责：</w:t>
      </w:r>
    </w:p>
    <w:p w14:paraId="5B2249DD">
      <w:pPr>
        <w:ind w:firstLine="560"/>
      </w:pPr>
      <w:r>
        <w:rPr>
          <w:rFonts w:hint="eastAsia"/>
        </w:rPr>
        <w:t>1）全面执行施工合同，并在施工合同规定的范围内同甲方主管部门就项目实施过程中的有关问题进行具体商谈。</w:t>
      </w:r>
    </w:p>
    <w:p w14:paraId="45D7DB6F">
      <w:pPr>
        <w:ind w:firstLine="560"/>
      </w:pPr>
      <w:r>
        <w:rPr>
          <w:rFonts w:hint="eastAsia"/>
        </w:rPr>
        <w:t>2）项目经理是项目管理第一责任人，负责组织制订各种管理办法及规章制度。</w:t>
      </w:r>
    </w:p>
    <w:p w14:paraId="3248AE5B">
      <w:pPr>
        <w:ind w:firstLine="560"/>
      </w:pPr>
      <w:r>
        <w:rPr>
          <w:rFonts w:hint="eastAsia"/>
        </w:rPr>
        <w:t>3）负责协调同设计代表、监理工程师的关系，配合其工作。</w:t>
      </w:r>
    </w:p>
    <w:p w14:paraId="49D5AD15">
      <w:pPr>
        <w:ind w:firstLine="560"/>
      </w:pPr>
      <w:r>
        <w:rPr>
          <w:rFonts w:hint="eastAsia"/>
        </w:rPr>
        <w:t>4）负责有关的标准及设计要求，严把物资订货和进场验收关，并督促材料员做好进场材料的贮存、保护和交付工作。</w:t>
      </w:r>
    </w:p>
    <w:p w14:paraId="37D75CB5">
      <w:pPr>
        <w:ind w:firstLine="560"/>
      </w:pPr>
      <w:r>
        <w:rPr>
          <w:rFonts w:hint="eastAsia"/>
        </w:rPr>
        <w:t>5）明确各分项工程负责人，根据岗位责任制和管理制度，不定期的检查、抽查实施情况，出现问题及时解决。</w:t>
      </w:r>
    </w:p>
    <w:p w14:paraId="147513DA">
      <w:pPr>
        <w:ind w:firstLine="560"/>
      </w:pPr>
      <w:r>
        <w:rPr>
          <w:rFonts w:hint="eastAsia"/>
        </w:rPr>
        <w:t>6）负责组织有关人员进行合同评审，按照内部承包合同的要求，配合做好项目的中期质量检查、竣工验收。</w:t>
      </w:r>
    </w:p>
    <w:p w14:paraId="6BAEAD64">
      <w:pPr>
        <w:ind w:firstLine="560"/>
      </w:pPr>
      <w:r>
        <w:rPr>
          <w:rFonts w:hint="eastAsia"/>
        </w:rPr>
        <w:t>7）组织有关人员做好竣工结算工作。</w:t>
      </w:r>
    </w:p>
    <w:p w14:paraId="289F55FC">
      <w:pPr>
        <w:ind w:firstLine="560"/>
      </w:pPr>
      <w:r>
        <w:rPr>
          <w:rFonts w:hint="eastAsia"/>
        </w:rPr>
        <w:t>（2）项目技术负责人（副项目经理）质量职责：</w:t>
      </w:r>
    </w:p>
    <w:p w14:paraId="7A682A7A">
      <w:pPr>
        <w:ind w:firstLine="560"/>
      </w:pPr>
      <w:r>
        <w:rPr>
          <w:rFonts w:hint="eastAsia"/>
        </w:rPr>
        <w:t>1）负责项目施工技术质量管理负责工程内业资料和质量体系资料的整理、归档，以及对内、对外的文件资料的发放、收集整理工作，监督项目经理部使用工程技术规范、标准的有效版本。</w:t>
      </w:r>
    </w:p>
    <w:p w14:paraId="2EE64D6A">
      <w:pPr>
        <w:ind w:firstLine="560"/>
      </w:pPr>
      <w:r>
        <w:rPr>
          <w:rFonts w:hint="eastAsia"/>
        </w:rPr>
        <w:t>2）负责指导全面贯彻施工组织设计，检查执行情况并根据工程的实际情况对施工组织设计进行必要的修改和调整完善。</w:t>
      </w:r>
    </w:p>
    <w:p w14:paraId="19FB216F">
      <w:pPr>
        <w:ind w:firstLine="560"/>
      </w:pPr>
      <w:r>
        <w:rPr>
          <w:rFonts w:hint="eastAsia"/>
        </w:rPr>
        <w:t>3）组织施工人员仔细阅读施工图纸，并对技术问题进行指导。</w:t>
      </w:r>
    </w:p>
    <w:p w14:paraId="38ACABB3">
      <w:pPr>
        <w:ind w:firstLine="560"/>
      </w:pPr>
      <w:r>
        <w:rPr>
          <w:rFonts w:hint="eastAsia"/>
        </w:rPr>
        <w:t>施工前对各专业工程师、工长进行分部、分项工程的技术（安全）交底。</w:t>
      </w:r>
    </w:p>
    <w:p w14:paraId="6BCA41E5">
      <w:pPr>
        <w:ind w:firstLine="560"/>
      </w:pPr>
      <w:r>
        <w:rPr>
          <w:rFonts w:hint="eastAsia"/>
        </w:rPr>
        <w:t>4）按期对施工技术管理和施工质量组织检查，对发现的技术资料管理和施工质量问题及时提出整改要求，并就有影响的技术问题提出处理意见。</w:t>
      </w:r>
    </w:p>
    <w:p w14:paraId="7F261FED">
      <w:pPr>
        <w:ind w:firstLine="560"/>
      </w:pPr>
      <w:r>
        <w:rPr>
          <w:rFonts w:hint="eastAsia"/>
        </w:rPr>
        <w:t>5）会同设计代表、监理工程师做好分部、单位工程验收及现场的设计变更，组织对施工过程、工序的样板鉴定，确保每道工序的施工质量处理受控状态。</w:t>
      </w:r>
    </w:p>
    <w:p w14:paraId="2A6975D1">
      <w:pPr>
        <w:ind w:firstLine="560"/>
      </w:pPr>
      <w:r>
        <w:rPr>
          <w:rFonts w:hint="eastAsia"/>
        </w:rPr>
        <w:t>（3）项目施工员质量职责：</w:t>
      </w:r>
    </w:p>
    <w:p w14:paraId="0F6CEC21">
      <w:pPr>
        <w:ind w:firstLine="560"/>
      </w:pPr>
      <w:r>
        <w:rPr>
          <w:rFonts w:hint="eastAsia"/>
        </w:rPr>
        <w:t>1）认真、全面的贯彻执行该工程的质量保证计划，在工程项目实施的过程中，执行有关的质量制度和质量控制程序，并做好“施工日志”和其他有关记录。</w:t>
      </w:r>
    </w:p>
    <w:p w14:paraId="34D1E10C">
      <w:pPr>
        <w:ind w:firstLine="560"/>
      </w:pPr>
      <w:r>
        <w:rPr>
          <w:rFonts w:hint="eastAsia"/>
        </w:rPr>
        <w:t>2）参加图纸会审，根据施工组织设计编制分部、分项工程施工方案并组织贯彻实施。</w:t>
      </w:r>
    </w:p>
    <w:p w14:paraId="50165DA7">
      <w:pPr>
        <w:ind w:firstLine="560"/>
      </w:pPr>
      <w:r>
        <w:rPr>
          <w:rFonts w:hint="eastAsia"/>
        </w:rPr>
        <w:t>3）严格执行工程质量标准及验收规范，认真执行《项目工程质量检验评定及验收办法》和《施工技术资料管理办法》，对工程施工质量负技术管理责任。</w:t>
      </w:r>
    </w:p>
    <w:p w14:paraId="1F231963">
      <w:pPr>
        <w:ind w:firstLine="560"/>
      </w:pPr>
      <w:r>
        <w:rPr>
          <w:rFonts w:hint="eastAsia"/>
        </w:rPr>
        <w:t>4）负责施工过程中技术资料、施工资料的收集、整理工作，对施工过程中的各项试验、检查组织实施。对检查结果负责，对资料的真实性、准确性负责，对工程质量可追溯性负责。</w:t>
      </w:r>
    </w:p>
    <w:p w14:paraId="3B2E860E">
      <w:pPr>
        <w:ind w:firstLine="560"/>
      </w:pPr>
      <w:r>
        <w:rPr>
          <w:rFonts w:hint="eastAsia"/>
        </w:rPr>
        <w:t>5）负责对专业人员和当地招雇工人的业务培训和技术指导，文明施工。</w:t>
      </w:r>
    </w:p>
    <w:p w14:paraId="3388C827">
      <w:pPr>
        <w:ind w:firstLine="560"/>
      </w:pPr>
      <w:r>
        <w:rPr>
          <w:rFonts w:hint="eastAsia"/>
        </w:rPr>
        <w:t>（4）项目质检员质量职责：</w:t>
      </w:r>
    </w:p>
    <w:p w14:paraId="41F0E74F">
      <w:pPr>
        <w:ind w:firstLine="560"/>
      </w:pPr>
      <w:r>
        <w:rPr>
          <w:rFonts w:hint="eastAsia"/>
        </w:rPr>
        <w:t>1）认真贯彻执行质量计划，在质量保证体系的运行中认真做好本岗位工作，履行其质量职责，并做好记录。</w:t>
      </w:r>
    </w:p>
    <w:p w14:paraId="35BF400B">
      <w:pPr>
        <w:ind w:firstLine="560"/>
      </w:pPr>
      <w:r>
        <w:rPr>
          <w:rFonts w:hint="eastAsia"/>
        </w:rPr>
        <w:t>2）熟悉施工图和熟练掌握有关的验评标准，严格执行质量制度，认真做好工序、分项分部工程的质量检查，对分项工程质量和操作工序的质量问题有权要求进行整改，严重的可暂停施工并监督纠正措施的落实。</w:t>
      </w:r>
    </w:p>
    <w:p w14:paraId="61543BE5">
      <w:pPr>
        <w:ind w:firstLine="560"/>
      </w:pPr>
      <w:r>
        <w:rPr>
          <w:rFonts w:hint="eastAsia"/>
        </w:rPr>
        <w:t>3）严把质量关，对不合格的上道工序未进行整改前，不许进行下道工序，用工序的质量来保证分项工程的质量。</w:t>
      </w:r>
    </w:p>
    <w:p w14:paraId="455678D7">
      <w:pPr>
        <w:ind w:firstLine="560"/>
      </w:pPr>
      <w:r>
        <w:rPr>
          <w:rFonts w:hint="eastAsia"/>
        </w:rPr>
        <w:t>4）协助材料组对原材料、半成品等按有关技术标准进行监督检查，并督促试验员和材料人员取样送检，把好材料进货检验关。对工程实行预控分析，对于可能出现的质量通病及时提醒班组长及有关人员以便采取有效的预防措施。</w:t>
      </w:r>
    </w:p>
    <w:p w14:paraId="526E253E">
      <w:pPr>
        <w:ind w:firstLine="560"/>
      </w:pPr>
      <w:r>
        <w:rPr>
          <w:rFonts w:hint="eastAsia"/>
        </w:rPr>
        <w:t>（5）班组长质量职责：</w:t>
      </w:r>
    </w:p>
    <w:p w14:paraId="6DBF8DB6">
      <w:pPr>
        <w:ind w:firstLine="560"/>
      </w:pPr>
      <w:r>
        <w:rPr>
          <w:rFonts w:hint="eastAsia"/>
        </w:rPr>
        <w:t>1）认真贯彻执行质量计划，在质量保证体系的运行中认真做好本岗位的工作，履行其质量职责。</w:t>
      </w:r>
    </w:p>
    <w:p w14:paraId="04B2FC31">
      <w:pPr>
        <w:ind w:firstLine="560"/>
      </w:pPr>
      <w:r>
        <w:rPr>
          <w:rFonts w:hint="eastAsia"/>
        </w:rPr>
        <w:t>2）根据施工验收规范和生产计划的安排，合理安排组织生产，保证质量合格，工序合理，进度符合计划要求，不出质量安全问题。</w:t>
      </w:r>
    </w:p>
    <w:p w14:paraId="7E282D4D">
      <w:pPr>
        <w:ind w:firstLine="560"/>
      </w:pPr>
      <w:r>
        <w:rPr>
          <w:rFonts w:hint="eastAsia"/>
        </w:rPr>
        <w:t>3）严格执行质量制度，及时做好工序的隐、预检分项工程质量自检工作，并做好记录。</w:t>
      </w:r>
    </w:p>
    <w:p w14:paraId="34DA8CD7">
      <w:pPr>
        <w:ind w:firstLine="560"/>
      </w:pPr>
      <w:r>
        <w:rPr>
          <w:rFonts w:hint="eastAsia"/>
        </w:rPr>
        <w:t>4）工程的部位、进度及每天的施工情况都要详细记载，以备可追溯的查寻证据。</w:t>
      </w:r>
    </w:p>
    <w:p w14:paraId="23138DD4">
      <w:pPr>
        <w:ind w:firstLine="560"/>
      </w:pPr>
      <w:r>
        <w:rPr>
          <w:rFonts w:hint="eastAsia"/>
        </w:rPr>
        <w:t>5）合理、科学地组织施工。施工现场要保证文明施工，以确保质量计划中规定的分项工程一次交验合格，分部工程达到规定标准。</w:t>
      </w:r>
    </w:p>
    <w:p w14:paraId="2DC4CB37">
      <w:pPr>
        <w:pStyle w:val="5"/>
        <w:spacing w:before="31" w:after="31"/>
        <w:ind w:firstLine="562"/>
      </w:pPr>
      <w:bookmarkStart w:id="6059" w:name="_Toc25566"/>
      <w:bookmarkStart w:id="6060" w:name="_Toc18468"/>
      <w:bookmarkStart w:id="6061" w:name="_Toc17686"/>
      <w:bookmarkStart w:id="6062" w:name="_Toc31624"/>
      <w:bookmarkStart w:id="6063" w:name="_Toc583"/>
      <w:bookmarkStart w:id="6064" w:name="_Toc4462"/>
      <w:bookmarkStart w:id="6065" w:name="_Toc16102"/>
      <w:bookmarkStart w:id="6066" w:name="_Toc1860"/>
      <w:bookmarkStart w:id="6067" w:name="_Toc28950"/>
      <w:bookmarkStart w:id="6068" w:name="_Toc20126"/>
      <w:bookmarkStart w:id="6069" w:name="_Toc20374"/>
      <w:bookmarkStart w:id="6070" w:name="_Toc20826"/>
      <w:bookmarkStart w:id="6071" w:name="_Toc14114"/>
      <w:bookmarkStart w:id="6072" w:name="_Toc15993"/>
      <w:bookmarkStart w:id="6073" w:name="_Toc3639"/>
      <w:bookmarkStart w:id="6074" w:name="_Toc4490"/>
      <w:bookmarkStart w:id="6075" w:name="_Toc20423"/>
      <w:bookmarkStart w:id="6076" w:name="_Toc6592"/>
      <w:bookmarkStart w:id="6077" w:name="_Toc25852"/>
      <w:bookmarkStart w:id="6078" w:name="_Toc460"/>
      <w:bookmarkStart w:id="6079" w:name="_Toc18788"/>
      <w:bookmarkStart w:id="6080" w:name="_Toc1891"/>
      <w:bookmarkStart w:id="6081" w:name="_Toc23866"/>
      <w:bookmarkStart w:id="6082" w:name="_Toc23522"/>
      <w:bookmarkStart w:id="6083" w:name="_Toc18308"/>
      <w:bookmarkStart w:id="6084" w:name="_Toc19613"/>
      <w:bookmarkStart w:id="6085" w:name="_Toc2874"/>
      <w:bookmarkStart w:id="6086" w:name="_Toc31649"/>
      <w:bookmarkStart w:id="6087" w:name="_Toc3458"/>
      <w:bookmarkStart w:id="6088" w:name="_Toc12696"/>
      <w:bookmarkStart w:id="6089" w:name="_Toc18625"/>
      <w:bookmarkStart w:id="6090" w:name="_Toc21544"/>
      <w:bookmarkStart w:id="6091" w:name="_Toc14480"/>
      <w:bookmarkStart w:id="6092" w:name="_Toc22003"/>
      <w:bookmarkStart w:id="6093" w:name="_Toc14370"/>
      <w:bookmarkStart w:id="6094" w:name="_Toc5619"/>
      <w:bookmarkStart w:id="6095" w:name="_Toc19021"/>
      <w:bookmarkStart w:id="6096" w:name="_Toc26638"/>
      <w:bookmarkStart w:id="6097" w:name="_Toc11630"/>
      <w:bookmarkStart w:id="6098" w:name="_Toc19802"/>
      <w:bookmarkStart w:id="6099" w:name="_Toc22179"/>
      <w:bookmarkStart w:id="6100" w:name="_Toc4879"/>
      <w:bookmarkStart w:id="6101" w:name="_Toc2314"/>
      <w:bookmarkStart w:id="6102" w:name="_Toc3277"/>
      <w:bookmarkStart w:id="6103" w:name="_Toc10041"/>
      <w:bookmarkStart w:id="6104" w:name="_Toc408"/>
      <w:bookmarkStart w:id="6105" w:name="_Toc29633"/>
      <w:bookmarkStart w:id="6106" w:name="_Toc31228"/>
      <w:bookmarkStart w:id="6107" w:name="_Toc22722"/>
      <w:r>
        <w:rPr>
          <w:rFonts w:hint="eastAsia"/>
        </w:rPr>
        <w:t>（二）质量保证</w:t>
      </w:r>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p>
    <w:p w14:paraId="60BAF434">
      <w:pPr>
        <w:pStyle w:val="18"/>
        <w:rPr>
          <w:lang w:val="en-US"/>
        </w:rPr>
      </w:pPr>
      <w:r>
        <w:rPr>
          <w:lang w:val="en-US" w:bidi="ar-SA"/>
        </w:rPr>
        <w:drawing>
          <wp:inline distT="0" distB="0" distL="114300" distR="114300">
            <wp:extent cx="5274310" cy="3027045"/>
            <wp:effectExtent l="0" t="0" r="2540" b="1905"/>
            <wp:docPr id="6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5"/>
                    <pic:cNvPicPr>
                      <a:picLocks noChangeAspect="1"/>
                    </pic:cNvPicPr>
                  </pic:nvPicPr>
                  <pic:blipFill>
                    <a:blip r:embed="rId69">
                      <a:grayscl/>
                    </a:blip>
                    <a:stretch>
                      <a:fillRect/>
                    </a:stretch>
                  </pic:blipFill>
                  <pic:spPr>
                    <a:xfrm>
                      <a:off x="0" y="0"/>
                      <a:ext cx="5274310" cy="3027045"/>
                    </a:xfrm>
                    <a:prstGeom prst="rect">
                      <a:avLst/>
                    </a:prstGeom>
                    <a:noFill/>
                    <a:ln>
                      <a:noFill/>
                    </a:ln>
                  </pic:spPr>
                </pic:pic>
              </a:graphicData>
            </a:graphic>
          </wp:inline>
        </w:drawing>
      </w:r>
    </w:p>
    <w:p w14:paraId="6FC31E95">
      <w:pPr>
        <w:ind w:firstLine="560"/>
      </w:pPr>
      <w:r>
        <w:rPr>
          <w:rFonts w:hint="eastAsia"/>
        </w:rPr>
        <w:t>1.质量体系主要要素控制</w:t>
      </w:r>
    </w:p>
    <w:p w14:paraId="29DD0084">
      <w:pPr>
        <w:ind w:firstLine="560"/>
      </w:pPr>
      <w:r>
        <w:rPr>
          <w:rFonts w:hint="eastAsia"/>
        </w:rPr>
        <w:t>1.1进行详细的技术交底，每个部位、工序施工前，均须进行</w:t>
      </w:r>
    </w:p>
    <w:p w14:paraId="133E62CE">
      <w:pPr>
        <w:ind w:firstLine="560"/>
      </w:pPr>
      <w:r>
        <w:rPr>
          <w:rFonts w:hint="eastAsia"/>
        </w:rPr>
        <w:t>详细的技术交底。技术交底分三级，第一级是由公司总工程师主持，工程部、质安部和材设部参加的对本项目部施工管理人员的技术交底；第二级是由项目部施工管理人员对各班组长的交底，第三级是由各班组长对工人、操作者的技术交底。</w:t>
      </w:r>
    </w:p>
    <w:p w14:paraId="6D07C3C5">
      <w:pPr>
        <w:ind w:firstLine="560"/>
      </w:pPr>
      <w:r>
        <w:rPr>
          <w:rFonts w:hint="eastAsia"/>
        </w:rPr>
        <w:t>1.2所有的施工项目均须有详尽的施工方案，且经广泛的讨论，它的确定和变更，均须由公司工程部，质安部、设备安全部审定，由总工程师审核。施工中必须按经审批的施工组织设计执行，各级质安部门负责监督执行。</w:t>
      </w:r>
    </w:p>
    <w:p w14:paraId="2435747D">
      <w:pPr>
        <w:ind w:firstLine="560"/>
      </w:pPr>
      <w:r>
        <w:rPr>
          <w:rFonts w:hint="eastAsia"/>
        </w:rPr>
        <w:t>1.3各工序在施工过程中，须有施工员、质安员在现场管理和监督，对在施工中出现的问题及时进行处理纠正，保证各工序均符合设计及规范要求。</w:t>
      </w:r>
    </w:p>
    <w:p w14:paraId="1B349533">
      <w:pPr>
        <w:ind w:firstLine="560"/>
      </w:pPr>
      <w:r>
        <w:rPr>
          <w:rFonts w:hint="eastAsia"/>
        </w:rPr>
        <w:t>1.4加强工序质量控制：各工序施工过程中，必须严格遵守执行有关规范、标准的规定，严格按国家图纸施工；各工序隐蔽前必须经该项目有关人员认可后，方可进行下一工序的施工。</w:t>
      </w:r>
    </w:p>
    <w:p w14:paraId="4AF9F52A">
      <w:pPr>
        <w:ind w:firstLine="560"/>
      </w:pPr>
      <w:r>
        <w:rPr>
          <w:rFonts w:hint="eastAsia"/>
        </w:rPr>
        <w:t>1.5及时对已完工序进行检查、验收。质检员在每道工序完成后，须进行设计外观检查和实测实量检查，收集资料，填写检查表，对达不到设计要求及验收标准的，提出纠正和预防措施并及时进行修改。</w:t>
      </w:r>
    </w:p>
    <w:p w14:paraId="420266AA">
      <w:pPr>
        <w:ind w:firstLine="560"/>
      </w:pPr>
      <w:r>
        <w:rPr>
          <w:rFonts w:hint="eastAsia"/>
        </w:rPr>
        <w:t>2.质量保证组织分工</w:t>
      </w:r>
    </w:p>
    <w:p w14:paraId="5FBF3B7D">
      <w:pPr>
        <w:ind w:firstLine="560"/>
      </w:pPr>
      <w:r>
        <w:rPr>
          <w:rFonts w:hint="eastAsia"/>
        </w:rPr>
        <w:t>2.1严格贯彻执行ISO质量标准及公司相应的质量手册、程序文件等相关内容要求。</w:t>
      </w:r>
    </w:p>
    <w:p w14:paraId="6A55F891">
      <w:pPr>
        <w:ind w:firstLine="560"/>
      </w:pPr>
      <w:r>
        <w:rPr>
          <w:rFonts w:hint="eastAsia"/>
        </w:rPr>
        <w:t>2.2以项目经理为主，成立质量落实标准组织管理小组，公司派专职工种人员操作关键部位，并由公司专业班组参与。</w:t>
      </w:r>
    </w:p>
    <w:p w14:paraId="3445F4DF">
      <w:pPr>
        <w:ind w:firstLine="560"/>
      </w:pPr>
      <w:r>
        <w:rPr>
          <w:rFonts w:hint="eastAsia"/>
        </w:rPr>
        <w:t>2.3对项目经理及小组各级负责人制定质量责任制，各岗职责分明，分工负责，做到环环紧扣，遵章执行，并对每人进行经济挂钩，对质量达到预期目标的予以奖励，达不到予以处罚。</w:t>
      </w:r>
    </w:p>
    <w:p w14:paraId="37AE62B3">
      <w:pPr>
        <w:ind w:firstLine="560"/>
      </w:pPr>
      <w:r>
        <w:rPr>
          <w:rFonts w:hint="eastAsia"/>
        </w:rPr>
        <w:t>2.4建立工程质量预检制：由操作班组长主持，由工地质量技术人员及相关班组长参加，对该分项工程在下道工序未施工前对前道工程质量检查，认真处理预检中提出的质量问题，未经预检或预验不合格，不得进行下一道工序的施工。</w:t>
      </w:r>
    </w:p>
    <w:p w14:paraId="1B66335B">
      <w:pPr>
        <w:ind w:firstLine="560"/>
      </w:pPr>
      <w:r>
        <w:rPr>
          <w:rFonts w:hint="eastAsia"/>
        </w:rPr>
        <w:t>2.5事前技术交底制：每一分项工程施工前必须由工地技术人员进行技术交底，交底签字后方可进行施工，并由技术人员在施工中督促执行。</w:t>
      </w:r>
    </w:p>
    <w:p w14:paraId="485B3273">
      <w:pPr>
        <w:ind w:firstLine="560"/>
      </w:pPr>
      <w:r>
        <w:rPr>
          <w:rFonts w:hint="eastAsia"/>
        </w:rPr>
        <w:t>2.6隐蔽工程验收制度：工程隐蔽前24小时应书面通知甲方监理或质监部门，经验收合格后方可进行下道工序的施工，确保隐蔽工程质量。</w:t>
      </w:r>
    </w:p>
    <w:p w14:paraId="54B3A03E">
      <w:pPr>
        <w:ind w:firstLine="560"/>
      </w:pPr>
      <w:r>
        <w:rPr>
          <w:rFonts w:hint="eastAsia"/>
        </w:rPr>
        <w:t>2.7建立质量巡视检查制：在施工过程中，必须及时巡视检查，发现问题及时纠正，以“预防为主、防患于未然”。</w:t>
      </w:r>
    </w:p>
    <w:p w14:paraId="0EAD3330">
      <w:pPr>
        <w:ind w:firstLine="560"/>
      </w:pPr>
      <w:r>
        <w:rPr>
          <w:rFonts w:hint="eastAsia"/>
        </w:rPr>
        <w:t>2.8坚持按正确的施工顺序、工艺操作、不贪图方便，避免影响工程质量。</w:t>
      </w:r>
    </w:p>
    <w:p w14:paraId="13EC60B4">
      <w:pPr>
        <w:ind w:firstLine="560"/>
      </w:pPr>
      <w:r>
        <w:rPr>
          <w:rFonts w:hint="eastAsia"/>
        </w:rPr>
        <w:t>3.质量管理制度</w:t>
      </w:r>
    </w:p>
    <w:p w14:paraId="70FECC10">
      <w:pPr>
        <w:ind w:firstLine="560"/>
      </w:pPr>
      <w:r>
        <w:rPr>
          <w:rFonts w:hint="eastAsia"/>
        </w:rPr>
        <w:t>3.1工程质量奖罚制度</w:t>
      </w:r>
    </w:p>
    <w:p w14:paraId="089E9B92">
      <w:pPr>
        <w:ind w:firstLine="560"/>
      </w:pPr>
      <w:r>
        <w:rPr>
          <w:rFonts w:hint="eastAsia"/>
        </w:rPr>
        <w:t>1、工程质量奖罚制则是认真贯彻国家和省市关于质量工作的方针、政策、法令和标准，坚决执行本企业有关质量管理的奖罚规定，以现行国家施工验收规范，质量评定为依据，对在施工程逆行奖罚。</w:t>
      </w:r>
    </w:p>
    <w:p w14:paraId="5818E91D">
      <w:pPr>
        <w:ind w:firstLine="560"/>
      </w:pPr>
      <w:r>
        <w:rPr>
          <w:rFonts w:hint="eastAsia"/>
        </w:rPr>
        <w:t>2、工程质量奖罚途径是由质量部门以各施工班组现场施工质量及质量管理状况为依据，根据规定负责签发“工程质量问题奖罚通知单”，质量部及财务部分别建立质量专用台帐，建立质量基金，专款专用；工程项目经理部的质量奖罚只对各施工班组，由项目经理部质量部门签发。</w:t>
      </w:r>
    </w:p>
    <w:p w14:paraId="39CBE164">
      <w:pPr>
        <w:ind w:firstLine="560"/>
      </w:pPr>
      <w:r>
        <w:rPr>
          <w:rFonts w:hint="eastAsia"/>
        </w:rPr>
        <w:t>3.2工程质量奖罚制度主要奖励规定</w:t>
      </w:r>
    </w:p>
    <w:p w14:paraId="70C58CD8">
      <w:pPr>
        <w:ind w:firstLine="560"/>
      </w:pPr>
      <w:r>
        <w:rPr>
          <w:rFonts w:hint="eastAsia"/>
        </w:rPr>
        <w:t>1、坚持“样板引路”。质量部门对同一分项工程的样板质量进行总结评比，获得第一名的班组发给奖金。</w:t>
      </w:r>
    </w:p>
    <w:p w14:paraId="15CABA72">
      <w:pPr>
        <w:ind w:firstLine="560"/>
      </w:pPr>
      <w:r>
        <w:rPr>
          <w:rFonts w:hint="eastAsia"/>
        </w:rPr>
        <w:t>2、每月进行一次资料评比，对分项工程质量报表，工程报验资料准确及时无差错的班组，给予一次性奖励。</w:t>
      </w:r>
    </w:p>
    <w:p w14:paraId="0B89EB8F">
      <w:pPr>
        <w:ind w:firstLine="560"/>
      </w:pPr>
      <w:r>
        <w:rPr>
          <w:rFonts w:hint="eastAsia"/>
        </w:rPr>
        <w:t>3、为激发搞好工程质量工作的积极性，每月评选一次质量工作先进个人，并给予奖励。</w:t>
      </w:r>
    </w:p>
    <w:p w14:paraId="43FFA414">
      <w:pPr>
        <w:ind w:firstLine="560"/>
      </w:pPr>
      <w:r>
        <w:rPr>
          <w:rFonts w:hint="eastAsia"/>
        </w:rPr>
        <w:t>3.3.3工程质量奖罚制度主要处罚规定</w:t>
      </w:r>
    </w:p>
    <w:p w14:paraId="7DD3E0C7">
      <w:pPr>
        <w:ind w:firstLine="560"/>
      </w:pPr>
      <w:r>
        <w:rPr>
          <w:rFonts w:hint="eastAsia"/>
        </w:rPr>
        <w:t>1、凡无样板或在样板验收未通过的情况下，并擅自进行大面积施工的班组，除勒令停工外，同时对其负责人罚款。</w:t>
      </w:r>
    </w:p>
    <w:p w14:paraId="23116409">
      <w:pPr>
        <w:ind w:firstLine="560"/>
      </w:pPr>
      <w:r>
        <w:rPr>
          <w:rFonts w:hint="eastAsia"/>
        </w:rPr>
        <w:t>2、在日常工作中，一些质量问题虽经多次书面提出，但未能得到即使整改的，对其负责罚款，直到整改达到要求为止。</w:t>
      </w:r>
    </w:p>
    <w:p w14:paraId="6B366504">
      <w:pPr>
        <w:ind w:firstLine="560"/>
      </w:pPr>
      <w:r>
        <w:rPr>
          <w:rFonts w:hint="eastAsia"/>
        </w:rPr>
        <w:t>3、因管理不善，质量问题迟迟得不到解决或受到监理或建设单位通报批评的，经项目经理核实，依据问题的性质给予罚款。</w:t>
      </w:r>
    </w:p>
    <w:p w14:paraId="24480873">
      <w:pPr>
        <w:ind w:firstLine="560"/>
      </w:pPr>
      <w:r>
        <w:rPr>
          <w:rFonts w:hint="eastAsia"/>
        </w:rPr>
        <w:t>4、加强质量控制，认真做好试验工作，凡在验收中发现有质量问题的，每一处存在的给予罚款，并按实际累加罚款。</w:t>
      </w:r>
    </w:p>
    <w:p w14:paraId="468693B6">
      <w:pPr>
        <w:ind w:firstLine="560"/>
      </w:pPr>
      <w:r>
        <w:rPr>
          <w:rFonts w:hint="eastAsia"/>
        </w:rPr>
        <w:t>5、做好成品保护工作。因人为因素造成成品损坏、污染的，视情节轻重及损坏程度给予罚款；性质特别严重的，除给予罚款外并给予通报批评。</w:t>
      </w:r>
    </w:p>
    <w:p w14:paraId="1069D20F">
      <w:pPr>
        <w:ind w:firstLine="560"/>
      </w:pPr>
      <w:r>
        <w:rPr>
          <w:rFonts w:hint="eastAsia"/>
        </w:rPr>
        <w:t>6、凡隐蔽工程未经质量部及监理公司检查验收就进行下道工序施工的，一经发现，对其负责人给予罚款。</w:t>
      </w:r>
    </w:p>
    <w:p w14:paraId="2B597872">
      <w:pPr>
        <w:ind w:firstLine="560"/>
      </w:pPr>
      <w:r>
        <w:rPr>
          <w:rFonts w:hint="eastAsia"/>
        </w:rPr>
        <w:t>7、工程报验质量资料严重失真，与实际情况超差10‰以上的，给予罚款，并限期纠正解决。</w:t>
      </w:r>
    </w:p>
    <w:p w14:paraId="796D3568">
      <w:pPr>
        <w:ind w:firstLine="560"/>
      </w:pPr>
      <w:r>
        <w:rPr>
          <w:rFonts w:hint="eastAsia"/>
        </w:rPr>
        <w:t>8、造成重大隐患，构成质量事故应在12小时内上报项目经理，对隐瞒不报的，一经发现视问题的轻重对其负责人、技术负责人予以罚款。</w:t>
      </w:r>
    </w:p>
    <w:p w14:paraId="6D780F48">
      <w:pPr>
        <w:ind w:firstLine="560"/>
      </w:pPr>
      <w:r>
        <w:rPr>
          <w:rFonts w:hint="eastAsia"/>
        </w:rPr>
        <w:t>4.质量控制措施</w:t>
      </w:r>
    </w:p>
    <w:p w14:paraId="2FC9EC3A">
      <w:pPr>
        <w:ind w:firstLine="560"/>
      </w:pPr>
      <w:r>
        <w:rPr>
          <w:rFonts w:hint="eastAsia"/>
        </w:rPr>
        <w:t>4.1设备材料构配件的质量控制</w:t>
      </w:r>
    </w:p>
    <w:p w14:paraId="5E35F60A">
      <w:pPr>
        <w:ind w:firstLine="560"/>
      </w:pPr>
      <w:r>
        <w:rPr>
          <w:rFonts w:hint="eastAsia"/>
        </w:rPr>
        <w:t>1、首先建立完善的质量保证体系，配备高素质的项目管理和质量管理人员，强化“项目管理，以人为本”。</w:t>
      </w:r>
    </w:p>
    <w:p w14:paraId="6361FCBD">
      <w:pPr>
        <w:ind w:firstLine="560"/>
      </w:pPr>
      <w:r>
        <w:rPr>
          <w:rFonts w:hint="eastAsia"/>
        </w:rPr>
        <w:t>2、严格过程控制和程序控制，开展全面质量管理，树立创“过程精品”、“建设单位满意”的质量意识，使该工程成为我公司具有代表性的优质工程。</w:t>
      </w:r>
    </w:p>
    <w:p w14:paraId="35B23476">
      <w:pPr>
        <w:ind w:firstLine="560"/>
      </w:pPr>
      <w:r>
        <w:rPr>
          <w:rFonts w:hint="eastAsia"/>
        </w:rPr>
        <w:t>3、制定质量目标，将目标层层分解，质量责任、权力彻底落实到位，严格奖罚制度。</w:t>
      </w:r>
    </w:p>
    <w:p w14:paraId="76579B49">
      <w:pPr>
        <w:ind w:firstLine="560"/>
      </w:pPr>
      <w:r>
        <w:rPr>
          <w:rFonts w:hint="eastAsia"/>
        </w:rPr>
        <w:t>2.1.4建立严格而实用的质量管理和控制办法、实施细则，在工程项目上坚决贯彻执行。</w:t>
      </w:r>
    </w:p>
    <w:p w14:paraId="7AE8C06B">
      <w:pPr>
        <w:ind w:firstLine="560"/>
      </w:pPr>
      <w:r>
        <w:rPr>
          <w:rFonts w:hint="eastAsia"/>
        </w:rPr>
        <w:t>5、严格样板制、三检制、工序交接制度和质量检查和审批等制度。</w:t>
      </w:r>
    </w:p>
    <w:p w14:paraId="4845CAD6">
      <w:pPr>
        <w:ind w:firstLine="560"/>
      </w:pPr>
      <w:r>
        <w:rPr>
          <w:rFonts w:hint="eastAsia"/>
        </w:rPr>
        <w:t>6、广泛深入开展质量职能分析、质量讲评，大力推行“一案三工序”管理措施即“质量设计方案、监督上工序、保证本工序、服务下工序”。</w:t>
      </w:r>
    </w:p>
    <w:p w14:paraId="2E5806EB">
      <w:pPr>
        <w:ind w:firstLine="560"/>
      </w:pPr>
      <w:r>
        <w:rPr>
          <w:rFonts w:hint="eastAsia"/>
        </w:rPr>
        <w:t>7、利用计算机技术等先进的管理手段进行项目管理和质量管理和控制，强化了质量检测和验收系统，加强质量管理的基础性工作。</w:t>
      </w:r>
    </w:p>
    <w:p w14:paraId="2DA50580">
      <w:pPr>
        <w:ind w:firstLine="560"/>
      </w:pPr>
      <w:r>
        <w:rPr>
          <w:rFonts w:hint="eastAsia"/>
        </w:rPr>
        <w:t>8、大力加强图纸会审、图纸深化设计、详图设计和综合配套图的设计和审核工作，通过确保设计图纸的质量来保证工程施工质量。</w:t>
      </w:r>
    </w:p>
    <w:p w14:paraId="1D9606CD">
      <w:pPr>
        <w:ind w:firstLine="560"/>
      </w:pPr>
      <w:r>
        <w:rPr>
          <w:rFonts w:hint="eastAsia"/>
        </w:rPr>
        <w:t>9、严把材料（包括原材料、成品和半成品）、设备出厂质量和进场质量关。</w:t>
      </w:r>
    </w:p>
    <w:p w14:paraId="310789A7">
      <w:pPr>
        <w:ind w:firstLine="560"/>
      </w:pPr>
      <w:r>
        <w:rPr>
          <w:rFonts w:hint="eastAsia"/>
        </w:rPr>
        <w:t>10、确保检验、试验和验收与工程进度同步；工程资料与工程进度同步；竣工资料与工程竣工同步；用户手册与工程竣工同步。</w:t>
      </w:r>
    </w:p>
    <w:p w14:paraId="2924DDAB">
      <w:pPr>
        <w:ind w:firstLine="560"/>
      </w:pPr>
      <w:r>
        <w:rPr>
          <w:rFonts w:hint="eastAsia"/>
        </w:rPr>
        <w:t>4.2质量进场前后控制及保证</w:t>
      </w:r>
    </w:p>
    <w:p w14:paraId="2A4BD2A3">
      <w:pPr>
        <w:ind w:firstLine="560"/>
      </w:pPr>
      <w:r>
        <w:rPr>
          <w:rFonts w:hint="eastAsia"/>
        </w:rPr>
        <w:t>1、材料设备的选型及其质量标准和档次的确定</w:t>
      </w:r>
    </w:p>
    <w:p w14:paraId="2D659CA8">
      <w:pPr>
        <w:ind w:firstLine="560"/>
      </w:pPr>
      <w:r>
        <w:rPr>
          <w:rFonts w:hint="eastAsia"/>
        </w:rPr>
        <w:t>（1）首先按照建设单位、设计和规范的要求确定其质量标准、档次。</w:t>
      </w:r>
    </w:p>
    <w:p w14:paraId="61E97A8D">
      <w:pPr>
        <w:ind w:firstLine="560"/>
      </w:pPr>
      <w:r>
        <w:rPr>
          <w:rFonts w:hint="eastAsia"/>
        </w:rPr>
        <w:t>（2）其次是严格样品报批制度，通过建设单位和建设单位代表、监理公司、设计单位的实际评价确定最优的选择意见。</w:t>
      </w:r>
    </w:p>
    <w:p w14:paraId="554178E0">
      <w:pPr>
        <w:ind w:firstLine="560"/>
      </w:pPr>
      <w:r>
        <w:rPr>
          <w:rFonts w:hint="eastAsia"/>
        </w:rPr>
        <w:t>（3）严格按照设计参数标准、样板或样品进行选型和采购。</w:t>
      </w:r>
    </w:p>
    <w:p w14:paraId="787461C1">
      <w:pPr>
        <w:ind w:firstLine="560"/>
      </w:pPr>
      <w:r>
        <w:rPr>
          <w:rFonts w:hint="eastAsia"/>
        </w:rPr>
        <w:t>（4）对材料设备采购、加工、运输进行过程跟踪控制。</w:t>
      </w:r>
    </w:p>
    <w:p w14:paraId="1C909552">
      <w:pPr>
        <w:ind w:firstLine="560"/>
      </w:pPr>
      <w:r>
        <w:rPr>
          <w:rFonts w:hint="eastAsia"/>
        </w:rPr>
        <w:t>（5）对进入现场的材料、设备质量进行最终控制，达不到质量标准的一律不能用在工程上，决不留情。</w:t>
      </w:r>
    </w:p>
    <w:p w14:paraId="4CDE4AF6">
      <w:pPr>
        <w:ind w:firstLine="560"/>
      </w:pPr>
      <w:r>
        <w:rPr>
          <w:rFonts w:hint="eastAsia"/>
        </w:rPr>
        <w:t>2、对重要材料设备出厂前的检查和监造</w:t>
      </w:r>
    </w:p>
    <w:p w14:paraId="5648EF04">
      <w:pPr>
        <w:ind w:firstLine="560"/>
      </w:pPr>
      <w:r>
        <w:rPr>
          <w:rFonts w:hint="eastAsia"/>
        </w:rPr>
        <w:t>对于混凝土质量、防水材料等重要材料，必须进行出厂前的定期检查，必要时，对重要材料和设备应派有丰富实践经验的工程师驻厂监造，诸如门、石材加工等，以确保重要设备材料的出厂质量，减少现场发现问题后再处理的难度，从而有效保证工程质量。</w:t>
      </w:r>
    </w:p>
    <w:p w14:paraId="1E391B4E">
      <w:pPr>
        <w:ind w:firstLine="560"/>
      </w:pPr>
      <w:r>
        <w:rPr>
          <w:rFonts w:hint="eastAsia"/>
        </w:rPr>
        <w:t>3、对设备材料采购过程和环节质量控制</w:t>
      </w:r>
    </w:p>
    <w:p w14:paraId="50C49E79">
      <w:pPr>
        <w:ind w:firstLine="560"/>
      </w:pPr>
      <w:r>
        <w:rPr>
          <w:rFonts w:hint="eastAsia"/>
        </w:rPr>
        <w:t>根据ISO质量标准的物资采购程序，对本工程所需采购和分供方供应的物资进行严格的质量检验和控制，主要采取的措施如下：</w:t>
      </w:r>
    </w:p>
    <w:p w14:paraId="2ED27487">
      <w:pPr>
        <w:ind w:firstLine="560"/>
      </w:pPr>
      <w:r>
        <w:rPr>
          <w:rFonts w:hint="eastAsia"/>
        </w:rPr>
        <w:t>（1）采购物资时，必须在确定合格的分供方厂家或有信誉的商</w:t>
      </w:r>
    </w:p>
    <w:p w14:paraId="2FC79890">
      <w:pPr>
        <w:ind w:firstLine="560"/>
      </w:pPr>
      <w:r>
        <w:rPr>
          <w:rFonts w:hint="eastAsia"/>
        </w:rPr>
        <w:t>店中采购，所采购的材料或设备必须有出厂合格证、材质证明和使用说明书，对材料、设备有疑问的禁止进货；</w:t>
      </w:r>
    </w:p>
    <w:p w14:paraId="0CE6A779">
      <w:pPr>
        <w:ind w:firstLine="560"/>
      </w:pPr>
      <w:r>
        <w:rPr>
          <w:rFonts w:hint="eastAsia"/>
        </w:rPr>
        <w:t>（2）物资采购部委托分供方供货，条件是事先已对分供方进行了认可和评价，建立了合格的分供方档案，材料的供应在合格的分供方中选择；</w:t>
      </w:r>
    </w:p>
    <w:p w14:paraId="493D24FD">
      <w:pPr>
        <w:ind w:firstLine="560"/>
      </w:pPr>
      <w:r>
        <w:rPr>
          <w:rFonts w:hint="eastAsia"/>
        </w:rPr>
        <w:t>（3）实行动态管理。项目经理物资采购主管部门定期对分供方的实绩进行评审、考核，并作记录，不合格的分供方从档案中予以除名。</w:t>
      </w:r>
    </w:p>
    <w:p w14:paraId="1CA74514">
      <w:pPr>
        <w:ind w:firstLine="560"/>
      </w:pPr>
      <w:r>
        <w:rPr>
          <w:rFonts w:hint="eastAsia"/>
        </w:rPr>
        <w:t>（4）严格验证：采购物资（包括分供方采购的物资），根据国家、地方政府主管部门规定、标准、规范或合同规定要求及按经批准的质量计划要求，进行验证并做好标记。当对其质量有怀疑时，就加倍抽样或全数检验。</w:t>
      </w:r>
    </w:p>
    <w:p w14:paraId="553F6A3A">
      <w:pPr>
        <w:ind w:firstLine="560"/>
      </w:pPr>
      <w:r>
        <w:rPr>
          <w:rFonts w:hint="eastAsia"/>
        </w:rPr>
        <w:t>4、施工现场质量管理和实施控制</w:t>
      </w:r>
    </w:p>
    <w:p w14:paraId="06AD713C">
      <w:pPr>
        <w:ind w:firstLine="560"/>
      </w:pPr>
      <w:r>
        <w:rPr>
          <w:rFonts w:hint="eastAsia"/>
        </w:rPr>
        <w:t>为实现质量目标，我们在工程现场质量管理和实施方面将采取以下质量保证措施：</w:t>
      </w:r>
    </w:p>
    <w:p w14:paraId="5CB53995">
      <w:pPr>
        <w:ind w:firstLine="560"/>
      </w:pPr>
      <w:r>
        <w:rPr>
          <w:rFonts w:hint="eastAsia"/>
        </w:rPr>
        <w:t>（1）建立完善的项目经理部的质量责任制，分解质量目标，按创优的具体质量要求按单位工程—分部工程—分项工程—施工工序进行层层分解，把质量责任落实到了最基层。</w:t>
      </w:r>
    </w:p>
    <w:p w14:paraId="053D6C28">
      <w:pPr>
        <w:ind w:firstLine="560"/>
      </w:pPr>
      <w:r>
        <w:rPr>
          <w:rFonts w:hint="eastAsia"/>
        </w:rPr>
        <w:t>（2）制定切实可行的各项管理制度，包括图纸会审和技术交底制度；现场质量管理制度；装修材料样品制；施工样板和首检定标制；工序管理制度；方案资料管理制度；质量教育和质量会诊和讲评制度等，并严格贯彻实施。</w:t>
      </w:r>
    </w:p>
    <w:p w14:paraId="4EDE951D">
      <w:pPr>
        <w:ind w:firstLine="560"/>
      </w:pPr>
      <w:r>
        <w:rPr>
          <w:rFonts w:hint="eastAsia"/>
        </w:rPr>
        <w:t>（3）严格质量程序化管理，包括：项目质量计划、文件和资料控制程序、物资管理程序、产品标识和可追溯程序、过程控制程序、检验试验程序、不合格控制程序、纠正和预防措施程序、质量记录程序，以严格的程序规范各项质量管理工作。</w:t>
      </w:r>
    </w:p>
    <w:p w14:paraId="04EBCEB5">
      <w:pPr>
        <w:ind w:firstLine="560"/>
      </w:pPr>
      <w:r>
        <w:rPr>
          <w:rFonts w:hint="eastAsia"/>
        </w:rPr>
        <w:t>（4）强化质量过程控制，包括：过程控制计划、质量检验计划、验收质量控制实施细则、过程标识制度、特殊（重要）工序质量控制计划、月度预控计划、月质量报表、质量分析报告、成品保护、新材料、新工艺质量控制程序总结。</w:t>
      </w:r>
    </w:p>
    <w:p w14:paraId="092D068C">
      <w:pPr>
        <w:ind w:firstLine="560"/>
      </w:pPr>
      <w:r>
        <w:rPr>
          <w:rFonts w:hint="eastAsia"/>
        </w:rPr>
        <w:t>（5）实施过程中，严格实行施工样板制、三检制，实行三级检查制度；严格实行合理工序安排和管理；不合格的材料设备绝对禁止使用，达不到标准要求的工序彻底返工，毫不留情。这些对于质量控制非常非常重要。</w:t>
      </w:r>
    </w:p>
    <w:p w14:paraId="0D61460D">
      <w:pPr>
        <w:ind w:firstLine="560"/>
      </w:pPr>
      <w:r>
        <w:rPr>
          <w:rFonts w:hint="eastAsia"/>
        </w:rPr>
        <w:t>（6）加强对原材料进场检验和试验的质量控制，加强施工过程的质量检查和试验的质量控制，加强施工工艺管理，认真执行工艺标准和操作规程，以提高工程质量的稳定性，保证实现质量目标的所有因素都处于受控状态。</w:t>
      </w:r>
    </w:p>
    <w:p w14:paraId="47989678">
      <w:pPr>
        <w:ind w:firstLine="560"/>
      </w:pPr>
      <w:r>
        <w:rPr>
          <w:rFonts w:hint="eastAsia"/>
        </w:rPr>
        <w:t>4.3施工过程质量控制</w:t>
      </w:r>
    </w:p>
    <w:p w14:paraId="6B98C4D0">
      <w:pPr>
        <w:ind w:firstLine="560"/>
      </w:pPr>
      <w:r>
        <w:rPr>
          <w:rFonts w:hint="eastAsia"/>
        </w:rPr>
        <w:t>1、过程的确定和策划</w:t>
      </w:r>
    </w:p>
    <w:p w14:paraId="67F10CBA">
      <w:pPr>
        <w:ind w:firstLine="560"/>
      </w:pPr>
      <w:r>
        <w:rPr>
          <w:rFonts w:hint="eastAsia"/>
        </w:rPr>
        <w:t>（1）由总公司工程部组织项目部确定并策划直接影响工程质量的施工安装过程，确保工程施工过程处于受控状态。</w:t>
      </w:r>
    </w:p>
    <w:p w14:paraId="576ECCA7">
      <w:pPr>
        <w:ind w:firstLine="560"/>
      </w:pPr>
      <w:r>
        <w:rPr>
          <w:rFonts w:hint="eastAsia"/>
        </w:rPr>
        <w:t>（2）由总公司工程部组织项目部技术人员共同研究针对单位工程编制《施工组织设计》（质量计划），落实各项质量措施并报总公司工程部审批。</w:t>
      </w:r>
    </w:p>
    <w:p w14:paraId="6B32CB05">
      <w:pPr>
        <w:ind w:firstLine="560"/>
      </w:pPr>
      <w:r>
        <w:rPr>
          <w:rFonts w:hint="eastAsia"/>
        </w:rPr>
        <w:t>（3）明确工程项目的特殊过程。</w:t>
      </w:r>
    </w:p>
    <w:p w14:paraId="0064E16B">
      <w:pPr>
        <w:ind w:firstLine="560"/>
      </w:pPr>
      <w:r>
        <w:rPr>
          <w:rFonts w:hint="eastAsia"/>
        </w:rPr>
        <w:t>2、过程控制</w:t>
      </w:r>
    </w:p>
    <w:p w14:paraId="1F57E496">
      <w:pPr>
        <w:ind w:firstLine="560"/>
      </w:pPr>
      <w:r>
        <w:rPr>
          <w:rFonts w:hint="eastAsia"/>
        </w:rPr>
        <w:t>（1）过程的准备（施工准备）。</w:t>
      </w:r>
    </w:p>
    <w:p w14:paraId="1C39B187">
      <w:pPr>
        <w:ind w:firstLine="560"/>
      </w:pPr>
      <w:r>
        <w:rPr>
          <w:rFonts w:hint="eastAsia"/>
        </w:rPr>
        <w:t>开工前根据工程实际情况由项目部编制《施工组织设计》（施工方案），由部公司工程部审批，必要时由总工程师或副总工程师审批。</w:t>
      </w:r>
    </w:p>
    <w:p w14:paraId="7241961A">
      <w:pPr>
        <w:ind w:firstLine="560"/>
      </w:pPr>
      <w:r>
        <w:rPr>
          <w:rFonts w:hint="eastAsia"/>
        </w:rPr>
        <w:t>施工组织设计（质量计划）应对质量目标、施工工期、施工方法、质量保证措施、检验和试验计划、施工设备、产品材料要求、施工人员、安全保证措施、环境要求等作出具体规定。</w:t>
      </w:r>
    </w:p>
    <w:p w14:paraId="186BF426">
      <w:pPr>
        <w:ind w:firstLine="560"/>
      </w:pPr>
      <w:r>
        <w:rPr>
          <w:rFonts w:hint="eastAsia"/>
        </w:rPr>
        <w:t>由总公司工程部编制或提供与过程相应的作业指导书，如技术标准、施工规范等。</w:t>
      </w:r>
    </w:p>
    <w:p w14:paraId="46DB76E9">
      <w:pPr>
        <w:ind w:firstLine="560"/>
      </w:pPr>
      <w:r>
        <w:rPr>
          <w:rFonts w:hint="eastAsia"/>
        </w:rPr>
        <w:t>（2）进行三级技术交底：根据《质量计划》和规定要求，在每项工序开工前先由公司或办事处工程技术人员对项目部工程技术人员交底，再由项目部工程技术人员对班组长交底，最后由班组长对作业人员交底。</w:t>
      </w:r>
    </w:p>
    <w:p w14:paraId="612B5876">
      <w:pPr>
        <w:ind w:firstLine="560"/>
      </w:pPr>
      <w:r>
        <w:rPr>
          <w:rFonts w:hint="eastAsia"/>
        </w:rPr>
        <w:t>4.4施工准备阶段的质量管理措施</w:t>
      </w:r>
    </w:p>
    <w:p w14:paraId="4B4A0179">
      <w:pPr>
        <w:ind w:firstLine="560"/>
      </w:pPr>
      <w:r>
        <w:rPr>
          <w:rFonts w:hint="eastAsia"/>
        </w:rPr>
        <w:t>组织施工图纸会审工作，充分领会设计意图、熟悉安装内容，明确技术质量要求，拟定合理的施工程序与施工工艺，解决施工图纸中存在的差错和不合理部分。</w:t>
      </w:r>
    </w:p>
    <w:p w14:paraId="18EDA0E7">
      <w:pPr>
        <w:ind w:firstLine="560"/>
      </w:pPr>
      <w:r>
        <w:rPr>
          <w:rFonts w:hint="eastAsia"/>
        </w:rPr>
        <w:t>编制作业指导书及重大施工技术方案。</w:t>
      </w:r>
    </w:p>
    <w:p w14:paraId="14D84A96">
      <w:pPr>
        <w:ind w:firstLine="560"/>
      </w:pPr>
      <w:r>
        <w:rPr>
          <w:rFonts w:hint="eastAsia"/>
        </w:rPr>
        <w:t>编制质量检验项目划分表，设立质量控制点，对施工中的关键步骤，重要环节明确质量检验，评定的程序和要求。</w:t>
      </w:r>
    </w:p>
    <w:p w14:paraId="6D5B85EB">
      <w:pPr>
        <w:ind w:firstLine="560"/>
      </w:pPr>
      <w:r>
        <w:rPr>
          <w:rFonts w:hint="eastAsia"/>
        </w:rPr>
        <w:t>检查、试验的记录表格和质量验评表格。</w:t>
      </w:r>
    </w:p>
    <w:p w14:paraId="26E0B5C6">
      <w:pPr>
        <w:ind w:firstLine="560"/>
      </w:pPr>
      <w:r>
        <w:rPr>
          <w:rFonts w:hint="eastAsia"/>
        </w:rPr>
        <w:t>工、机具及计量器具的准备，对需要试验，检定（校准）或检查的工、机具和计量器具进行试验、检定（校准）或检查，并对其进行维护保养。</w:t>
      </w:r>
    </w:p>
    <w:p w14:paraId="6B62B7B5">
      <w:pPr>
        <w:ind w:firstLine="560"/>
      </w:pPr>
      <w:r>
        <w:rPr>
          <w:rFonts w:hint="eastAsia"/>
        </w:rPr>
        <w:t>大力开展技术培训和岗位练兵，按岗施教，提高各类岗位人员素质。</w:t>
      </w:r>
    </w:p>
    <w:p w14:paraId="708286CD">
      <w:pPr>
        <w:ind w:firstLine="560"/>
      </w:pPr>
      <w:r>
        <w:rPr>
          <w:rFonts w:hint="eastAsia"/>
        </w:rPr>
        <w:t>对焊接、无损检测、起重、机械操作、等特殊工种岗位人员，坚持持证上岗制度，严禁无证上岗或从事与所持资格证不相符的工作。材料、设备的准备。选择合格的供应采购材料、设备，对所采购的材料、设备进行进货检验和试验，对库存材料、设备进行维护保养，维持其良好状态。</w:t>
      </w:r>
    </w:p>
    <w:p w14:paraId="4C9AD68C">
      <w:pPr>
        <w:ind w:firstLine="560"/>
      </w:pPr>
      <w:r>
        <w:rPr>
          <w:rFonts w:hint="eastAsia"/>
        </w:rPr>
        <w:t>4.5施工环境与安全的控制</w:t>
      </w:r>
    </w:p>
    <w:p w14:paraId="6B5558A8">
      <w:pPr>
        <w:ind w:firstLine="560"/>
      </w:pPr>
      <w:r>
        <w:rPr>
          <w:rFonts w:hint="eastAsia"/>
        </w:rPr>
        <w:t>在特殊环境下应有相应的施工安全技术措施，确保工程的施工质量及施工的顺利进行。</w:t>
      </w:r>
    </w:p>
    <w:p w14:paraId="23521251">
      <w:pPr>
        <w:ind w:firstLine="560"/>
      </w:pPr>
      <w:r>
        <w:rPr>
          <w:rFonts w:hint="eastAsia"/>
        </w:rPr>
        <w:t>由项目部施工员负责现场的环境管理，确保现场道路畅通，物料堆放有序，环境整洁卫生，施工文明规范，创建一个舒适文明的施工现场和生活环境，以满足施工质量控制要求。</w:t>
      </w:r>
    </w:p>
    <w:p w14:paraId="71A70961">
      <w:pPr>
        <w:ind w:firstLine="560"/>
      </w:pPr>
      <w:r>
        <w:rPr>
          <w:rFonts w:hint="eastAsia"/>
        </w:rPr>
        <w:t>由工程项目部安全负责过程施工的安全检查和防护措施，督促落实施工安全规范、操作规程。</w:t>
      </w:r>
    </w:p>
    <w:p w14:paraId="75F14C1F">
      <w:pPr>
        <w:ind w:firstLine="560"/>
      </w:pPr>
      <w:r>
        <w:rPr>
          <w:rFonts w:hint="eastAsia"/>
        </w:rPr>
        <w:t>4.6特殊过程的控制</w:t>
      </w:r>
    </w:p>
    <w:p w14:paraId="3EF281FF">
      <w:pPr>
        <w:ind w:firstLine="560"/>
      </w:pPr>
      <w:r>
        <w:rPr>
          <w:rFonts w:hint="eastAsia"/>
        </w:rPr>
        <w:t>本工程确定的特殊过程为：焊接、防水、混凝土浇灌，除执行规定的要求外还必须执行以下规定：</w:t>
      </w:r>
    </w:p>
    <w:p w14:paraId="7F5E9152">
      <w:pPr>
        <w:ind w:firstLine="560"/>
      </w:pPr>
      <w:r>
        <w:rPr>
          <w:rFonts w:hint="eastAsia"/>
        </w:rPr>
        <w:t>1、对人员控制：对上岗人员经过质量教育后，由工程部办事处组织施工员、质量员、安全员对特殊过程操作工分别进行技术交底、过程验收标准、质量目标的交底、安全交底，并作好记录。对每个特殊过程的操作工组织培训，按《培训控制程序》执行。由工程部办事处对特殊过程操作工定期进行考核，持证上岗。</w:t>
      </w:r>
    </w:p>
    <w:p w14:paraId="17A5ECEF">
      <w:pPr>
        <w:ind w:firstLine="560"/>
      </w:pPr>
      <w:r>
        <w:rPr>
          <w:rFonts w:hint="eastAsia"/>
        </w:rPr>
        <w:t>2、对设备的控制：对特殊过程使用设备，大型设备由设备科检</w:t>
      </w:r>
    </w:p>
    <w:p w14:paraId="3AD1BDC4">
      <w:pPr>
        <w:ind w:firstLine="560"/>
      </w:pPr>
      <w:r>
        <w:rPr>
          <w:rFonts w:hint="eastAsia"/>
        </w:rPr>
        <w:t>定和使用前的检查，小型设备由项目部检查，以确保设备的完好，并作好记录。</w:t>
      </w:r>
    </w:p>
    <w:p w14:paraId="15C5181D">
      <w:pPr>
        <w:ind w:firstLine="560"/>
      </w:pPr>
      <w:r>
        <w:rPr>
          <w:rFonts w:hint="eastAsia"/>
        </w:rPr>
        <w:t>3、参数监控：对特殊过程中的质量特性和参数，由质量员进行连续监控，焊接控制：电流、温度、焊剂，防水工程控制；延伸率、软化点、温度，砼浇灌控制：28天抗压强度报告、测温记录、坍落度测试记录等，具体执行施工工艺标准。</w:t>
      </w:r>
    </w:p>
    <w:p w14:paraId="7E17B579">
      <w:pPr>
        <w:pStyle w:val="5"/>
        <w:spacing w:before="31" w:after="31"/>
        <w:ind w:firstLine="562"/>
      </w:pPr>
      <w:bookmarkStart w:id="6108" w:name="_Toc21687"/>
      <w:bookmarkStart w:id="6109" w:name="_Toc21581"/>
      <w:bookmarkStart w:id="6110" w:name="_Toc19616"/>
      <w:bookmarkStart w:id="6111" w:name="_Toc11271"/>
      <w:bookmarkStart w:id="6112" w:name="_Toc3541"/>
      <w:bookmarkStart w:id="6113" w:name="_Toc1398"/>
      <w:bookmarkStart w:id="6114" w:name="_Toc26557"/>
      <w:bookmarkStart w:id="6115" w:name="_Toc20774"/>
      <w:bookmarkStart w:id="6116" w:name="_Toc30775"/>
      <w:bookmarkStart w:id="6117" w:name="_Toc20000"/>
      <w:bookmarkStart w:id="6118" w:name="_Toc9415"/>
      <w:bookmarkStart w:id="6119" w:name="_Toc10350"/>
      <w:bookmarkStart w:id="6120" w:name="_Toc21652"/>
      <w:bookmarkStart w:id="6121" w:name="_Toc27763"/>
      <w:bookmarkStart w:id="6122" w:name="_Toc1867"/>
      <w:bookmarkStart w:id="6123" w:name="_Toc4545"/>
      <w:bookmarkStart w:id="6124" w:name="_Toc451"/>
      <w:bookmarkStart w:id="6125" w:name="_Toc820"/>
      <w:bookmarkStart w:id="6126" w:name="_Toc27878"/>
      <w:bookmarkStart w:id="6127" w:name="_Toc28794"/>
      <w:bookmarkStart w:id="6128" w:name="_Toc30889"/>
      <w:bookmarkStart w:id="6129" w:name="_Toc6899"/>
      <w:bookmarkStart w:id="6130" w:name="_Toc11345"/>
      <w:bookmarkStart w:id="6131" w:name="_Toc3360"/>
      <w:bookmarkStart w:id="6132" w:name="_Toc5842"/>
      <w:bookmarkStart w:id="6133" w:name="_Toc6874"/>
      <w:bookmarkStart w:id="6134" w:name="_Toc12705"/>
      <w:bookmarkStart w:id="6135" w:name="_Toc6869"/>
      <w:bookmarkStart w:id="6136" w:name="_Toc20178"/>
      <w:bookmarkStart w:id="6137" w:name="_Toc8701"/>
      <w:bookmarkStart w:id="6138" w:name="_Toc26044"/>
      <w:bookmarkStart w:id="6139" w:name="_Toc30310"/>
      <w:bookmarkStart w:id="6140" w:name="_Toc8454"/>
      <w:bookmarkStart w:id="6141" w:name="_Toc19020"/>
      <w:bookmarkStart w:id="6142" w:name="_Toc18042"/>
      <w:bookmarkStart w:id="6143" w:name="_Toc31453"/>
      <w:bookmarkStart w:id="6144" w:name="_Toc14169"/>
      <w:bookmarkStart w:id="6145" w:name="_Toc28828"/>
      <w:bookmarkStart w:id="6146" w:name="_Toc13303"/>
      <w:bookmarkStart w:id="6147" w:name="_Toc31445"/>
      <w:bookmarkStart w:id="6148" w:name="_Toc4758"/>
      <w:bookmarkStart w:id="6149" w:name="_Toc17048"/>
      <w:bookmarkStart w:id="6150" w:name="_Toc1244"/>
      <w:bookmarkStart w:id="6151" w:name="_Toc29740"/>
      <w:bookmarkStart w:id="6152" w:name="_Toc3703"/>
      <w:bookmarkStart w:id="6153" w:name="_Toc11863"/>
      <w:bookmarkStart w:id="6154" w:name="_Toc31748"/>
      <w:bookmarkStart w:id="6155" w:name="_Toc15434"/>
      <w:bookmarkStart w:id="6156" w:name="_Toc26618"/>
      <w:r>
        <w:rPr>
          <w:rFonts w:hint="eastAsia"/>
        </w:rPr>
        <w:t>（三）质量技术措施</w:t>
      </w:r>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p>
    <w:p w14:paraId="64906D88">
      <w:pPr>
        <w:ind w:firstLine="560"/>
      </w:pPr>
      <w:r>
        <w:rPr>
          <w:rFonts w:hint="eastAsia"/>
        </w:rPr>
        <w:t>1.质量控制实施方法</w:t>
      </w:r>
    </w:p>
    <w:p w14:paraId="0ADCD434">
      <w:pPr>
        <w:ind w:firstLine="560"/>
      </w:pPr>
      <w:r>
        <w:rPr>
          <w:rFonts w:hint="eastAsia"/>
        </w:rPr>
        <w:t>1.1施工前，技术负责人组织工长、内业、质安员认真学习有关规范，施工工艺及操作规程，熟悉图纸，做好图纸会审工作，有针对性的编制施工组织设计。</w:t>
      </w:r>
    </w:p>
    <w:p w14:paraId="007DDD13">
      <w:pPr>
        <w:ind w:firstLine="560"/>
      </w:pPr>
      <w:r>
        <w:rPr>
          <w:rFonts w:hint="eastAsia"/>
        </w:rPr>
        <w:t>1.2针对本工程的重点和难点，建立QC小组，制定详细的施工工艺流程卡，严格按卡施工，确保工程质量。</w:t>
      </w:r>
    </w:p>
    <w:p w14:paraId="3717DC75">
      <w:pPr>
        <w:ind w:firstLine="560"/>
      </w:pPr>
      <w:r>
        <w:rPr>
          <w:rFonts w:hint="eastAsia"/>
        </w:rPr>
        <w:t>1.3严格按图施工。凡因施工或业主要求变更的，必须办理设计变更通知或核定单，经设计单位同意后，才能施工。</w:t>
      </w:r>
    </w:p>
    <w:p w14:paraId="590AE8C9">
      <w:pPr>
        <w:ind w:firstLine="560"/>
      </w:pPr>
      <w:r>
        <w:rPr>
          <w:rFonts w:hint="eastAsia"/>
        </w:rPr>
        <w:t>1.4严格技术复核制度。轴线、标高等，在测量员施测后，应由工长、质量员复核无误后，才能上作出标记。隐蔽工程应由监理、业主、设计院等相关单位共同检查合格签字后，才能进入下一道工序。</w:t>
      </w:r>
    </w:p>
    <w:p w14:paraId="127C71F8">
      <w:pPr>
        <w:ind w:firstLine="560"/>
      </w:pPr>
      <w:r>
        <w:rPr>
          <w:rFonts w:hint="eastAsia"/>
        </w:rPr>
        <w:t>1.5技术负责人要经常检查各种记录、报告，发现问题及时处理。内业员要整理好各种资料，工长作好施工日记，现场施工管理和各种施工技术资料全部采用计算机管理。</w:t>
      </w:r>
    </w:p>
    <w:p w14:paraId="5FF17E0F">
      <w:pPr>
        <w:ind w:firstLine="560"/>
      </w:pPr>
      <w:r>
        <w:rPr>
          <w:rFonts w:hint="eastAsia"/>
        </w:rPr>
        <w:t>1.6最大限度地提高施工机械化程度，加大科技含量，发挥我局的技术优势，充分利用新技术、新工艺新材料和新技术，选用先进、合理、经济的施工方案，提高施工的科技水平，确保多、快、好、省地完成业主交给的施工任务。</w:t>
      </w:r>
    </w:p>
    <w:p w14:paraId="4E28714F">
      <w:pPr>
        <w:ind w:firstLine="560"/>
      </w:pPr>
      <w:r>
        <w:rPr>
          <w:rFonts w:hint="eastAsia"/>
        </w:rPr>
        <w:t>2.重点部位技术保证措施</w:t>
      </w:r>
    </w:p>
    <w:p w14:paraId="2C44D0B5">
      <w:pPr>
        <w:ind w:firstLine="560"/>
      </w:pPr>
      <w:r>
        <w:rPr>
          <w:rFonts w:hint="eastAsia"/>
        </w:rPr>
        <w:t>2.1确保施工测量质量措施</w:t>
      </w:r>
    </w:p>
    <w:p w14:paraId="1AA7DCCB">
      <w:pPr>
        <w:ind w:firstLine="560"/>
      </w:pPr>
      <w:r>
        <w:rPr>
          <w:rFonts w:hint="eastAsia"/>
        </w:rPr>
        <w:t>1、本工程测量平面轴线较为复杂，为确保本工程测量的质量公司计划在公司范围内抽调具有丰富测量经验，责任心强的专业测量员四人组成项目测量组并配备全站仪、水平仪、经纬仪等新的先进仪器。</w:t>
      </w:r>
    </w:p>
    <w:p w14:paraId="2F1106EE">
      <w:pPr>
        <w:ind w:firstLine="560"/>
      </w:pPr>
      <w:r>
        <w:rPr>
          <w:rFonts w:hint="eastAsia"/>
        </w:rPr>
        <w:t>2、现场建立测量控制网系统进行全方位控制，对放线、测量采用全站仪投点，减少丈量误差。</w:t>
      </w:r>
    </w:p>
    <w:p w14:paraId="35423589">
      <w:pPr>
        <w:ind w:firstLine="560"/>
      </w:pPr>
      <w:r>
        <w:rPr>
          <w:rFonts w:hint="eastAsia"/>
        </w:rPr>
        <w:t>3、建立测量交底制度，所有的建筑轴线、标高全部由测量人员控制，并向施工员进行书面交底，施工员再核对交底尺寸无误后方可施工，防止多人测量和测量成果无人复核引起的测量误差。</w:t>
      </w:r>
    </w:p>
    <w:p w14:paraId="46374321">
      <w:pPr>
        <w:ind w:firstLine="560"/>
      </w:pPr>
      <w:r>
        <w:rPr>
          <w:rFonts w:hint="eastAsia"/>
        </w:rPr>
        <w:t>2.2模板工程质量保证措施</w:t>
      </w:r>
    </w:p>
    <w:p w14:paraId="623725FE">
      <w:pPr>
        <w:ind w:firstLine="560"/>
      </w:pPr>
      <w:r>
        <w:rPr>
          <w:rFonts w:hint="eastAsia"/>
        </w:rPr>
        <w:t>1、所有结构支模前均应由专人进行配板设计和画出配板放样图并考虑一定留量调整。</w:t>
      </w:r>
    </w:p>
    <w:p w14:paraId="2ED85148">
      <w:pPr>
        <w:ind w:firstLine="560"/>
      </w:pPr>
      <w:r>
        <w:rPr>
          <w:rFonts w:hint="eastAsia"/>
        </w:rPr>
        <w:t>2、模板及其支撑均应落在实处，不得有“虚”脚出现，安拆均设专人负责。</w:t>
      </w:r>
    </w:p>
    <w:p w14:paraId="23224D01">
      <w:pPr>
        <w:ind w:firstLine="560"/>
      </w:pPr>
      <w:r>
        <w:rPr>
          <w:rFonts w:hint="eastAsia"/>
        </w:rPr>
        <w:t>3、为防止混凝土在硬化过程中与模板粘结，影响脱模，在浇筑混凝土之前，应在清理过的模板表面上(包括第一次使用的模板)涂刷隔离剂，对隔离剂的基本要求是：不粘结、易脱模、易于操作、易清理、无害于人体、不腐蚀模板。</w:t>
      </w:r>
    </w:p>
    <w:p w14:paraId="6B0592E7">
      <w:pPr>
        <w:ind w:firstLine="560"/>
      </w:pPr>
      <w:r>
        <w:rPr>
          <w:rFonts w:hint="eastAsia"/>
        </w:rPr>
        <w:t>4、安装模板时需要有保护措施避免损伤模板。</w:t>
      </w:r>
    </w:p>
    <w:p w14:paraId="666FA569">
      <w:pPr>
        <w:ind w:firstLine="560"/>
      </w:pPr>
      <w:r>
        <w:rPr>
          <w:rFonts w:hint="eastAsia"/>
        </w:rPr>
        <w:t>5、在靠近模板电焊钢筋、钢管时，在施焊处的模板面应用铁皮垫隔，防止焊火烧坏模板板面。</w:t>
      </w:r>
    </w:p>
    <w:p w14:paraId="6C61414C">
      <w:pPr>
        <w:ind w:firstLine="560"/>
      </w:pPr>
      <w:r>
        <w:rPr>
          <w:rFonts w:hint="eastAsia"/>
        </w:rPr>
        <w:t>6、在安装模板之前，应将各种电管、水管等按图就位，予埋件的位置控制，必须保证其纵、横轴线和标高位置准确反复用仪器复测严格并检查固定措施可靠后才可关模板，避免模板安装好后二次开洞，模板自身就位时也应严格按照配模图纸进行安装。</w:t>
      </w:r>
    </w:p>
    <w:p w14:paraId="4FBD9569">
      <w:pPr>
        <w:ind w:firstLine="560"/>
      </w:pPr>
      <w:r>
        <w:rPr>
          <w:rFonts w:hint="eastAsia"/>
        </w:rPr>
        <w:t>7、浇捣混凝土的震动器不能直接碰到板面，避免磨损撞面板，同时振捣时间要按规范规定，要适时振捣，以防模板变形。</w:t>
      </w:r>
    </w:p>
    <w:p w14:paraId="7AB4F946">
      <w:pPr>
        <w:ind w:firstLine="560"/>
      </w:pPr>
      <w:r>
        <w:rPr>
          <w:rFonts w:hint="eastAsia"/>
        </w:rPr>
        <w:t>8、模板拆除要预先制定好拆模顺序，根据施工现场所在地温度情况，掌握好混凝土达到初凝和终凝的时间。为拆模作好准备。拆模时不得用铁撬撬开模板，还要保护模板边角和混凝土边角。拆下的模板要及时清理，清理残渣时，严禁用铁铲、钢刷之类的工具清理，可用模板清洁剂，使其自然脱落或用木铲刮除残留混凝土。</w:t>
      </w:r>
    </w:p>
    <w:p w14:paraId="44348C52">
      <w:pPr>
        <w:ind w:firstLine="560"/>
      </w:pPr>
      <w:r>
        <w:rPr>
          <w:rFonts w:hint="eastAsia"/>
        </w:rPr>
        <w:t>拆除模板时间：侧模板以不损坏混凝土表面及楞角时，方可拆模，底模允许拆除时间按照设计或规范要求进行。</w:t>
      </w:r>
    </w:p>
    <w:p w14:paraId="65BE31CF">
      <w:pPr>
        <w:ind w:firstLine="560"/>
      </w:pPr>
      <w:r>
        <w:rPr>
          <w:rFonts w:hint="eastAsia"/>
        </w:rPr>
        <w:t>2.3钢筋工程质量保证措施</w:t>
      </w:r>
    </w:p>
    <w:p w14:paraId="09193A1D">
      <w:pPr>
        <w:ind w:firstLine="560"/>
      </w:pPr>
      <w:r>
        <w:rPr>
          <w:rFonts w:hint="eastAsia"/>
        </w:rPr>
        <w:t>1、工程所使用的钢筋品种、规格和质量必须符合设计要求有关规定，钢筋应选择正规厂生产的钢筋，进场钢筋应具备出厂证明，钢筋必须按批号取样试验，合格后方可使用，严禁带有锈蚀钢筋进场，钢筋表面应清洁。</w:t>
      </w:r>
    </w:p>
    <w:p w14:paraId="42BFE272">
      <w:pPr>
        <w:ind w:firstLine="560"/>
      </w:pPr>
      <w:r>
        <w:rPr>
          <w:rFonts w:hint="eastAsia"/>
        </w:rPr>
        <w:t>2、钢筋加工前应认真熟悉图纸、形状、尺寸、数量，锚固长度、接头设置必须符合设计要求和施工规范规定。</w:t>
      </w:r>
    </w:p>
    <w:p w14:paraId="48176CA2">
      <w:pPr>
        <w:ind w:firstLine="560"/>
      </w:pPr>
      <w:r>
        <w:rPr>
          <w:rFonts w:hint="eastAsia"/>
        </w:rPr>
        <w:t>3、钢筋焊接头应符合机械性能，试验结果必须符合钢筋焊接及验收的专门规定。</w:t>
      </w:r>
    </w:p>
    <w:p w14:paraId="57D03DBC">
      <w:pPr>
        <w:ind w:firstLine="560"/>
      </w:pPr>
      <w:r>
        <w:rPr>
          <w:rFonts w:hint="eastAsia"/>
        </w:rPr>
        <w:t>4、绑扎、缺扣、松扣数量不得超过绑扎总数的10%，弯钩朝向应正确，绑扎接头应符合规范要求，板墙筋、柱筋，用电焊与板筋固定，确保位置准确。</w:t>
      </w:r>
    </w:p>
    <w:p w14:paraId="08F21B00">
      <w:pPr>
        <w:ind w:firstLine="560"/>
      </w:pPr>
      <w:r>
        <w:rPr>
          <w:rFonts w:hint="eastAsia"/>
        </w:rPr>
        <w:t>5、钢筋绑扎完成后应经班组自检、互检，施工员、质检员、技术负责人验收并填写隐蔽验收记录方可开始浇捣砼，浇捣过程应派专人看护整修，浇捣中不能随意踩踏破坏负弯矩钢筋及骨架钢筋。</w:t>
      </w:r>
    </w:p>
    <w:p w14:paraId="7E2719DB">
      <w:pPr>
        <w:ind w:firstLine="560"/>
      </w:pPr>
      <w:r>
        <w:rPr>
          <w:rFonts w:hint="eastAsia"/>
        </w:rPr>
        <w:t>2.4砼质量保证措施</w:t>
      </w:r>
    </w:p>
    <w:p w14:paraId="61160F20">
      <w:pPr>
        <w:ind w:firstLine="560"/>
      </w:pPr>
      <w:r>
        <w:rPr>
          <w:rFonts w:hint="eastAsia"/>
        </w:rPr>
        <w:t>1、砼质量保证措施</w:t>
      </w:r>
    </w:p>
    <w:p w14:paraId="06327959">
      <w:pPr>
        <w:ind w:firstLine="560"/>
      </w:pPr>
      <w:r>
        <w:rPr>
          <w:rFonts w:hint="eastAsia"/>
        </w:rPr>
        <w:t>（1）选择合格有信誉的商品混凝土供应商，并签订供应合同，加强联系勾通工作，一旦出现混凝土供应跟不上时应有应急预案措施来保证大型砼的浇捣。</w:t>
      </w:r>
    </w:p>
    <w:p w14:paraId="07AC32D4">
      <w:pPr>
        <w:ind w:firstLine="560"/>
      </w:pPr>
      <w:r>
        <w:rPr>
          <w:rFonts w:hint="eastAsia"/>
        </w:rPr>
        <w:t>（2）商品砼使用砂、石骨料，砼掺入的外加剂使用前必须与工地项目部监理设计单位勾通并提供配合比。</w:t>
      </w:r>
    </w:p>
    <w:p w14:paraId="60DF90FB">
      <w:pPr>
        <w:ind w:firstLine="560"/>
      </w:pPr>
      <w:r>
        <w:rPr>
          <w:rFonts w:hint="eastAsia"/>
        </w:rPr>
        <w:t>（3）严格控制砼配合比的管理，所需的各类砼配合比需经过预先设计，试配、试块达到了强度值的基础上，才能使用。项目部和商品砼生产单位要加强对砼试块的制作和养护管理，使砼试块强度能充分代表所拌制砼的强度。</w:t>
      </w:r>
    </w:p>
    <w:p w14:paraId="5D8D4B6F">
      <w:pPr>
        <w:ind w:firstLine="560"/>
      </w:pPr>
      <w:r>
        <w:rPr>
          <w:rFonts w:hint="eastAsia"/>
        </w:rPr>
        <w:t>2、现浇砼质量保证措施</w:t>
      </w:r>
    </w:p>
    <w:p w14:paraId="6E151B38">
      <w:pPr>
        <w:ind w:firstLine="560"/>
      </w:pPr>
      <w:r>
        <w:rPr>
          <w:rFonts w:hint="eastAsia"/>
        </w:rPr>
        <w:t>（1）混凝土所用的水泥、水、骨料、外加剂等必须符合施工规范及有关规定，检查出厂合格证或试验报告是否符合质量要求。</w:t>
      </w:r>
    </w:p>
    <w:p w14:paraId="7BE11FB6">
      <w:pPr>
        <w:ind w:firstLine="560"/>
      </w:pPr>
      <w:r>
        <w:rPr>
          <w:rFonts w:hint="eastAsia"/>
        </w:rPr>
        <w:t>（2）混凝土的配合比、原材料计量、搅拌、养护和施工缝处理必须符合施工规范规定。</w:t>
      </w:r>
    </w:p>
    <w:p w14:paraId="528CAB16">
      <w:pPr>
        <w:ind w:firstLine="560"/>
      </w:pPr>
      <w:r>
        <w:rPr>
          <w:rFonts w:hint="eastAsia"/>
        </w:rPr>
        <w:t>（3）混凝土强度的试块取样、制作、养护和试验要符合《混凝土强度检验评定标准》规定。</w:t>
      </w:r>
    </w:p>
    <w:p w14:paraId="5CD5C01A">
      <w:pPr>
        <w:ind w:firstLine="560"/>
      </w:pPr>
      <w:r>
        <w:rPr>
          <w:rFonts w:hint="eastAsia"/>
        </w:rPr>
        <w:t>（4）设计不允许裂缝的结构，严禁出现裂缝，设计允许裂缝的结构，其裂缝宽度必须符合设计要求。</w:t>
      </w:r>
    </w:p>
    <w:p w14:paraId="2DD21883">
      <w:pPr>
        <w:pStyle w:val="4"/>
        <w:spacing w:before="93" w:after="31"/>
      </w:pPr>
      <w:bookmarkStart w:id="6157" w:name="_Toc32409"/>
      <w:bookmarkStart w:id="6158" w:name="_Toc17273"/>
      <w:bookmarkStart w:id="6159" w:name="_Toc18234"/>
      <w:bookmarkStart w:id="6160" w:name="_Toc16755"/>
      <w:bookmarkStart w:id="6161" w:name="_Toc17843"/>
      <w:bookmarkStart w:id="6162" w:name="_Toc21701"/>
      <w:bookmarkStart w:id="6163" w:name="_Toc19642"/>
      <w:bookmarkStart w:id="6164" w:name="_Toc10134"/>
      <w:bookmarkStart w:id="6165" w:name="_Toc27594"/>
      <w:bookmarkStart w:id="6166" w:name="_Toc13883"/>
      <w:bookmarkStart w:id="6167" w:name="_Toc6211"/>
      <w:bookmarkStart w:id="6168" w:name="_Toc25033"/>
      <w:bookmarkStart w:id="6169" w:name="_Toc22401"/>
      <w:bookmarkStart w:id="6170" w:name="_Toc20904"/>
      <w:bookmarkStart w:id="6171" w:name="_Toc17129"/>
      <w:bookmarkStart w:id="6172" w:name="_Toc4290"/>
      <w:bookmarkStart w:id="6173" w:name="_Toc10242"/>
      <w:bookmarkStart w:id="6174" w:name="_Toc16587"/>
      <w:bookmarkStart w:id="6175" w:name="_Toc24875"/>
      <w:bookmarkStart w:id="6176" w:name="_Toc28124"/>
      <w:bookmarkStart w:id="6177" w:name="_Toc26589"/>
      <w:bookmarkStart w:id="6178" w:name="_Toc16409"/>
      <w:bookmarkStart w:id="6179" w:name="_Toc21462"/>
      <w:bookmarkStart w:id="6180" w:name="_Toc13873"/>
      <w:bookmarkStart w:id="6181" w:name="_Toc15689"/>
      <w:bookmarkStart w:id="6182" w:name="_Toc13369"/>
      <w:bookmarkStart w:id="6183" w:name="_Toc6641"/>
      <w:bookmarkStart w:id="6184" w:name="_Toc8410"/>
      <w:r>
        <w:rPr>
          <w:rFonts w:hint="eastAsia"/>
        </w:rPr>
        <w:t>五、质量保障措施</w:t>
      </w:r>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p>
    <w:p w14:paraId="613D4DE5">
      <w:pPr>
        <w:pStyle w:val="5"/>
        <w:spacing w:before="31" w:after="31"/>
        <w:ind w:firstLine="562"/>
      </w:pPr>
      <w:bookmarkStart w:id="6185" w:name="_Toc21959"/>
      <w:bookmarkStart w:id="6186" w:name="_Toc22775"/>
      <w:bookmarkStart w:id="6187" w:name="_Toc17256"/>
      <w:bookmarkStart w:id="6188" w:name="_Toc9824"/>
      <w:bookmarkStart w:id="6189" w:name="_Toc9344"/>
      <w:bookmarkStart w:id="6190" w:name="_Toc2107"/>
      <w:bookmarkStart w:id="6191" w:name="_Toc22311"/>
      <w:bookmarkStart w:id="6192" w:name="_Toc3756"/>
      <w:bookmarkStart w:id="6193" w:name="_Toc4177"/>
      <w:bookmarkStart w:id="6194" w:name="_Toc24181"/>
      <w:bookmarkStart w:id="6195" w:name="_Toc23404"/>
      <w:bookmarkStart w:id="6196" w:name="_Toc29295"/>
      <w:bookmarkStart w:id="6197" w:name="_Toc2007"/>
      <w:bookmarkStart w:id="6198" w:name="_Toc11776"/>
      <w:bookmarkStart w:id="6199" w:name="_Toc8003"/>
      <w:bookmarkStart w:id="6200" w:name="_Toc28591"/>
      <w:bookmarkStart w:id="6201" w:name="_Toc32272"/>
      <w:bookmarkStart w:id="6202" w:name="_Toc28377"/>
      <w:bookmarkStart w:id="6203" w:name="_Toc13547"/>
      <w:bookmarkStart w:id="6204" w:name="_Toc19705"/>
      <w:bookmarkStart w:id="6205" w:name="_Toc794"/>
      <w:bookmarkStart w:id="6206" w:name="_Toc9338"/>
      <w:bookmarkStart w:id="6207" w:name="_Toc7643"/>
      <w:bookmarkStart w:id="6208" w:name="_Toc27281"/>
      <w:bookmarkStart w:id="6209" w:name="_Toc24012"/>
      <w:bookmarkStart w:id="6210" w:name="_Toc196"/>
      <w:bookmarkStart w:id="6211" w:name="_Toc22959"/>
      <w:bookmarkStart w:id="6212" w:name="_Toc7236"/>
      <w:r>
        <w:rPr>
          <w:rFonts w:hint="eastAsia"/>
        </w:rPr>
        <w:t>（一）质量保证总体措施</w:t>
      </w:r>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p>
    <w:p w14:paraId="08D83CAB">
      <w:pPr>
        <w:ind w:firstLine="560"/>
      </w:pPr>
      <w:r>
        <w:rPr>
          <w:rFonts w:hint="eastAsia"/>
        </w:rPr>
        <w:t>本工程若有幸中标，本公司决定从以下方面采取质量保证措施：</w:t>
      </w:r>
    </w:p>
    <w:p w14:paraId="5867B70C">
      <w:pPr>
        <w:ind w:firstLine="560"/>
      </w:pPr>
      <w:r>
        <w:rPr>
          <w:rFonts w:hint="eastAsia"/>
        </w:rPr>
        <w:t>A.从施工组织上确保</w:t>
      </w:r>
    </w:p>
    <w:p w14:paraId="7B6E5490">
      <w:pPr>
        <w:ind w:firstLine="560"/>
      </w:pPr>
      <w:r>
        <w:rPr>
          <w:rFonts w:hint="eastAsia"/>
        </w:rPr>
        <w:t>委派发包人确认的项目经理担任该工程项目经理，组建重点工程项目部，并配足专业施工技术管理人员，建立岗位责任制和质量监督制度，明确分工职责，落实施工控制责任制。按照公司服务控制，项目授权管理，专业施工保障，各方通力合作的模式，卓有成效地实施质量目标。</w:t>
      </w:r>
    </w:p>
    <w:p w14:paraId="2FA9AA65">
      <w:pPr>
        <w:ind w:firstLine="560"/>
      </w:pPr>
      <w:r>
        <w:rPr>
          <w:rFonts w:hint="eastAsia"/>
        </w:rPr>
        <w:t>B.从施工力量上确保</w:t>
      </w:r>
    </w:p>
    <w:p w14:paraId="586E37A6">
      <w:pPr>
        <w:ind w:firstLine="560"/>
      </w:pPr>
      <w:r>
        <w:rPr>
          <w:rFonts w:hint="eastAsia"/>
        </w:rPr>
        <w:t>根据本工程规模投入足够的施工力量，并且选派技术过硬的职工队伍，本公司将全部选派在册职工施工，不搞和私招乱雇。同时利用公司已形成的对施工队伍完整的管理和考核办法，严格实行考核，从根本上保证项目所需劳动者的素质，从而为实现工程质量目标奠定坚实的基础。</w:t>
      </w:r>
    </w:p>
    <w:p w14:paraId="00731929">
      <w:pPr>
        <w:ind w:firstLine="560"/>
      </w:pPr>
      <w:r>
        <w:rPr>
          <w:rFonts w:hint="eastAsia"/>
        </w:rPr>
        <w:t>C.从施工制度上确保</w:t>
      </w:r>
    </w:p>
    <w:p w14:paraId="0E6F0E49">
      <w:pPr>
        <w:ind w:firstLine="560"/>
      </w:pPr>
      <w:r>
        <w:rPr>
          <w:rFonts w:hint="eastAsia"/>
        </w:rPr>
        <w:t>进一步完善技术交底制、材料进场验制、样板引路制、施工挂牌制、过程三检制、质量否决制、成品保护制等一系列规章制度，严格按照规范要求，狠抓关键工序管理，严格过程控制，做到上道工序不符合要求，坚决不进行下道工序施工，达不到要求的坚决整改至符合要求为止。</w:t>
      </w:r>
    </w:p>
    <w:p w14:paraId="03EFE70A">
      <w:pPr>
        <w:ind w:firstLine="560"/>
      </w:pPr>
      <w:r>
        <w:rPr>
          <w:rFonts w:hint="eastAsia"/>
        </w:rPr>
        <w:t>D.从施工技术上确保</w:t>
      </w:r>
    </w:p>
    <w:p w14:paraId="04A30878">
      <w:pPr>
        <w:ind w:firstLine="560"/>
      </w:pPr>
      <w:r>
        <w:rPr>
          <w:rFonts w:hint="eastAsia"/>
        </w:rPr>
        <w:t>建立技术与生产融为一体的技术管理经系统：过去传统的技术管理组织系统总工程师、技术科工程处主任工程师、技术工、施工队工程师技术员，这样容易造成生产指挥管理组织系统相脱节约平等的独立系统。现将工地的技术管理组织系统与生产指挥组织系统融为一体，一个既是生产管理指挥又是技术管理的组织系统，就必然把技术管理与生产管理，技术与经济、方案、程序的制定和实施紧密结合在一起。避免了相互脱节，也防止了某些技术人员只重视技术，不重视生产和经济的片面观点。</w:t>
      </w:r>
    </w:p>
    <w:p w14:paraId="0D8E0A4A">
      <w:pPr>
        <w:ind w:firstLine="560"/>
      </w:pPr>
      <w:r>
        <w:rPr>
          <w:rFonts w:hint="eastAsia"/>
        </w:rPr>
        <w:t>（1）现场技术管理体制主要任务、内容和方法</w:t>
      </w:r>
    </w:p>
    <w:p w14:paraId="64FDAC26">
      <w:pPr>
        <w:ind w:firstLine="560"/>
      </w:pPr>
      <w:r>
        <w:rPr>
          <w:rFonts w:hint="eastAsia"/>
        </w:rPr>
        <w:t>①严格执行国家和地方有关施工技术标准、规范、规程和规定。</w:t>
      </w:r>
    </w:p>
    <w:p w14:paraId="78137B89">
      <w:pPr>
        <w:ind w:firstLine="560"/>
      </w:pPr>
      <w:r>
        <w:rPr>
          <w:rFonts w:hint="eastAsia"/>
        </w:rPr>
        <w:t>②严格技术工作程序、实施技术管理与控制在施工过程中，技术部严格按技术规范对现场施工实行技术指导，督促各工序遵照施工图要求施工。</w:t>
      </w:r>
    </w:p>
    <w:p w14:paraId="38F283A8">
      <w:pPr>
        <w:ind w:firstLine="560"/>
      </w:pPr>
      <w:r>
        <w:rPr>
          <w:rFonts w:hint="eastAsia"/>
        </w:rPr>
        <w:t>各工程项目开工前，将图纸、工作程序及规范发到施工科，由各施工科根据设计图绘制出施工详图报技术部。</w:t>
      </w:r>
    </w:p>
    <w:p w14:paraId="1C4C6838">
      <w:pPr>
        <w:ind w:firstLine="560"/>
      </w:pPr>
      <w:r>
        <w:rPr>
          <w:rFonts w:hint="eastAsia"/>
        </w:rPr>
        <w:t>③注重技术经济效益、抓好技术管理首先技术部以技术审核请示单、技术修改文件、设计理发指令形式提出问题，如图纸中的错误，图纸发行日期耽误，发包人不及时答复技术核定单，发包人材料供应不及时或材料运输途中损坏变形而增加的修复工作量等，查出合同标书和图纸所规定的工程以外的技术校核请示单、技术修改文件，然后发出信件，要求发包人发给“变更指令”或“工程指令”，当发包人承认这些失误发出修改指令后，随之通知现场有关施工班组，统计出因执行修改指令后投入的人力、物力，以及因等待答复，或因舍弃已完成至半的工作而报废的财物，由有关部门向发包人提出结算清单。</w:t>
      </w:r>
    </w:p>
    <w:p w14:paraId="7FBDA133">
      <w:pPr>
        <w:ind w:firstLine="560"/>
      </w:pPr>
      <w:r>
        <w:rPr>
          <w:rFonts w:hint="eastAsia"/>
        </w:rPr>
        <w:t>（2）技术管理的科学化和标准化</w:t>
      </w:r>
    </w:p>
    <w:p w14:paraId="5CA58421">
      <w:pPr>
        <w:ind w:firstLine="560"/>
      </w:pPr>
      <w:r>
        <w:rPr>
          <w:rFonts w:hint="eastAsia"/>
        </w:rPr>
        <w:t>把重复出现的管理工作订成标准。纳入制度，使管理业务标准化。各项过程，都制定了合理而详细的工作程序，并用文字或图表出来，使管理工作超前，事前有计划，工作中有协调，事后的检查。使工作流程程序化，管理业务的标准化和程序化，使技术管理工作条件化、规范化，从而避免分工不清，职责不明、互相脱节、互相推诿现象的发生。同时，也由于各项工作都由各个详细的工作程序分解成了简单而重复的单一工作，使复杂的工作简单化。公司之间、部门之间、上下级之间、同事之间，凡联系业务布置工作，发布指令，交换资料等一切都用文件说话，且文件往来快。</w:t>
      </w:r>
    </w:p>
    <w:p w14:paraId="1DF9D5F9">
      <w:pPr>
        <w:ind w:firstLine="560"/>
      </w:pPr>
      <w:r>
        <w:rPr>
          <w:rFonts w:hint="eastAsia"/>
        </w:rPr>
        <w:t>借用复印机、打字机、计算机、传真、电传以及直拨世界各地的电话这些现代化设备，大大加快了工作速度。</w:t>
      </w:r>
    </w:p>
    <w:p w14:paraId="0EDA237B">
      <w:pPr>
        <w:ind w:firstLine="560"/>
      </w:pPr>
      <w:r>
        <w:rPr>
          <w:rFonts w:hint="eastAsia"/>
        </w:rPr>
        <w:t>把工程设计和施工组织意图贯彻到每个人心中，一旦有变化能及时对应调整措施。</w:t>
      </w:r>
    </w:p>
    <w:p w14:paraId="1DCDEE39">
      <w:pPr>
        <w:ind w:firstLine="560"/>
      </w:pPr>
      <w:r>
        <w:rPr>
          <w:rFonts w:hint="eastAsia"/>
        </w:rPr>
        <w:t>E.从物资供应上确保</w:t>
      </w:r>
    </w:p>
    <w:p w14:paraId="1CDAFF57">
      <w:pPr>
        <w:ind w:firstLine="560"/>
      </w:pPr>
      <w:r>
        <w:rPr>
          <w:rFonts w:hint="eastAsia"/>
        </w:rPr>
        <w:t>根据本工程的特点，重点是大量的钢筋砼工程，为保证主体结构，必须供足大量的周转材料。</w:t>
      </w:r>
    </w:p>
    <w:p w14:paraId="2347F231">
      <w:pPr>
        <w:ind w:firstLine="560"/>
      </w:pPr>
      <w:r>
        <w:rPr>
          <w:rFonts w:hint="eastAsia"/>
        </w:rPr>
        <w:t>F.从原材质量上确保</w:t>
      </w:r>
    </w:p>
    <w:p w14:paraId="6BF756F7">
      <w:pPr>
        <w:ind w:firstLine="560"/>
      </w:pPr>
      <w:r>
        <w:rPr>
          <w:rFonts w:hint="eastAsia"/>
        </w:rPr>
        <w:t>本工程要求较高，用材多，采购物资时，必须确定合格和信誉好的供货商厂家，所采购的材料或设备必须有出厂合格证、材质证明和证明书，对材料、设备有疑问的禁止进货，在保证原材料质量的基础上，方可保证工程质量。</w:t>
      </w:r>
    </w:p>
    <w:p w14:paraId="71F15F79">
      <w:pPr>
        <w:ind w:firstLine="560"/>
      </w:pPr>
      <w:r>
        <w:rPr>
          <w:rFonts w:hint="eastAsia"/>
        </w:rPr>
        <w:t>G.从经济措施上确保</w:t>
      </w:r>
    </w:p>
    <w:p w14:paraId="534CC59F">
      <w:pPr>
        <w:ind w:firstLine="560"/>
      </w:pPr>
      <w:r>
        <w:rPr>
          <w:rFonts w:hint="eastAsia"/>
        </w:rPr>
        <w:t>保证资金正常运作，确保施工资源正常供应。同时，引进竞争机制，建立奖罚制度，对施工质量优秀的班组、管理人员给予经济奖励，激励干部职工在工作中始终把质量放在首位，使他们再接再厉，扎扎实实把工程质量干好是确保工程质量的基础。</w:t>
      </w:r>
    </w:p>
    <w:p w14:paraId="6D3BB3CA">
      <w:pPr>
        <w:ind w:firstLine="560"/>
      </w:pPr>
      <w:r>
        <w:rPr>
          <w:rFonts w:hint="eastAsia"/>
        </w:rPr>
        <w:t>H.从履约合同上确保</w:t>
      </w:r>
    </w:p>
    <w:p w14:paraId="268930E1">
      <w:pPr>
        <w:ind w:firstLine="560"/>
      </w:pPr>
      <w:r>
        <w:rPr>
          <w:rFonts w:hint="eastAsia"/>
        </w:rPr>
        <w:t>全面履行工程承包合同，自我加大合同执行力度，认真执行道路法规，积极向发包人负责，主动接受监理的监督，提高工程质量。</w:t>
      </w:r>
    </w:p>
    <w:p w14:paraId="68130D2D">
      <w:pPr>
        <w:ind w:firstLine="560"/>
      </w:pPr>
      <w:r>
        <w:rPr>
          <w:rFonts w:hint="eastAsia"/>
        </w:rPr>
        <w:t>I.从计量上确保</w:t>
      </w:r>
    </w:p>
    <w:p w14:paraId="525F0718">
      <w:pPr>
        <w:ind w:firstLine="560"/>
      </w:pPr>
      <w:r>
        <w:rPr>
          <w:rFonts w:hint="eastAsia"/>
        </w:rPr>
        <w:t>计量管理是质量控制的根本，严格按照《安徽省施工企业计量检测与计量配备规范》的规定，加强计量器具管理，做到计量准确，把关严格，以此提高工程质量。</w:t>
      </w:r>
    </w:p>
    <w:p w14:paraId="36B3E658">
      <w:pPr>
        <w:ind w:firstLine="560"/>
      </w:pPr>
      <w:r>
        <w:rPr>
          <w:rFonts w:hint="eastAsia"/>
        </w:rPr>
        <w:t>J.从科技攻关上提高质量</w:t>
      </w:r>
    </w:p>
    <w:p w14:paraId="2FC17A69">
      <w:pPr>
        <w:ind w:firstLine="560"/>
      </w:pPr>
      <w:r>
        <w:rPr>
          <w:rFonts w:hint="eastAsia"/>
        </w:rPr>
        <w:t>充分发挥科技实力，增加投放，积极调动广大员工的质量攻关热情，提高工程质量，以及新技术、新材料、新工艺的应用。</w:t>
      </w:r>
    </w:p>
    <w:p w14:paraId="2CF38D4D">
      <w:pPr>
        <w:ind w:firstLine="560"/>
      </w:pPr>
      <w:r>
        <w:rPr>
          <w:rFonts w:hint="eastAsia"/>
        </w:rPr>
        <w:t>检验、试验、测量和计量设备（以下简称检测设备）的控制检测设备的配合。</w:t>
      </w:r>
    </w:p>
    <w:p w14:paraId="78570979">
      <w:pPr>
        <w:ind w:firstLine="560"/>
      </w:pPr>
      <w:r>
        <w:rPr>
          <w:rFonts w:hint="eastAsia"/>
        </w:rPr>
        <w:t>①各项目部根据施工生产及技术改进的需要编制添置检测设备计划报公司全质办。</w:t>
      </w:r>
    </w:p>
    <w:p w14:paraId="5727C6F1">
      <w:pPr>
        <w:ind w:firstLine="560"/>
      </w:pPr>
      <w:r>
        <w:rPr>
          <w:rFonts w:hint="eastAsia"/>
        </w:rPr>
        <w:t>②全质办根据上报的计划经审核平衡，报总工程师或副总工程师批准后由项目部或检测设备的使用部门，根据所定的规格型号、精确度等级和使用范围进行采购以，也可委托全质办购置。</w:t>
      </w:r>
    </w:p>
    <w:p w14:paraId="0D6CFB62">
      <w:pPr>
        <w:ind w:firstLine="560"/>
      </w:pPr>
      <w:r>
        <w:rPr>
          <w:rFonts w:hint="eastAsia"/>
        </w:rPr>
        <w:t>③检测设备的生产单位必须是国家认可的有生产许可证的、质量稳定可靠的单位，计量器具必须有“MC”标志。检测设备的检定、校准。</w:t>
      </w:r>
    </w:p>
    <w:p w14:paraId="25F93489">
      <w:pPr>
        <w:ind w:firstLine="560"/>
      </w:pPr>
      <w:r>
        <w:rPr>
          <w:rFonts w:hint="eastAsia"/>
        </w:rPr>
        <w:t>①购置的检测试验设备须经全质办或送上级国家技术监督部门检定合格后贴上标识方可领出使用。</w:t>
      </w:r>
    </w:p>
    <w:p w14:paraId="24E7E636">
      <w:pPr>
        <w:ind w:firstLine="560"/>
      </w:pPr>
      <w:r>
        <w:rPr>
          <w:rFonts w:hint="eastAsia"/>
        </w:rPr>
        <w:t>②凡本公司使用的计量器具，必须进行周期检定，周期检定的安排全质办根据国家有关规定和本公司计量器具及设备使用的实际情况确定检定周期，并编制周检计划。</w:t>
      </w:r>
    </w:p>
    <w:p w14:paraId="32AE740D">
      <w:pPr>
        <w:ind w:firstLine="560"/>
      </w:pPr>
      <w:r>
        <w:rPr>
          <w:rFonts w:hint="eastAsia"/>
        </w:rPr>
        <w:t>③所有检测设备（无论是本公司采购的还是租用的，还是顾客提供的），在使用前必须经过检定、校准。属强制检定的计量器具，必须按国家有关的规程执行，由全质办组织项目部负责送检，其他检测设备按公司规定的检定周期和校准方式检定，合格后方可投入使用。</w:t>
      </w:r>
    </w:p>
    <w:p w14:paraId="7FC43165">
      <w:pPr>
        <w:ind w:firstLine="560"/>
      </w:pPr>
      <w:r>
        <w:rPr>
          <w:rFonts w:hint="eastAsia"/>
        </w:rPr>
        <w:t>④当不存在量值溯源基准时，由全质办编制自校规程，按自校规程进行检验校准。</w:t>
      </w:r>
    </w:p>
    <w:p w14:paraId="4B9E7092">
      <w:pPr>
        <w:ind w:firstLine="560"/>
      </w:pPr>
      <w:r>
        <w:rPr>
          <w:rFonts w:hint="eastAsia"/>
        </w:rPr>
        <w:t>⑤建立、保存设备的校准记录。</w:t>
      </w:r>
    </w:p>
    <w:p w14:paraId="1E346A60">
      <w:pPr>
        <w:ind w:firstLine="560"/>
      </w:pPr>
      <w:r>
        <w:rPr>
          <w:rFonts w:hint="eastAsia"/>
        </w:rPr>
        <w:t>记录内容包括：校验实施人、设备型号、校验时间、唯一性标识、检测周期及有效期限、校验方法、验收标准，以及发现问题应采取的措施。</w:t>
      </w:r>
    </w:p>
    <w:p w14:paraId="136FEC96">
      <w:pPr>
        <w:ind w:firstLine="560"/>
      </w:pPr>
      <w:r>
        <w:rPr>
          <w:rFonts w:hint="eastAsia"/>
        </w:rPr>
        <w:t>由全质办负责建立和保存检定、校准的记录。</w:t>
      </w:r>
    </w:p>
    <w:p w14:paraId="57829831">
      <w:pPr>
        <w:ind w:firstLine="560"/>
      </w:pPr>
      <w:r>
        <w:rPr>
          <w:rFonts w:hint="eastAsia"/>
        </w:rPr>
        <w:t>⑥所有的检测设备都必须带有其校准状态的标识。</w:t>
      </w:r>
    </w:p>
    <w:p w14:paraId="27B3BFEB">
      <w:pPr>
        <w:ind w:firstLine="560"/>
      </w:pPr>
      <w:r>
        <w:rPr>
          <w:rFonts w:hint="eastAsia"/>
        </w:rPr>
        <w:t>⑦一旦发现检测设备未处于校准或偏离校准状态时，应暂停使用，立即评定已检验和试验结果的有效性，并形成记录。</w:t>
      </w:r>
    </w:p>
    <w:p w14:paraId="22B09C96">
      <w:pPr>
        <w:ind w:firstLine="560"/>
      </w:pPr>
      <w:r>
        <w:rPr>
          <w:rFonts w:hint="eastAsia"/>
        </w:rPr>
        <w:t>⑧除按规定周期校正外，产生下列情况时应重新校准检测设备，以保证其准确度和适用性。</w:t>
      </w:r>
    </w:p>
    <w:p w14:paraId="12F4D202">
      <w:pPr>
        <w:ind w:firstLine="560"/>
      </w:pPr>
      <w:r>
        <w:rPr>
          <w:rFonts w:hint="eastAsia"/>
        </w:rPr>
        <w:t>a.对检测设备的准确性产生怀疑时；</w:t>
      </w:r>
    </w:p>
    <w:p w14:paraId="216EB4E0">
      <w:pPr>
        <w:ind w:firstLine="560"/>
      </w:pPr>
      <w:r>
        <w:rPr>
          <w:rFonts w:hint="eastAsia"/>
        </w:rPr>
        <w:t>b.检测设备被拆卸或损坏时；</w:t>
      </w:r>
    </w:p>
    <w:p w14:paraId="474BFC61">
      <w:pPr>
        <w:ind w:firstLine="560"/>
      </w:pPr>
      <w:r>
        <w:rPr>
          <w:rFonts w:hint="eastAsia"/>
        </w:rPr>
        <w:t>c.检测设备修理后。</w:t>
      </w:r>
    </w:p>
    <w:p w14:paraId="5EBED288">
      <w:pPr>
        <w:ind w:firstLine="560"/>
      </w:pPr>
      <w:r>
        <w:rPr>
          <w:rFonts w:hint="eastAsia"/>
        </w:rPr>
        <w:t>⑨防止检测设备因调整不当使其校准失效，则全质办对其重新校准，以满足精度要求。</w:t>
      </w:r>
    </w:p>
    <w:p w14:paraId="3A5C544F">
      <w:pPr>
        <w:ind w:firstLine="560"/>
      </w:pPr>
      <w:r>
        <w:rPr>
          <w:rFonts w:hint="eastAsia"/>
        </w:rPr>
        <w:t>⑩所有检测设备（包括公司自己的、租用的和顾客提供的）由全质办建立总台帐，项目部建立分台帐，由各级计量员分别管理。</w:t>
      </w:r>
    </w:p>
    <w:p w14:paraId="218F1AB7">
      <w:pPr>
        <w:ind w:firstLine="560"/>
      </w:pPr>
      <w:r>
        <w:rPr>
          <w:rFonts w:hint="eastAsia"/>
        </w:rPr>
        <w:t>2.施工过程质量控制措施</w:t>
      </w:r>
    </w:p>
    <w:p w14:paraId="10D3430B">
      <w:pPr>
        <w:ind w:firstLine="560"/>
      </w:pPr>
      <w:r>
        <w:rPr>
          <w:rFonts w:hint="eastAsia"/>
        </w:rPr>
        <w:t>（1）施工过程中，原材料的控制措施：质量控制必须从原材料质量控制不合格材料不得使用。</w:t>
      </w:r>
    </w:p>
    <w:p w14:paraId="3259F25F">
      <w:pPr>
        <w:ind w:firstLine="560"/>
      </w:pPr>
      <w:r>
        <w:rPr>
          <w:rFonts w:hint="eastAsia"/>
        </w:rPr>
        <w:t>①严格选择材料厂商，必须供工程所需的合格材料，信誉等级较高，供货质量比较可靠的供货商。</w:t>
      </w:r>
    </w:p>
    <w:p w14:paraId="2E31192F">
      <w:pPr>
        <w:ind w:firstLine="560"/>
      </w:pPr>
      <w:r>
        <w:rPr>
          <w:rFonts w:hint="eastAsia"/>
        </w:rPr>
        <w:t>②无论是甲供材料，还是乙方自购，当质量不合格时，均不能盲目使用，如是甲供材料，本公司以书面形式提请发包人予以更换。</w:t>
      </w:r>
    </w:p>
    <w:p w14:paraId="1DD7AAF8">
      <w:pPr>
        <w:ind w:firstLine="560"/>
      </w:pPr>
      <w:r>
        <w:rPr>
          <w:rFonts w:hint="eastAsia"/>
        </w:rPr>
        <w:t>③本公司将从进场材料质量、材料加工质量、合作态度、售后服务质量等方面进行控制。</w:t>
      </w:r>
    </w:p>
    <w:p w14:paraId="6F98CCAD">
      <w:pPr>
        <w:ind w:firstLine="560"/>
      </w:pPr>
      <w:r>
        <w:rPr>
          <w:rFonts w:hint="eastAsia"/>
        </w:rPr>
        <w:t>④当进场材料质量出现不合格时，要求供应厂商予以调换或退货，如材料质量出现严重不合格，将考虑取消该厂商的供货资格。</w:t>
      </w:r>
    </w:p>
    <w:p w14:paraId="6FB3554B">
      <w:pPr>
        <w:ind w:firstLine="560"/>
      </w:pPr>
      <w:r>
        <w:rPr>
          <w:rFonts w:hint="eastAsia"/>
        </w:rPr>
        <w:t>⑤进场材料严格管理，防止材料出现后天性的不合格，任何材料进场时要检验，搁置一段时间后再使用也要重新检验。</w:t>
      </w:r>
    </w:p>
    <w:p w14:paraId="7758A572">
      <w:pPr>
        <w:ind w:firstLine="560"/>
      </w:pPr>
      <w:r>
        <w:rPr>
          <w:rFonts w:hint="eastAsia"/>
        </w:rPr>
        <w:t>（2）技术人员、施工队伍人员素质控制：保证工程质量不仅生产工人的技术素质得到保障，而且技术管理人员的素质也要得到保证。</w:t>
      </w:r>
    </w:p>
    <w:p w14:paraId="7E8105B3">
      <w:pPr>
        <w:ind w:firstLine="560"/>
      </w:pPr>
      <w:r>
        <w:rPr>
          <w:rFonts w:hint="eastAsia"/>
        </w:rPr>
        <w:t>①本公司委派进场施工人员，均持有主管机构颁发的上岗证，特殊人员还持有特殊岗位操作证，否则不允许进场施工。管理人员须持证上岗，项目部质检员、安全员，必须有相应的资质证书。</w:t>
      </w:r>
    </w:p>
    <w:p w14:paraId="49C7CB0A">
      <w:pPr>
        <w:ind w:firstLine="560"/>
      </w:pPr>
      <w:r>
        <w:rPr>
          <w:rFonts w:hint="eastAsia"/>
        </w:rPr>
        <w:t>②实行质量一票否决权制，只要经质检员检查出有质量问题，一律返工，并且一切后果由施工人员自负，并扣罚材料费，所对应的专业工长予以50-100元/人次的罚款。</w:t>
      </w:r>
    </w:p>
    <w:p w14:paraId="7D4B6B0B">
      <w:pPr>
        <w:ind w:firstLine="560"/>
      </w:pPr>
      <w:r>
        <w:rPr>
          <w:rFonts w:hint="eastAsia"/>
        </w:rPr>
        <w:t>③实行样板制，在大面积施工同一种材料时，先应做样板，请发包人、设计质量监督站认可后，方可进行大面积施工，若有一方不认可，则必须重新做样板直至认可为止。</w:t>
      </w:r>
    </w:p>
    <w:p w14:paraId="4CF80D69">
      <w:pPr>
        <w:ind w:firstLine="560"/>
      </w:pPr>
      <w:r>
        <w:rPr>
          <w:rFonts w:hint="eastAsia"/>
        </w:rPr>
        <w:t>④实行质量检查制度，以分公司到项目部，实行定期不定期组织质量检查，开展“比、学、赶、超”创优活动，对所检查项目的工程质量进行评比打分，每次对得分最高和得分最低的进行奖罚。</w:t>
      </w:r>
    </w:p>
    <w:p w14:paraId="1481B7FF">
      <w:pPr>
        <w:ind w:firstLine="560"/>
      </w:pPr>
      <w:r>
        <w:rPr>
          <w:rFonts w:hint="eastAsia"/>
        </w:rPr>
        <w:t>⑤实行对项目随机抽查，若对施工质量有所怀疑并经查实立即就质量事故大小，当场对责任人罚款，对任何人从不宽容，若整改不及时或对质量认识不够，屡教不改者或解聘下岗。</w:t>
      </w:r>
    </w:p>
    <w:p w14:paraId="6EB73BDF">
      <w:pPr>
        <w:ind w:firstLine="560"/>
      </w:pPr>
      <w:r>
        <w:rPr>
          <w:rFonts w:hint="eastAsia"/>
        </w:rPr>
        <w:t>⑥高度重视质量工作，树立“质量就是企业的生命”的思想，增强质量意识，严格按照施工图、操作规程及质量检评标准组织施工。</w:t>
      </w:r>
    </w:p>
    <w:p w14:paraId="5873F49F">
      <w:pPr>
        <w:ind w:firstLine="560"/>
      </w:pPr>
      <w:r>
        <w:rPr>
          <w:rFonts w:hint="eastAsia"/>
        </w:rPr>
        <w:t>⑦加强岗位责任制，贯彻“谁管质量，谁施工”，“谁施工，谁负责”，“谁操作，谁保证质量”的原则，严格实行工程质量与经济责任挂钩，用经济手段确保质量岗位责任制的实施。</w:t>
      </w:r>
    </w:p>
    <w:p w14:paraId="2D23B4D0">
      <w:pPr>
        <w:ind w:firstLine="560"/>
      </w:pPr>
      <w:r>
        <w:rPr>
          <w:rFonts w:hint="eastAsia"/>
        </w:rPr>
        <w:t>⑧严格质量评定制度，认真做好自检、互检、交接检的三检制度，上道工序由班组长、工长和质检员验收合格后，方可进行下道工序作业。</w:t>
      </w:r>
    </w:p>
    <w:p w14:paraId="752F1218">
      <w:pPr>
        <w:ind w:firstLine="560"/>
      </w:pPr>
      <w:r>
        <w:rPr>
          <w:rFonts w:hint="eastAsia"/>
        </w:rPr>
        <w:t>⑨认真实施技术责任制，严格按照施工规范进行施工，落实技术责任到各工长，认真贯彻施工组织及特殊技术措施。</w:t>
      </w:r>
    </w:p>
    <w:p w14:paraId="4CCC04B5">
      <w:pPr>
        <w:ind w:firstLine="560"/>
      </w:pPr>
      <w:r>
        <w:rPr>
          <w:rFonts w:hint="eastAsia"/>
        </w:rPr>
        <w:t>⑩充分发挥各管理人员的职能作用，责任落实到人，经济利益挂钩，奖罚分明，做到人人有压力，有动力，使工程质量达到预期目标。</w:t>
      </w:r>
    </w:p>
    <w:p w14:paraId="056C24CF">
      <w:pPr>
        <w:pStyle w:val="5"/>
        <w:spacing w:before="31" w:after="31"/>
        <w:ind w:firstLine="562"/>
      </w:pPr>
      <w:bookmarkStart w:id="6213" w:name="_Toc10270"/>
      <w:bookmarkStart w:id="6214" w:name="_Toc9711"/>
      <w:bookmarkStart w:id="6215" w:name="_Toc16485"/>
      <w:bookmarkStart w:id="6216" w:name="_Toc23560"/>
      <w:bookmarkStart w:id="6217" w:name="_Toc14181"/>
      <w:bookmarkStart w:id="6218" w:name="_Toc31283"/>
      <w:bookmarkStart w:id="6219" w:name="_Toc9174"/>
      <w:bookmarkStart w:id="6220" w:name="_Toc25555"/>
      <w:bookmarkStart w:id="6221" w:name="_Toc14510"/>
      <w:bookmarkStart w:id="6222" w:name="_Toc9108"/>
      <w:bookmarkStart w:id="6223" w:name="_Toc13257"/>
      <w:bookmarkStart w:id="6224" w:name="_Toc24799"/>
      <w:bookmarkStart w:id="6225" w:name="_Toc25144"/>
      <w:bookmarkStart w:id="6226" w:name="_Toc24450"/>
      <w:bookmarkStart w:id="6227" w:name="_Toc14577"/>
      <w:bookmarkStart w:id="6228" w:name="_Toc32250"/>
      <w:bookmarkStart w:id="6229" w:name="_Toc20821"/>
      <w:bookmarkStart w:id="6230" w:name="_Toc14754"/>
      <w:bookmarkStart w:id="6231" w:name="_Toc25925"/>
      <w:bookmarkStart w:id="6232" w:name="_Toc11214"/>
      <w:bookmarkStart w:id="6233" w:name="_Toc13138"/>
      <w:r>
        <w:rPr>
          <w:rFonts w:hint="eastAsia"/>
        </w:rPr>
        <w:t>（二）工程质量管理制度</w:t>
      </w:r>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p>
    <w:p w14:paraId="7F0C2D76">
      <w:pPr>
        <w:ind w:firstLine="560"/>
      </w:pPr>
      <w:r>
        <w:rPr>
          <w:rFonts w:hint="eastAsia"/>
        </w:rPr>
        <w:t>1、施工过程的质量管理</w:t>
      </w:r>
    </w:p>
    <w:p w14:paraId="564B4C4A">
      <w:pPr>
        <w:ind w:firstLine="560"/>
      </w:pPr>
      <w:r>
        <w:rPr>
          <w:rFonts w:hint="eastAsia"/>
        </w:rPr>
        <w:t>（1）施工人员必须认真熟悉设计图纸及质量要求，做好图纸会审工作，施工时必须按设计图纸和会审纪要的内容施工，不得随意更改。</w:t>
      </w:r>
    </w:p>
    <w:p w14:paraId="0C58C386">
      <w:pPr>
        <w:ind w:firstLine="560"/>
      </w:pPr>
      <w:r>
        <w:rPr>
          <w:rFonts w:hint="eastAsia"/>
        </w:rPr>
        <w:t>（2）在编制施工组织设计和施工方案时，必须制定保证工程质量各项技术措施及质量要求等条款。</w:t>
      </w:r>
    </w:p>
    <w:p w14:paraId="4A07ABB5">
      <w:pPr>
        <w:ind w:firstLine="560"/>
      </w:pPr>
      <w:r>
        <w:rPr>
          <w:rFonts w:hint="eastAsia"/>
        </w:rPr>
        <w:t>（3）公司各级技术负责人要逐级负责做好技术交底工作，技术交底记录要写明技术质量标准及保证质量的施工方法和措施。</w:t>
      </w:r>
    </w:p>
    <w:p w14:paraId="71075646">
      <w:pPr>
        <w:ind w:firstLine="560"/>
      </w:pPr>
      <w:r>
        <w:rPr>
          <w:rFonts w:hint="eastAsia"/>
        </w:rPr>
        <w:t>（4）需隐蔽的部位，必须经施工现场技术负责人及质检员会同建设单位和有关部门对进行隐蔽工程验收，并在办理验收签证手续以后，方可隐蔽。</w:t>
      </w:r>
    </w:p>
    <w:p w14:paraId="030DFA3C">
      <w:pPr>
        <w:ind w:firstLine="560"/>
      </w:pPr>
      <w:r>
        <w:rPr>
          <w:rFonts w:hint="eastAsia"/>
        </w:rPr>
        <w:t>（5）对原材料、半成品进场以前，须先取样验收合格后方可进场，成品材料进场必须要有生产厂的出厂合格证书。不合格的成品材料一律不准使用。</w:t>
      </w:r>
    </w:p>
    <w:p w14:paraId="57A6780F">
      <w:pPr>
        <w:ind w:firstLine="560"/>
      </w:pPr>
      <w:r>
        <w:rPr>
          <w:rFonts w:hint="eastAsia"/>
        </w:rPr>
        <w:t>（6）现场配制砼、水泥稳定碎石混合料、砂浆等材料，必须按试验室提供的配合比通知单准确计量，任何人不得套用其它配合比及不计量配制。</w:t>
      </w:r>
    </w:p>
    <w:p w14:paraId="1404979A">
      <w:pPr>
        <w:ind w:firstLine="560"/>
      </w:pPr>
      <w:r>
        <w:rPr>
          <w:rFonts w:hint="eastAsia"/>
        </w:rPr>
        <w:t>（7）所有施工人员必须严格按建设单位根据工程的性质指定的施工规范进行操作和施工。</w:t>
      </w:r>
    </w:p>
    <w:p w14:paraId="17AAB5FF">
      <w:pPr>
        <w:ind w:firstLine="560"/>
      </w:pPr>
      <w:r>
        <w:rPr>
          <w:rFonts w:hint="eastAsia"/>
        </w:rPr>
        <w:t>（8）施工过程中，技术人员要不断收集、整理各类技术资料及各种签证的原始记录。</w:t>
      </w:r>
    </w:p>
    <w:p w14:paraId="02CA3EDB">
      <w:pPr>
        <w:ind w:firstLine="560"/>
      </w:pPr>
      <w:r>
        <w:rPr>
          <w:rFonts w:hint="eastAsia"/>
        </w:rPr>
        <w:t>（9）发生工程质量事故，要及时组织力量进行调查处理，查出原因追究责任，并按规定及时逐级上报，不得拖延或隐瞒不报。</w:t>
      </w:r>
    </w:p>
    <w:p w14:paraId="42E3AFD4">
      <w:pPr>
        <w:ind w:firstLine="560"/>
      </w:pPr>
      <w:r>
        <w:rPr>
          <w:rFonts w:hint="eastAsia"/>
        </w:rPr>
        <w:t>2、工程质量检查</w:t>
      </w:r>
    </w:p>
    <w:p w14:paraId="72C75727">
      <w:pPr>
        <w:ind w:firstLine="560"/>
      </w:pPr>
      <w:r>
        <w:rPr>
          <w:rFonts w:hint="eastAsia"/>
        </w:rPr>
        <w:t>（1）工程质量的评定，严格按照设计、规范的要求进行。</w:t>
      </w:r>
    </w:p>
    <w:p w14:paraId="58B5512A">
      <w:pPr>
        <w:ind w:firstLine="560"/>
      </w:pPr>
      <w:r>
        <w:rPr>
          <w:rFonts w:hint="eastAsia"/>
        </w:rPr>
        <w:t>（2）在施工过程中，及时地对工程质量按设计、规范进行自检和互检，发现问题，及时进行纠正返修。</w:t>
      </w:r>
    </w:p>
    <w:p w14:paraId="39801F16">
      <w:pPr>
        <w:ind w:firstLine="560"/>
      </w:pPr>
      <w:r>
        <w:rPr>
          <w:rFonts w:hint="eastAsia"/>
        </w:rPr>
        <w:t>（3）各分项工程质量评定，经有关人员验收合格签证以后，才允许移交下道工序继续施工，不合格的要返工，并经重验合格后才能继续施工。</w:t>
      </w:r>
    </w:p>
    <w:p w14:paraId="6DF617AA">
      <w:pPr>
        <w:ind w:firstLine="560"/>
      </w:pPr>
      <w:r>
        <w:rPr>
          <w:rFonts w:hint="eastAsia"/>
        </w:rPr>
        <w:t>（4）公司各级质检员，要认真地履行自己的职责，决不允许擅自放宽标准要求和弄虚作假，质检人员要经常深入工地，收集了解公司基层单位承建项目的施工质量情况。</w:t>
      </w:r>
    </w:p>
    <w:p w14:paraId="7E129AFF">
      <w:pPr>
        <w:ind w:firstLine="560"/>
      </w:pPr>
      <w:r>
        <w:rPr>
          <w:rFonts w:hint="eastAsia"/>
        </w:rPr>
        <w:t>3、交工预验收管理</w:t>
      </w:r>
    </w:p>
    <w:p w14:paraId="6DD45D7D">
      <w:pPr>
        <w:ind w:firstLine="560"/>
      </w:pPr>
      <w:r>
        <w:rPr>
          <w:rFonts w:hint="eastAsia"/>
        </w:rPr>
        <w:t>（1）各基层单位承建的工程项目在合同范围内完工以后，由工地技术负责人整理有关原始资料和签证，将整理好的资料报公司工程部，请示进行预验收。</w:t>
      </w:r>
    </w:p>
    <w:p w14:paraId="3BAA8394">
      <w:pPr>
        <w:ind w:firstLine="560"/>
      </w:pPr>
      <w:r>
        <w:rPr>
          <w:rFonts w:hint="eastAsia"/>
        </w:rPr>
        <w:t>（2）公司工程部接到工地报请的预验收文件，应及时地组织工程部及其他有关人员，对申报项目进行全面质量评定，主要验收的内容有：是否按设计图纸规范要求施工、工程的外观质量、各种隐蔽工程的签证、各种原材料、砼试件，砂浆试件的检验报告，合同的履行情况等，发现不符合标准要求的要及时组织力量进行返修，直到预验合格后，方可进行正式的交工验收工作。</w:t>
      </w:r>
    </w:p>
    <w:p w14:paraId="65970112">
      <w:pPr>
        <w:ind w:firstLine="560"/>
      </w:pPr>
      <w:r>
        <w:rPr>
          <w:rFonts w:hint="eastAsia"/>
        </w:rPr>
        <w:t>4、工程交工后质量回访</w:t>
      </w:r>
    </w:p>
    <w:p w14:paraId="0CCDA3D5">
      <w:pPr>
        <w:ind w:firstLine="560"/>
      </w:pPr>
      <w:r>
        <w:rPr>
          <w:rFonts w:hint="eastAsia"/>
        </w:rPr>
        <w:t>（1）工程验收合格，交付使用以后，要在保修期内派出有关人员到使用管理单位进行回访，听取使用单位就工程建筑的不同意见，特别重要且具典型例子的项目，还要进行保修期过后的回访。</w:t>
      </w:r>
    </w:p>
    <w:p w14:paraId="7149C57A">
      <w:pPr>
        <w:ind w:firstLine="560"/>
      </w:pPr>
      <w:r>
        <w:rPr>
          <w:rFonts w:hint="eastAsia"/>
        </w:rPr>
        <w:t>（2）根据回访结果，在保修期内因施工原因造成质量问题，施工单位要实行无偿的维修制度，并填写好工程“回访保修单”由甲方签证认可，“回访保修单”要报公司经营部存档，以便做好施工项目的信息反馈工作。</w:t>
      </w:r>
    </w:p>
    <w:p w14:paraId="19266FFF">
      <w:pPr>
        <w:ind w:firstLine="560"/>
      </w:pPr>
      <w:r>
        <w:rPr>
          <w:rFonts w:hint="eastAsia"/>
        </w:rPr>
        <w:t>5、质量工作会议制度</w:t>
      </w:r>
    </w:p>
    <w:p w14:paraId="3621965C">
      <w:pPr>
        <w:ind w:firstLine="560"/>
      </w:pPr>
      <w:r>
        <w:rPr>
          <w:rFonts w:hint="eastAsia"/>
        </w:rPr>
        <w:t>（1）公司每月召开1～3次质量工作会议，由总工程师和有关职能科室主持，会议主要内容包括传达上级有关质量管理工作的文件以及法规、法令，总结当时施工质量工作中的经验和存在的问题，分析近来建筑业质量动态，提出下一步质量工作中具体要求和努力方向。</w:t>
      </w:r>
    </w:p>
    <w:p w14:paraId="56BB8F14">
      <w:pPr>
        <w:ind w:firstLine="560"/>
      </w:pPr>
      <w:r>
        <w:rPr>
          <w:rFonts w:hint="eastAsia"/>
        </w:rPr>
        <w:t>（2）各施工单位可根据施工情况定期或不定期地召开现场质量工作会议。</w:t>
      </w:r>
    </w:p>
    <w:p w14:paraId="3086E448">
      <w:pPr>
        <w:ind w:firstLine="560"/>
      </w:pPr>
      <w:r>
        <w:rPr>
          <w:rFonts w:hint="eastAsia"/>
        </w:rPr>
        <w:t>（3）总公司定期召开施工单位质检员会议，及时传达上级有关指示精神，收集各单位质量工作情况，协调各协作单位之间矛盾，做到互通情报，形成一个质量信息网络。</w:t>
      </w:r>
    </w:p>
    <w:p w14:paraId="2D0F56F4">
      <w:pPr>
        <w:ind w:firstLine="560"/>
      </w:pPr>
      <w:r>
        <w:rPr>
          <w:rFonts w:hint="eastAsia"/>
        </w:rPr>
        <w:t>6、材料采购及试验</w:t>
      </w:r>
    </w:p>
    <w:p w14:paraId="5DEE6BBB">
      <w:pPr>
        <w:ind w:firstLine="560"/>
      </w:pPr>
      <w:r>
        <w:rPr>
          <w:rFonts w:hint="eastAsia"/>
        </w:rPr>
        <w:t>（1）各种材料和辅助材料，以及构件、半成品的质量好坏直接影响建筑工程质量，因此，在采购材料时，必须有产品合格证的原材料；进场前要进行检查验收和必要的取样试验，不得以任何借口采购残次原材料。</w:t>
      </w:r>
    </w:p>
    <w:p w14:paraId="3AB71E15">
      <w:pPr>
        <w:ind w:firstLine="560"/>
      </w:pPr>
      <w:r>
        <w:rPr>
          <w:rFonts w:hint="eastAsia"/>
        </w:rPr>
        <w:t>（2）材料试验是保证工程质量的现代化检测手段，所有配合比及试验报告的数据，必须准确真实可靠。</w:t>
      </w:r>
    </w:p>
    <w:p w14:paraId="667BE547">
      <w:pPr>
        <w:ind w:firstLine="560"/>
      </w:pPr>
      <w:r>
        <w:rPr>
          <w:rFonts w:hint="eastAsia"/>
        </w:rPr>
        <w:t>（3）试验室按有关部门要求进行试验，发现有不合格的原材料及砼、砂浆试块应立即向经营工程部等有领导汇报，并及时通知公司基层单位，以便采取相应的技术措施确保工程质量。</w:t>
      </w:r>
    </w:p>
    <w:p w14:paraId="1A3B786F">
      <w:pPr>
        <w:ind w:firstLine="560"/>
      </w:pPr>
      <w:r>
        <w:rPr>
          <w:rFonts w:hint="eastAsia"/>
        </w:rPr>
        <w:t>（4）计量员要定期对材料试验、质量检测的使用计量器具和仪表进行检验，不达标准的计量器具应该封存，不准使用，以确保试验，施工质量检测本身的质量。</w:t>
      </w:r>
    </w:p>
    <w:p w14:paraId="2CA9F5AA">
      <w:pPr>
        <w:ind w:firstLine="560"/>
      </w:pPr>
      <w:r>
        <w:rPr>
          <w:rFonts w:hint="eastAsia"/>
        </w:rPr>
        <w:t>7、工程质量奖罚</w:t>
      </w:r>
    </w:p>
    <w:p w14:paraId="65594968">
      <w:pPr>
        <w:ind w:firstLine="560"/>
      </w:pPr>
      <w:r>
        <w:rPr>
          <w:rFonts w:hint="eastAsia"/>
        </w:rPr>
        <w:t>根据公司《质量工作实施细则》，奖罚措施如下：</w:t>
      </w:r>
    </w:p>
    <w:p w14:paraId="42F6E476">
      <w:pPr>
        <w:ind w:firstLine="560"/>
      </w:pPr>
      <w:r>
        <w:rPr>
          <w:rFonts w:hint="eastAsia"/>
        </w:rPr>
        <w:t>（1）凡获市级优质工程的，奖工程总造价的1%。</w:t>
      </w:r>
    </w:p>
    <w:p w14:paraId="7ABF9199">
      <w:pPr>
        <w:ind w:firstLine="560"/>
      </w:pPr>
      <w:r>
        <w:rPr>
          <w:rFonts w:hint="eastAsia"/>
        </w:rPr>
        <w:t>（2）凡获省级优质工程的，奖工程总造价的2%。</w:t>
      </w:r>
    </w:p>
    <w:p w14:paraId="73B40A30">
      <w:pPr>
        <w:ind w:firstLine="560"/>
      </w:pPr>
      <w:r>
        <w:rPr>
          <w:rFonts w:hint="eastAsia"/>
        </w:rPr>
        <w:t>（3）凡获国家级优质工程的，奖工程总造价的3%。</w:t>
      </w:r>
    </w:p>
    <w:p w14:paraId="4A3B9070">
      <w:pPr>
        <w:ind w:firstLine="560"/>
      </w:pPr>
      <w:r>
        <w:rPr>
          <w:rFonts w:hint="eastAsia"/>
        </w:rPr>
        <w:t>（4）凡勿视施工质量，造成质量事故，使单位蒙受较大经济损失的，由承担施工任务的赔偿一切损失，对当事者除给予行政处分外，还处予工程损失金额5~30%的罚款。</w:t>
      </w:r>
    </w:p>
    <w:p w14:paraId="1E96AAF5">
      <w:pPr>
        <w:ind w:firstLine="560"/>
      </w:pPr>
      <w:r>
        <w:rPr>
          <w:rFonts w:hint="eastAsia"/>
        </w:rPr>
        <w:t>凡发生特别重大的质量事故，或者造成人身伤亡的，要追究事故责任者及领导人的刑事责任。</w:t>
      </w:r>
    </w:p>
    <w:p w14:paraId="2F8EE807">
      <w:pPr>
        <w:ind w:firstLine="560"/>
      </w:pPr>
      <w:r>
        <w:rPr>
          <w:rFonts w:hint="eastAsia"/>
        </w:rPr>
        <w:t>8、资料整理工作</w:t>
      </w:r>
    </w:p>
    <w:p w14:paraId="7978CB13">
      <w:pPr>
        <w:ind w:firstLine="560"/>
      </w:pPr>
      <w:r>
        <w:rPr>
          <w:rFonts w:hint="eastAsia"/>
        </w:rPr>
        <w:t>准确、完整地收集和整理工程施工管理资料是建立城市建设档案的需要，是为本市今后分析建设提供详实准确的基础设施资料地需要，是工程竣工验收的重要组成部分，在本工程中，各项资料要按国家颁布的标准进行填写、整理，做好各项资料。自检资料必须认真、仔细地填写，并提交监理审核。验收前，在24小时内提供相应工作的准确、完备的技术资料和检测数据。让甲方人员能及时验收、签字认可，对甲方发下的各项通知、纪要原件由公司统一保存，并不得外借。将复印件及时下发到各级管理人员手中，对甲方的一些口头通知、要求，应现场做好记录，并在24小时内形成书面文件报请甲方签字认可，原件交一份给甲方，公司自存一份。</w:t>
      </w:r>
    </w:p>
    <w:p w14:paraId="0084E309">
      <w:pPr>
        <w:ind w:firstLine="560"/>
      </w:pPr>
      <w:r>
        <w:rPr>
          <w:rFonts w:hint="eastAsia"/>
        </w:rPr>
        <w:t>对甲方提出由我方供给的资料，原则上在48小时内提供给甲方，暂时无法提供的，经甲方同意后按协定的日期提供。工程完工后，所有资料按国家地求或甲方要求进行整理、编排，做到数据准确、资料完整，以保证工程的及时交付验收，投入使用。</w:t>
      </w:r>
    </w:p>
    <w:p w14:paraId="524B1EE9">
      <w:pPr>
        <w:pStyle w:val="5"/>
        <w:spacing w:before="31" w:after="31"/>
        <w:ind w:firstLine="562"/>
      </w:pPr>
      <w:bookmarkStart w:id="6234" w:name="_Toc21612"/>
      <w:bookmarkStart w:id="6235" w:name="_Toc16633"/>
      <w:bookmarkStart w:id="6236" w:name="_Toc10882"/>
      <w:bookmarkStart w:id="6237" w:name="_Toc1620"/>
      <w:bookmarkStart w:id="6238" w:name="_Toc658"/>
      <w:bookmarkStart w:id="6239" w:name="_Toc26979"/>
      <w:bookmarkStart w:id="6240" w:name="_Toc28988"/>
      <w:bookmarkStart w:id="6241" w:name="_Toc30651"/>
      <w:bookmarkStart w:id="6242" w:name="_Toc28983"/>
      <w:bookmarkStart w:id="6243" w:name="_Toc3620"/>
      <w:bookmarkStart w:id="6244" w:name="_Toc17602"/>
      <w:bookmarkStart w:id="6245" w:name="_Toc20800"/>
      <w:bookmarkStart w:id="6246" w:name="_Toc25945"/>
      <w:bookmarkStart w:id="6247" w:name="_Toc1187"/>
      <w:bookmarkStart w:id="6248" w:name="_Toc9749"/>
      <w:bookmarkStart w:id="6249" w:name="_Toc16579"/>
      <w:bookmarkStart w:id="6250" w:name="_Toc32150"/>
      <w:bookmarkStart w:id="6251" w:name="_Toc21771"/>
      <w:bookmarkStart w:id="6252" w:name="_Toc32269"/>
      <w:bookmarkStart w:id="6253" w:name="_Toc11147"/>
      <w:bookmarkStart w:id="6254" w:name="_Toc20862"/>
      <w:bookmarkStart w:id="6255" w:name="_Toc20477"/>
      <w:bookmarkStart w:id="6256" w:name="_Toc4145"/>
      <w:bookmarkStart w:id="6257" w:name="_Toc24830"/>
      <w:r>
        <w:rPr>
          <w:rFonts w:hint="eastAsia"/>
        </w:rPr>
        <w:t>（三）强化质量意识，建立健全规章制度</w:t>
      </w:r>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p>
    <w:p w14:paraId="4FB50910">
      <w:pPr>
        <w:ind w:firstLine="560"/>
      </w:pPr>
      <w:r>
        <w:rPr>
          <w:rFonts w:hint="eastAsia"/>
        </w:rPr>
        <w:t>牢固树立“质量关系千万家，搞好质量人人抓”、“百年大计，质量第一”的观念，使职工认识到质量工作的好坏与企业、个人利益的关系，把质量工作贯穿到施工全过程中，深入到企业的每一个人，形成各道工序齐抓共管、上下自律，使工程质量始终处于受控制状态。使各项工程质量管理工作落到实处，加强全面质量管理，实行项目分解及目标管理，对重大技术问题组织QC小组攻关，科学指导施工。推广新技术、新工艺、新材料。</w:t>
      </w:r>
    </w:p>
    <w:p w14:paraId="4FB84BDE">
      <w:pPr>
        <w:ind w:firstLine="560"/>
      </w:pPr>
      <w:r>
        <w:rPr>
          <w:rFonts w:hint="eastAsia"/>
        </w:rPr>
        <w:t>1、建立施工组织设计审批制度</w:t>
      </w:r>
    </w:p>
    <w:p w14:paraId="0C723454">
      <w:pPr>
        <w:ind w:firstLine="560"/>
      </w:pPr>
      <w:r>
        <w:rPr>
          <w:rFonts w:hint="eastAsia"/>
        </w:rPr>
        <w:t>(1)施工组织设计必须有项目经理、总工程师、安全负责人、材料负责人、监理工程师等的审签。</w:t>
      </w:r>
    </w:p>
    <w:p w14:paraId="32B8DF6D">
      <w:pPr>
        <w:ind w:firstLine="560"/>
      </w:pPr>
      <w:r>
        <w:rPr>
          <w:rFonts w:hint="eastAsia"/>
        </w:rPr>
        <w:t>(2)施工组织设计必须在工程实施前15天由工程部主任工程师审核后报总工程师审查后报监理工程师审批。</w:t>
      </w:r>
    </w:p>
    <w:p w14:paraId="46A9DCDC">
      <w:pPr>
        <w:ind w:firstLine="560"/>
      </w:pPr>
      <w:r>
        <w:rPr>
          <w:rFonts w:hint="eastAsia"/>
        </w:rPr>
        <w:t>(3)施工组织设计必须经各级审查并经监理工程师审批后，并且按审批意见进行修改完善，方可进行施工。</w:t>
      </w:r>
    </w:p>
    <w:p w14:paraId="1F1D3E32">
      <w:pPr>
        <w:ind w:firstLine="560"/>
      </w:pPr>
      <w:r>
        <w:rPr>
          <w:rFonts w:hint="eastAsia"/>
        </w:rPr>
        <w:t>2、技术复核、隐蔽工程验收制度</w:t>
      </w:r>
    </w:p>
    <w:p w14:paraId="023DCCA0">
      <w:pPr>
        <w:ind w:firstLine="560"/>
      </w:pPr>
      <w:r>
        <w:rPr>
          <w:rFonts w:hint="eastAsia"/>
        </w:rPr>
        <w:t>技术复核应在施工组织设计中编制技术复核计划，明确复核内容、部位、复核人员及复核方法。</w:t>
      </w:r>
    </w:p>
    <w:p w14:paraId="1AD68420">
      <w:pPr>
        <w:ind w:firstLine="560"/>
      </w:pPr>
      <w:r>
        <w:rPr>
          <w:rFonts w:hint="eastAsia"/>
        </w:rPr>
        <w:t>3、技术、质量的交底工作是施工过程基础管理中一项不可缺少的重要工作内容，交底必须采用书面签证确认形式。具体可分为以下几方面：</w:t>
      </w:r>
    </w:p>
    <w:p w14:paraId="0B4B08AE">
      <w:pPr>
        <w:ind w:firstLine="560"/>
      </w:pPr>
      <w:r>
        <w:rPr>
          <w:rFonts w:hint="eastAsia"/>
        </w:rPr>
        <w:t>(1)项目经理必须组织项目经理部全体人员对图纸进行认真学习，并同设计代表联系进行设计交底。</w:t>
      </w:r>
    </w:p>
    <w:p w14:paraId="3B70DF5E">
      <w:pPr>
        <w:ind w:firstLine="560"/>
      </w:pPr>
      <w:r>
        <w:rPr>
          <w:rFonts w:hint="eastAsia"/>
        </w:rPr>
        <w:t>(2)施工组织设计编制完毕并送业主和总监理审批确认后，由项目经理牵头，总工程师组织全体人员认真学习施工方案，并进行技术、质量、安全书面交底，列出关键分部分项工程和施工要点。</w:t>
      </w:r>
    </w:p>
    <w:p w14:paraId="379E90B9">
      <w:pPr>
        <w:ind w:firstLine="560"/>
      </w:pPr>
      <w:r>
        <w:rPr>
          <w:rFonts w:hint="eastAsia"/>
        </w:rPr>
        <w:t>(3)本着谁负责施工谁负责质量、安全工作的原则，各分管分项工程负责人在安排施工任务时，必须对施工班组进行书面技术质量、安全交底，必须做到交底不明确不上岗，不签证不上岗。</w:t>
      </w:r>
    </w:p>
    <w:p w14:paraId="535D6A2C">
      <w:pPr>
        <w:ind w:firstLine="560"/>
      </w:pPr>
      <w:r>
        <w:rPr>
          <w:rFonts w:hint="eastAsia"/>
        </w:rPr>
        <w:t>4、二级验收及分部分项质量评定制度</w:t>
      </w:r>
    </w:p>
    <w:p w14:paraId="61EC5F9F">
      <w:pPr>
        <w:ind w:firstLine="560"/>
      </w:pPr>
      <w:r>
        <w:rPr>
          <w:rFonts w:hint="eastAsia"/>
        </w:rPr>
        <w:t>(1)分项工程施工过程中，各分管负责人必须督促施工班组做好自检工作，当天问题当天整改完毕。</w:t>
      </w:r>
    </w:p>
    <w:p w14:paraId="0501C260">
      <w:pPr>
        <w:ind w:firstLine="560"/>
      </w:pPr>
      <w:r>
        <w:rPr>
          <w:rFonts w:hint="eastAsia"/>
        </w:rPr>
        <w:t>(2)分项工程施工完毕后，各分管负责人必须及时组织班组进行分项工程质量评定工作，并填写分项工程质量评定表交项目施工队长确认，最终评定由项目经理部的质检部专职质量员检定后报监工程师签认。</w:t>
      </w:r>
    </w:p>
    <w:p w14:paraId="6234BA04">
      <w:pPr>
        <w:ind w:firstLine="560"/>
      </w:pPr>
      <w:r>
        <w:rPr>
          <w:rFonts w:hint="eastAsia"/>
        </w:rPr>
        <w:t>(3)质检部对每个项目进行不定期抽样检查，发现问题以书面形式发出定期整改指令单，项目施工队负责在指定期限内将整改情况以书面形式交到质检部。</w:t>
      </w:r>
    </w:p>
    <w:p w14:paraId="3F1B43E9">
      <w:pPr>
        <w:ind w:firstLine="560"/>
      </w:pPr>
      <w:r>
        <w:rPr>
          <w:rFonts w:hint="eastAsia"/>
        </w:rPr>
        <w:t>5、现场材料质量管理</w:t>
      </w:r>
    </w:p>
    <w:p w14:paraId="41D72912">
      <w:pPr>
        <w:ind w:firstLine="560"/>
      </w:pPr>
      <w:r>
        <w:rPr>
          <w:rFonts w:hint="eastAsia"/>
        </w:rPr>
        <w:t>(1)严格控制外加工、采购材料的质量。</w:t>
      </w:r>
    </w:p>
    <w:p w14:paraId="2FD185D6">
      <w:pPr>
        <w:ind w:firstLine="560"/>
      </w:pPr>
      <w:r>
        <w:rPr>
          <w:rFonts w:hint="eastAsia"/>
        </w:rPr>
        <w:t>各种地方材料、外购材料到现场后，必须由质检部、材料部、试验室有关人员进行抽样检查，发现问题立即与供货商联系，直到退货，确保材质。</w:t>
      </w:r>
    </w:p>
    <w:p w14:paraId="20C4EB50">
      <w:pPr>
        <w:ind w:firstLine="560"/>
      </w:pPr>
      <w:r>
        <w:rPr>
          <w:rFonts w:hint="eastAsia"/>
        </w:rPr>
        <w:t>(2)搞好原材料二次复试取样、送样工作。</w:t>
      </w:r>
    </w:p>
    <w:p w14:paraId="39BAC6BC">
      <w:pPr>
        <w:ind w:firstLine="560"/>
      </w:pPr>
      <w:r>
        <w:rPr>
          <w:rFonts w:hint="eastAsia"/>
        </w:rPr>
        <w:t>(3)水泥钢材必须取样进行抽样物理试验：有效期超过三个月的水泥必须重新取样进行物理试验，合格后方可使用。</w:t>
      </w:r>
    </w:p>
    <w:p w14:paraId="38257591">
      <w:pPr>
        <w:ind w:firstLine="560"/>
      </w:pPr>
      <w:r>
        <w:rPr>
          <w:rFonts w:hint="eastAsia"/>
        </w:rPr>
        <w:t>6、工程质量奖罚制度</w:t>
      </w:r>
    </w:p>
    <w:p w14:paraId="3917914A">
      <w:pPr>
        <w:ind w:firstLine="560"/>
      </w:pPr>
      <w:r>
        <w:rPr>
          <w:rFonts w:hint="eastAsia"/>
        </w:rPr>
        <w:t>(1)遵循“谁施工、谁负责”的原则，对各项目施工队、班组进行全面质量管理和追踪管理。</w:t>
      </w:r>
    </w:p>
    <w:p w14:paraId="279D4135">
      <w:pPr>
        <w:ind w:firstLine="560"/>
      </w:pPr>
      <w:r>
        <w:rPr>
          <w:rFonts w:hint="eastAsia"/>
        </w:rPr>
        <w:t>(2)凡各项目施工队、班组在施工过程中违反操作规程，不按图施工，屡教不改或发生了质量问题，项目经理部有权对其进行处罚，处罚形式从整改停工、罚款直至逐出施工现场、赔偿损失。</w:t>
      </w:r>
    </w:p>
    <w:p w14:paraId="53F703F1">
      <w:pPr>
        <w:ind w:firstLine="560"/>
      </w:pPr>
      <w:r>
        <w:rPr>
          <w:rFonts w:hint="eastAsia"/>
        </w:rPr>
        <w:t>(3)凡各项目施工队、班组在施工过程中，按图施工，质量优良，经验收质量达到优良的，项目经理部对其进行奖励，奖励形式为表扬、表彰、奖金。</w:t>
      </w:r>
    </w:p>
    <w:p w14:paraId="2173988C">
      <w:pPr>
        <w:ind w:firstLine="560"/>
      </w:pPr>
      <w:r>
        <w:rPr>
          <w:rFonts w:hint="eastAsia"/>
        </w:rPr>
        <w:t>(4)项目经理部在实施奖罚时，以平常检查、抽查、业主大检查、监理工程师评价等形式作为依据。</w:t>
      </w:r>
    </w:p>
    <w:p w14:paraId="5F9B07C7">
      <w:pPr>
        <w:ind w:firstLine="560"/>
      </w:pPr>
      <w:r>
        <w:rPr>
          <w:rFonts w:hint="eastAsia"/>
        </w:rPr>
        <w:t>7、工程质量标准及承诺保证</w:t>
      </w:r>
    </w:p>
    <w:p w14:paraId="6F36D0F9">
      <w:pPr>
        <w:ind w:firstLine="560"/>
      </w:pPr>
      <w:r>
        <w:rPr>
          <w:rFonts w:hint="eastAsia"/>
        </w:rPr>
        <w:t>（1）工程质量标准</w:t>
      </w:r>
    </w:p>
    <w:p w14:paraId="5E0E09DF">
      <w:pPr>
        <w:ind w:firstLine="562"/>
        <w:rPr>
          <w:b/>
          <w:bCs/>
        </w:rPr>
      </w:pPr>
      <w:r>
        <w:rPr>
          <w:rFonts w:hint="eastAsia"/>
          <w:b/>
          <w:bCs/>
        </w:rPr>
        <w:t>质量标准：合格</w:t>
      </w:r>
    </w:p>
    <w:p w14:paraId="78DAD8AE">
      <w:pPr>
        <w:ind w:firstLine="560"/>
      </w:pPr>
      <w:r>
        <w:rPr>
          <w:rFonts w:hint="eastAsia"/>
        </w:rPr>
        <w:t>（2）工程质量的承诺保证</w:t>
      </w:r>
    </w:p>
    <w:p w14:paraId="1715A59B">
      <w:pPr>
        <w:ind w:firstLine="560"/>
      </w:pPr>
      <w:r>
        <w:rPr>
          <w:rFonts w:hint="eastAsia"/>
        </w:rPr>
        <w:t>我公司郑重承诺，将依照施工合同对本次施工范围内的质量承担责任，承诺内容如下：</w:t>
      </w:r>
    </w:p>
    <w:p w14:paraId="6B48754B">
      <w:pPr>
        <w:ind w:firstLine="560"/>
      </w:pPr>
      <w:r>
        <w:rPr>
          <w:rFonts w:hint="eastAsia"/>
        </w:rPr>
        <w:t>1）严格遵守国家建筑法律、法规和基本建设程序，按照国家规范、行业标准和地方性规定进行施工。</w:t>
      </w:r>
    </w:p>
    <w:p w14:paraId="05FAB79B">
      <w:pPr>
        <w:ind w:firstLine="560"/>
      </w:pPr>
      <w:r>
        <w:rPr>
          <w:rFonts w:hint="eastAsia"/>
        </w:rPr>
        <w:t>2）建立质量保证体系，积极贯彻落实质量责任制，对建筑工程的施工质量负总责。</w:t>
      </w:r>
    </w:p>
    <w:p w14:paraId="6DCBD9A9">
      <w:pPr>
        <w:ind w:firstLine="560"/>
      </w:pPr>
      <w:r>
        <w:rPr>
          <w:rFonts w:hint="eastAsia"/>
        </w:rPr>
        <w:t>3）按照工程设计图纸和施工技术标准施工，不擅自修改工程设计，不偷工减料。在施工过程中发现设计文件和图纸有差错的，及时提出意见和建议。</w:t>
      </w:r>
    </w:p>
    <w:p w14:paraId="0EB42855">
      <w:pPr>
        <w:ind w:firstLine="560"/>
      </w:pPr>
      <w:r>
        <w:rPr>
          <w:rFonts w:hint="eastAsia"/>
        </w:rPr>
        <w:t>4）按照工程设计要求、施工技术标准和合同约定，对各种材料、以及构配件、设备和商品混凝土进行检验；未经检验或检验不合格的，不使用。</w:t>
      </w:r>
    </w:p>
    <w:p w14:paraId="6E566F56">
      <w:pPr>
        <w:ind w:firstLine="560"/>
      </w:pPr>
      <w:r>
        <w:rPr>
          <w:rFonts w:hint="eastAsia"/>
        </w:rPr>
        <w:t>5）建立、健全施工质量的检验制度，严格工序管理，做好隐蔽工程的质量检查和记录。</w:t>
      </w:r>
    </w:p>
    <w:p w14:paraId="5EDF8735">
      <w:pPr>
        <w:ind w:firstLine="560"/>
      </w:pPr>
      <w:r>
        <w:rPr>
          <w:rFonts w:hint="eastAsia"/>
        </w:rPr>
        <w:t>6）建立、健全教育培训制度，加强对职工的教育培训；未经教育培训或者考核不合格的人员，不上岗作业。</w:t>
      </w:r>
    </w:p>
    <w:p w14:paraId="2047E843">
      <w:pPr>
        <w:ind w:firstLine="560"/>
      </w:pPr>
      <w:r>
        <w:rPr>
          <w:rFonts w:hint="eastAsia"/>
        </w:rPr>
        <w:t>7）依法履行建筑工程质量保修义务。</w:t>
      </w:r>
    </w:p>
    <w:p w14:paraId="64FAAEC0">
      <w:pPr>
        <w:ind w:firstLine="560"/>
      </w:pPr>
      <w:r>
        <w:rPr>
          <w:rFonts w:hint="eastAsia"/>
        </w:rPr>
        <w:t>（3）创精品工程的措施</w:t>
      </w:r>
    </w:p>
    <w:p w14:paraId="3D80A217">
      <w:pPr>
        <w:ind w:firstLine="560"/>
      </w:pPr>
      <w:r>
        <w:rPr>
          <w:rFonts w:hint="eastAsia"/>
        </w:rPr>
        <w:t>1）目标分解策划</w:t>
      </w:r>
    </w:p>
    <w:p w14:paraId="3D4A42E3">
      <w:pPr>
        <w:ind w:firstLine="560"/>
      </w:pPr>
      <w:r>
        <w:rPr>
          <w:rFonts w:hint="eastAsia"/>
        </w:rPr>
        <w:t>针对工程的具体特点和总体工程质量目标，项目部进行了质量目标分解，划分了阶段性质量目标及各分部分项质量目标。同时针对每个分项，按照“过程精品”的要求，编制相应的质量控制措施和实施方案，尤其是制订有针对性的分项施工组织设计和施工方案、新技术推广应用等。</w:t>
      </w:r>
    </w:p>
    <w:p w14:paraId="2E7DBBEB">
      <w:pPr>
        <w:ind w:firstLine="560"/>
      </w:pPr>
      <w:r>
        <w:rPr>
          <w:rFonts w:hint="eastAsia"/>
        </w:rPr>
        <w:t>2）实施“过程精品”控制</w:t>
      </w:r>
    </w:p>
    <w:p w14:paraId="077F104E">
      <w:pPr>
        <w:pStyle w:val="5"/>
        <w:spacing w:before="31" w:after="31"/>
        <w:ind w:firstLine="562"/>
      </w:pPr>
      <w:bookmarkStart w:id="6258" w:name="_Toc27620"/>
      <w:bookmarkStart w:id="6259" w:name="_Toc24242"/>
      <w:bookmarkStart w:id="6260" w:name="_Toc20812"/>
      <w:bookmarkStart w:id="6261" w:name="_Toc7342"/>
      <w:bookmarkStart w:id="6262" w:name="_Toc30225"/>
      <w:bookmarkStart w:id="6263" w:name="_Toc19548"/>
      <w:bookmarkStart w:id="6264" w:name="_Toc276"/>
      <w:bookmarkStart w:id="6265" w:name="_Toc19895"/>
      <w:bookmarkStart w:id="6266" w:name="_Toc21661"/>
      <w:bookmarkStart w:id="6267" w:name="_Toc5017"/>
      <w:bookmarkStart w:id="6268" w:name="_Toc25768"/>
      <w:bookmarkStart w:id="6269" w:name="_Toc6698"/>
      <w:bookmarkStart w:id="6270" w:name="_Toc14313"/>
      <w:bookmarkStart w:id="6271" w:name="_Toc10793"/>
      <w:bookmarkStart w:id="6272" w:name="_Toc21487"/>
      <w:bookmarkStart w:id="6273" w:name="_Toc1545"/>
      <w:bookmarkStart w:id="6274" w:name="_Toc29356"/>
      <w:bookmarkStart w:id="6275" w:name="_Toc21078"/>
      <w:bookmarkStart w:id="6276" w:name="_Toc1757"/>
      <w:bookmarkStart w:id="6277" w:name="_Toc942"/>
      <w:bookmarkStart w:id="6278" w:name="_Toc21166"/>
      <w:bookmarkStart w:id="6279" w:name="_Toc28793"/>
      <w:bookmarkStart w:id="6280" w:name="_Toc11933"/>
      <w:r>
        <w:rPr>
          <w:rFonts w:hint="eastAsia"/>
        </w:rPr>
        <w:t>（四）工程回访</w:t>
      </w:r>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p>
    <w:p w14:paraId="68B80F84">
      <w:pPr>
        <w:ind w:firstLine="560"/>
      </w:pPr>
      <w:r>
        <w:rPr>
          <w:rFonts w:hint="eastAsia"/>
        </w:rPr>
        <w:t>1、回访程序</w:t>
      </w:r>
    </w:p>
    <w:p w14:paraId="38DBF976">
      <w:pPr>
        <w:ind w:firstLine="560"/>
      </w:pPr>
      <w:r>
        <w:rPr>
          <w:rFonts w:hint="eastAsia"/>
        </w:rPr>
        <w:t>（1）定期回访：在工程保修期，自交付使用起至一年内每三个月回访一次，以后每隔半年进行季节性的回访，雨季了解渗漏情况，冬季了解采暖系统运转。</w:t>
      </w:r>
    </w:p>
    <w:p w14:paraId="43970DA1">
      <w:pPr>
        <w:ind w:firstLine="560"/>
      </w:pPr>
      <w:r>
        <w:rPr>
          <w:rFonts w:hint="eastAsia"/>
        </w:rPr>
        <w:t>（2）不定期回访：对采用的新材料，新技术、新工艺、新设备的使用效果进行回访。</w:t>
      </w:r>
    </w:p>
    <w:p w14:paraId="571A00D0">
      <w:pPr>
        <w:ind w:firstLine="560"/>
      </w:pPr>
      <w:r>
        <w:rPr>
          <w:rFonts w:hint="eastAsia"/>
        </w:rPr>
        <w:t>（3）工程交付使用后即建立本工程的回访记录卡，根据情况安排回访计划，确定回访日期。</w:t>
      </w:r>
    </w:p>
    <w:p w14:paraId="70B0C20B">
      <w:pPr>
        <w:ind w:firstLine="560"/>
      </w:pPr>
      <w:r>
        <w:rPr>
          <w:rFonts w:hint="eastAsia"/>
        </w:rPr>
        <w:t>2、回访组织</w:t>
      </w:r>
    </w:p>
    <w:p w14:paraId="170A7008">
      <w:pPr>
        <w:ind w:firstLine="560"/>
      </w:pPr>
      <w:r>
        <w:rPr>
          <w:rFonts w:hint="eastAsia"/>
        </w:rPr>
        <w:t>公司有专门的工程质量回访小组，回访小组成员由具有丰富工程经验的质量检查员组成。</w:t>
      </w:r>
    </w:p>
    <w:p w14:paraId="18F615B9">
      <w:pPr>
        <w:ind w:firstLine="560"/>
      </w:pPr>
      <w:r>
        <w:rPr>
          <w:rFonts w:hint="eastAsia"/>
        </w:rPr>
        <w:t>在回访中，了解住户对工程质量的满意程度，对业主提出的任何质量隐患和意见认真对待，做好回访记录，热心为业主提出解决办法。并将问题及时反馈给保修小组，由其进一步分析原因，制定纠正措施及对策，达到用户满意，并且对类似质量问题制定预防措施。</w:t>
      </w:r>
    </w:p>
    <w:p w14:paraId="3C699D18">
      <w:pPr>
        <w:pStyle w:val="5"/>
        <w:spacing w:before="31" w:after="31"/>
        <w:ind w:firstLine="562"/>
      </w:pPr>
      <w:bookmarkStart w:id="6281" w:name="_Toc15897"/>
      <w:bookmarkStart w:id="6282" w:name="_Toc12286"/>
      <w:bookmarkStart w:id="6283" w:name="_Toc21647"/>
      <w:bookmarkStart w:id="6284" w:name="_Toc19867"/>
      <w:bookmarkStart w:id="6285" w:name="_Toc3654"/>
      <w:bookmarkStart w:id="6286" w:name="_Toc31897"/>
      <w:bookmarkStart w:id="6287" w:name="_Toc32718"/>
      <w:bookmarkStart w:id="6288" w:name="_Toc2452"/>
      <w:bookmarkStart w:id="6289" w:name="_Toc27757"/>
      <w:bookmarkStart w:id="6290" w:name="_Toc11760"/>
      <w:bookmarkStart w:id="6291" w:name="_Toc28524"/>
      <w:bookmarkStart w:id="6292" w:name="_Toc15552"/>
      <w:bookmarkStart w:id="6293" w:name="_Toc8574"/>
      <w:bookmarkStart w:id="6294" w:name="_Toc24278"/>
      <w:bookmarkStart w:id="6295" w:name="_Toc5766"/>
      <w:bookmarkStart w:id="6296" w:name="_Toc19857"/>
      <w:bookmarkStart w:id="6297" w:name="_Toc17871"/>
      <w:bookmarkStart w:id="6298" w:name="_Toc11702"/>
      <w:bookmarkStart w:id="6299" w:name="_Toc11518"/>
      <w:bookmarkStart w:id="6300" w:name="_Toc9700"/>
      <w:bookmarkStart w:id="6301" w:name="_Toc9641"/>
      <w:bookmarkStart w:id="6302" w:name="_Toc23685"/>
      <w:bookmarkStart w:id="6303" w:name="_Toc17427"/>
      <w:bookmarkStart w:id="6304" w:name="_Toc5046"/>
      <w:bookmarkStart w:id="6305" w:name="_Toc32106"/>
      <w:r>
        <w:rPr>
          <w:rFonts w:hint="eastAsia"/>
        </w:rPr>
        <w:t>（五）质量创优措施</w:t>
      </w:r>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p>
    <w:p w14:paraId="5E9B81D8">
      <w:pPr>
        <w:ind w:firstLine="560"/>
      </w:pPr>
      <w:r>
        <w:rPr>
          <w:rFonts w:hint="eastAsia"/>
        </w:rPr>
        <w:t>工程质量创优措施</w:t>
      </w:r>
    </w:p>
    <w:p w14:paraId="34DCE952">
      <w:pPr>
        <w:ind w:firstLine="560"/>
      </w:pPr>
      <w:r>
        <w:t>1</w:t>
      </w:r>
      <w:r>
        <w:rPr>
          <w:rFonts w:hint="eastAsia"/>
        </w:rPr>
        <w:t>、建立过程控制的有效制度</w:t>
      </w:r>
    </w:p>
    <w:p w14:paraId="2BADCBEA">
      <w:pPr>
        <w:ind w:firstLine="560"/>
      </w:pPr>
      <w:r>
        <w:t>1.1</w:t>
      </w:r>
      <w:r>
        <w:rPr>
          <w:rFonts w:hint="eastAsia"/>
        </w:rPr>
        <w:t>建立质量责任制</w:t>
      </w:r>
    </w:p>
    <w:p w14:paraId="40DB2A2D">
      <w:pPr>
        <w:ind w:firstLine="560"/>
      </w:pPr>
      <w:r>
        <w:rPr>
          <w:rFonts w:hint="eastAsia"/>
        </w:rPr>
        <w:t>项目部主要质量部门的主要责任如下：</w:t>
      </w:r>
    </w:p>
    <w:p w14:paraId="3D8946BE">
      <w:pPr>
        <w:ind w:firstLine="560"/>
      </w:pPr>
      <w:r>
        <w:t>1.1.1</w:t>
      </w:r>
      <w:r>
        <w:rPr>
          <w:rFonts w:hint="eastAsia"/>
        </w:rPr>
        <w:t>项目经理对工程质量全面负责，项目技术负责人协助项目经理做好工程质量的管理工作，并向技术员及有关人员进行技术交底，组织制定有关保证质量的技术措施，积极组织推广、应用</w:t>
      </w:r>
      <w:r>
        <w:t>“</w:t>
      </w:r>
      <w:r>
        <w:rPr>
          <w:rFonts w:hint="eastAsia"/>
        </w:rPr>
        <w:t>四新技术</w:t>
      </w:r>
      <w:r>
        <w:t>”</w:t>
      </w:r>
      <w:r>
        <w:rPr>
          <w:rFonts w:hint="eastAsia"/>
        </w:rPr>
        <w:t>的应用。</w:t>
      </w:r>
    </w:p>
    <w:p w14:paraId="7C64292E">
      <w:pPr>
        <w:ind w:firstLine="560"/>
      </w:pPr>
      <w:r>
        <w:t>1.1.2</w:t>
      </w:r>
      <w:r>
        <w:rPr>
          <w:rFonts w:hint="eastAsia"/>
        </w:rPr>
        <w:t>项目技术员协助技术负责人搞好质量工作，参加本工程的施工方案的编制和图纸会审，参加制定雨期施工技术措施，并组织施工，负责技术资料的整理、归档，确保资料的及时性、准确性、完整性与可追溯性。</w:t>
      </w:r>
    </w:p>
    <w:p w14:paraId="50D7552A">
      <w:pPr>
        <w:ind w:firstLine="560"/>
      </w:pPr>
      <w:r>
        <w:t>1.1.3</w:t>
      </w:r>
      <w:r>
        <w:rPr>
          <w:rFonts w:hint="eastAsia"/>
        </w:rPr>
        <w:t>项目质检员负责分项工程的日常监督检查，核定分项工程质量等级，参加工程项目隐蔽验收检查，并对隐蔽工程检查验收记录签证。负责纠正违章施工，必要下达临时停工令，并及时向项目技术负责人或项目经理汇报，防止质量事故的发生。</w:t>
      </w:r>
    </w:p>
    <w:p w14:paraId="1127F763">
      <w:pPr>
        <w:ind w:firstLine="560"/>
      </w:pPr>
      <w:r>
        <w:t>1.1.4</w:t>
      </w:r>
      <w:r>
        <w:rPr>
          <w:rFonts w:hint="eastAsia"/>
        </w:rPr>
        <w:t>项目材料员负责施工现场物资的标识、运输、保管，对有追溯要求的物资应做好记录。负责组织进入施工现场物资的检验与试验、不合格的物资决不允许使用到工程上，并做物资验收记录。</w:t>
      </w:r>
    </w:p>
    <w:p w14:paraId="680AE3FB">
      <w:pPr>
        <w:ind w:firstLine="560"/>
      </w:pPr>
      <w:r>
        <w:t>1.1.5</w:t>
      </w:r>
      <w:r>
        <w:rPr>
          <w:rFonts w:hint="eastAsia"/>
        </w:rPr>
        <w:t>项目部生产班组兼职质检员负责认真贯彻执行公司及项目部有关质量管理制度、质量方针和各项技术规定，对本班组人员进行质量教育，树立为用户服务和下道工序就是用户的思想，负责班组的质量自检和工序之间的交接检，杜绝质量事故的发生。</w:t>
      </w:r>
    </w:p>
    <w:p w14:paraId="0E904733">
      <w:pPr>
        <w:ind w:firstLine="560"/>
      </w:pPr>
      <w:r>
        <w:t>1.1.6</w:t>
      </w:r>
      <w:r>
        <w:rPr>
          <w:rFonts w:hint="eastAsia"/>
        </w:rPr>
        <w:t>班组的操作工人应认真贯彻执行公司及项目部有关质量管理制度，理解项目部的质量方针和质量目标，认真按施工图纸、技术交底及操作规定施工，严格把好操作质量关，自觉接受质检人员和技术人员的检查指导，搞好自检，做到不合格的材料不使用，不合格工序不交给下道工序。</w:t>
      </w:r>
    </w:p>
    <w:p w14:paraId="5A52A3CD">
      <w:pPr>
        <w:ind w:firstLine="560"/>
      </w:pPr>
      <w:r>
        <w:rPr>
          <w:rFonts w:hint="eastAsia"/>
        </w:rPr>
        <w:t>正确合理使用施工工具，做好成品保护。</w:t>
      </w:r>
    </w:p>
    <w:p w14:paraId="3AF42F04">
      <w:pPr>
        <w:ind w:firstLine="560"/>
      </w:pPr>
      <w:r>
        <w:t>1.2</w:t>
      </w:r>
      <w:r>
        <w:rPr>
          <w:rFonts w:hint="eastAsia"/>
        </w:rPr>
        <w:t>建立定期质量过程检查和质量例会制度</w:t>
      </w:r>
    </w:p>
    <w:p w14:paraId="08F0CA76">
      <w:pPr>
        <w:ind w:firstLine="560"/>
      </w:pPr>
      <w:r>
        <w:rPr>
          <w:rFonts w:hint="eastAsia"/>
        </w:rPr>
        <w:t>本工程定期开展施工质量过程检查和质量例会制度，项目部质量管理部组织施工及技术人员、各专职质检员，每周对全施工现场进行一次联合检查，必要时请监理、业主共同参加，查找出一周内的质量问题，找出存在质量问题的原因，制定整改措施，落实时间，责任落实到人进行整改，由专人验证整改结果。项目技术负责人每月组织技术人员、质量管理人员进行一次质量检查评比，召开一次质量工作例会，邀请监理、业主参加，听取其对工程质量的意见和建议，对当月工程质量进行总结，找差距、定措施。项目质量管理部每周定期组织质检人员召开一次质量例会，布置、协调质量检查验收工作，项目质量管理部根据工程质量情况，对典型工艺质量问题报请项目部技术负责，及时召开质量分析会。施工班组每周定期进行一次质量学习，学习专业技术、有关质量标准、规范、管理制度并进行记录。</w:t>
      </w:r>
    </w:p>
    <w:p w14:paraId="0229F843">
      <w:pPr>
        <w:ind w:firstLine="560"/>
      </w:pPr>
      <w:r>
        <w:t>1.3</w:t>
      </w:r>
      <w:r>
        <w:rPr>
          <w:rFonts w:hint="eastAsia"/>
        </w:rPr>
        <w:t>样板制度</w:t>
      </w:r>
    </w:p>
    <w:p w14:paraId="12E58941">
      <w:pPr>
        <w:ind w:firstLine="560"/>
      </w:pPr>
      <w:r>
        <w:rPr>
          <w:rFonts w:hint="eastAsia"/>
        </w:rPr>
        <w:t>分项工程施工前，由施工组长根据施工方案和技术交底以及现行国家规范、标准，组织进行分项样板施工，在施工部位挂牌注明工序名称、施工责任人、技术交底人、操作班长、施工日期等。样板未通过验收前不得进行下一步施工。施工班组在样板施工中也接受了技术标准、质量标准的培训，做到统一操作程序，统一施工做法，统一质量验收规范。</w:t>
      </w:r>
    </w:p>
    <w:p w14:paraId="323008DE">
      <w:pPr>
        <w:ind w:firstLine="560"/>
      </w:pPr>
      <w:r>
        <w:t>1.4</w:t>
      </w:r>
      <w:r>
        <w:rPr>
          <w:rFonts w:hint="eastAsia"/>
        </w:rPr>
        <w:t>三检制</w:t>
      </w:r>
    </w:p>
    <w:p w14:paraId="2DC5C4F3">
      <w:pPr>
        <w:ind w:firstLine="560"/>
      </w:pPr>
      <w:r>
        <w:t>1.4.1</w:t>
      </w:r>
      <w:r>
        <w:rPr>
          <w:rFonts w:hint="eastAsia"/>
        </w:rPr>
        <w:t>自检</w:t>
      </w:r>
    </w:p>
    <w:p w14:paraId="4B1500D5">
      <w:pPr>
        <w:ind w:firstLine="560"/>
      </w:pPr>
      <w:r>
        <w:rPr>
          <w:rFonts w:hint="eastAsia"/>
        </w:rPr>
        <w:t>在每一项分项工程施工完后均需由班组对所施工产品进自检，如符合质量验收规范要求，由班组长填写自检记录表。</w:t>
      </w:r>
    </w:p>
    <w:p w14:paraId="099C8A10">
      <w:pPr>
        <w:ind w:firstLine="560"/>
      </w:pPr>
      <w:r>
        <w:t>1.4.2</w:t>
      </w:r>
      <w:r>
        <w:rPr>
          <w:rFonts w:hint="eastAsia"/>
        </w:rPr>
        <w:t>互检</w:t>
      </w:r>
    </w:p>
    <w:p w14:paraId="20BFAD69">
      <w:pPr>
        <w:ind w:firstLine="560"/>
      </w:pPr>
      <w:r>
        <w:rPr>
          <w:rFonts w:hint="eastAsia"/>
        </w:rPr>
        <w:t>经自检合格的分项工程，由项目质量工程师参加、责任工程师组织的上下工序施工班组进行互检，对互检中发现的问题上下工序班组应认真及时地予以解决。</w:t>
      </w:r>
    </w:p>
    <w:p w14:paraId="3A2A0627">
      <w:pPr>
        <w:ind w:firstLine="560"/>
      </w:pPr>
      <w:r>
        <w:t>1.4.3</w:t>
      </w:r>
      <w:r>
        <w:rPr>
          <w:rFonts w:hint="eastAsia"/>
        </w:rPr>
        <w:t>交接检</w:t>
      </w:r>
    </w:p>
    <w:p w14:paraId="0A3BBA90">
      <w:pPr>
        <w:ind w:firstLine="560"/>
      </w:pPr>
      <w:r>
        <w:rPr>
          <w:rFonts w:hint="eastAsia"/>
        </w:rPr>
        <w:t>上下工序班组通过互检认为符合分项工程质量验收规范要求，在双方填写交接检记录，经班组长签字认可后，方可进行下道工序施工。项目质量工程师要亲自参与监督。</w:t>
      </w:r>
    </w:p>
    <w:p w14:paraId="156A401B">
      <w:pPr>
        <w:ind w:firstLine="560"/>
      </w:pPr>
      <w:r>
        <w:t>1.5</w:t>
      </w:r>
      <w:r>
        <w:rPr>
          <w:rFonts w:hint="eastAsia"/>
        </w:rPr>
        <w:t>挂牌制度</w:t>
      </w:r>
    </w:p>
    <w:p w14:paraId="75FC6631">
      <w:pPr>
        <w:ind w:firstLine="560"/>
      </w:pPr>
      <w:r>
        <w:t>1.5.1</w:t>
      </w:r>
      <w:r>
        <w:rPr>
          <w:rFonts w:hint="eastAsia"/>
        </w:rPr>
        <w:t>技术交底挂牌</w:t>
      </w:r>
    </w:p>
    <w:p w14:paraId="4EB581EC">
      <w:pPr>
        <w:ind w:firstLine="560"/>
      </w:pPr>
      <w:r>
        <w:rPr>
          <w:rFonts w:hint="eastAsia"/>
        </w:rPr>
        <w:t>在工序开始前针对施工中的重点和难点现场挂牌，将施工操作的具体要求写在牌子上，既有利于管理人员对工人进行现场交底，又便于工人自觉阅读技术交底。</w:t>
      </w:r>
    </w:p>
    <w:p w14:paraId="4D392933">
      <w:pPr>
        <w:ind w:firstLine="560"/>
      </w:pPr>
      <w:r>
        <w:t>1.5.2</w:t>
      </w:r>
      <w:r>
        <w:rPr>
          <w:rFonts w:hint="eastAsia"/>
        </w:rPr>
        <w:t>施工部位挂牌</w:t>
      </w:r>
    </w:p>
    <w:p w14:paraId="5787A37D">
      <w:pPr>
        <w:ind w:firstLine="560"/>
      </w:pPr>
      <w:r>
        <w:rPr>
          <w:rFonts w:hint="eastAsia"/>
        </w:rPr>
        <w:t>执行施工部位挂牌制度：在现场施工部位挂</w:t>
      </w:r>
      <w:r>
        <w:t>“</w:t>
      </w:r>
      <w:r>
        <w:rPr>
          <w:rFonts w:hint="eastAsia"/>
        </w:rPr>
        <w:t>施工部位牌</w:t>
      </w:r>
      <w:r>
        <w:t>”</w:t>
      </w:r>
      <w:r>
        <w:rPr>
          <w:rFonts w:hint="eastAsia"/>
        </w:rPr>
        <w:t>，牌中注明施工部位、工序名称、施工要求、检查标准、检查责任人、操作负责人、处罚条例等，保证出现问题可以追查到底，并且执行奖罚条例，从而提高相关责任人的责任心和业务水平，达到练队伍、造人才的目的。</w:t>
      </w:r>
    </w:p>
    <w:p w14:paraId="40858B89">
      <w:pPr>
        <w:ind w:firstLine="560"/>
      </w:pPr>
      <w:r>
        <w:t>1.5.3</w:t>
      </w:r>
      <w:r>
        <w:rPr>
          <w:rFonts w:hint="eastAsia"/>
        </w:rPr>
        <w:t>半成品、成品挂牌制度</w:t>
      </w:r>
    </w:p>
    <w:p w14:paraId="50268D78">
      <w:pPr>
        <w:ind w:firstLine="560"/>
      </w:pPr>
      <w:r>
        <w:rPr>
          <w:rFonts w:hint="eastAsia"/>
        </w:rPr>
        <w:t>对施工现场使用的原材、半成品材料等进行挂牌标识，标识须济明使用部位、规格、产地、进场时间等，必要时必须注明存放要求。</w:t>
      </w:r>
    </w:p>
    <w:p w14:paraId="366FD566">
      <w:pPr>
        <w:ind w:firstLine="560"/>
      </w:pPr>
      <w:r>
        <w:t>1.6</w:t>
      </w:r>
      <w:r>
        <w:rPr>
          <w:rFonts w:hint="eastAsia"/>
        </w:rPr>
        <w:t>施工质量检查与工程验收制度</w:t>
      </w:r>
    </w:p>
    <w:p w14:paraId="0BB33F53">
      <w:pPr>
        <w:ind w:firstLine="560"/>
      </w:pPr>
      <w:r>
        <w:t>1.6.1</w:t>
      </w:r>
      <w:r>
        <w:rPr>
          <w:rFonts w:hint="eastAsia"/>
        </w:rPr>
        <w:t>严格执行工程质量标准，强化验收管理，完善验收手段。项目部及时配备合格的各级质量管理人员和检测设备、工具。确保各级质检人员和设备满足工程需要。搞好过程监督管理，将施工、设计、设备等质量问题消灭在施工过程中，杜绝返工现象，提高企业信誉。</w:t>
      </w:r>
    </w:p>
    <w:p w14:paraId="167C664D">
      <w:pPr>
        <w:ind w:firstLine="560"/>
      </w:pPr>
      <w:r>
        <w:t>1.6.2</w:t>
      </w:r>
      <w:r>
        <w:rPr>
          <w:rFonts w:hint="eastAsia"/>
        </w:rPr>
        <w:t>工程项目施工中的质量检查一般包括施工准备检查、施工过程检查、隐蔽工程和关键部位的检查、质量监督检查和验收检查。项目部应制定质量检验及验收管理制度并严格执行。</w:t>
      </w:r>
    </w:p>
    <w:p w14:paraId="13A4616A">
      <w:pPr>
        <w:ind w:firstLine="560"/>
      </w:pPr>
      <w:r>
        <w:t>1.6.3</w:t>
      </w:r>
      <w:r>
        <w:rPr>
          <w:rFonts w:hint="eastAsia"/>
        </w:rPr>
        <w:t>开工前，对有关作业指导文件审批情况进行检查，对图纸、材料、设备、机具、场地、劳动力等施工组织措施的落实情况进行复检，保证施工能连续正常进行。</w:t>
      </w:r>
    </w:p>
    <w:p w14:paraId="6D22A3F0">
      <w:pPr>
        <w:ind w:firstLine="560"/>
      </w:pPr>
      <w:r>
        <w:t>1.6.4</w:t>
      </w:r>
      <w:r>
        <w:rPr>
          <w:rFonts w:hint="eastAsia"/>
        </w:rPr>
        <w:t>施工单位要强化施工过程中各个环节、各个工序的质量检验，对各个工序实施班组自检、工序之间互检、上下道工序交接检接合质检员专检的检查制度，规范检验、记录、签字程序，上一工序质量不合格不得进入下道工序。施工单位在自检合格的基础上，提交监理单位进行检查验收。</w:t>
      </w:r>
    </w:p>
    <w:p w14:paraId="53E6EA19">
      <w:pPr>
        <w:ind w:firstLine="560"/>
      </w:pPr>
      <w:r>
        <w:t>1.6.5</w:t>
      </w:r>
      <w:r>
        <w:rPr>
          <w:rFonts w:hint="eastAsia"/>
        </w:rPr>
        <w:t>监理单位接到施工单位的自检报告后，应及时组织验收，并签署验收意见。项目部提供相关的施工及检验记录，资料要填写规范、齐全。</w:t>
      </w:r>
    </w:p>
    <w:p w14:paraId="3EB0E619">
      <w:pPr>
        <w:ind w:firstLine="560"/>
      </w:pPr>
      <w:r>
        <w:t>1.6.6</w:t>
      </w:r>
      <w:r>
        <w:rPr>
          <w:rFonts w:hint="eastAsia"/>
        </w:rPr>
        <w:t>对于隐蔽工程的检查验收，隐蔽前通知监理单位验收；监理单位接到通知后应根据工程的实际情况邀请有关单位共同参加隐蔽工程验收工作。</w:t>
      </w:r>
    </w:p>
    <w:p w14:paraId="2949C368">
      <w:pPr>
        <w:ind w:firstLine="560"/>
      </w:pPr>
      <w:r>
        <w:t>1.6.7</w:t>
      </w:r>
      <w:r>
        <w:rPr>
          <w:rFonts w:hint="eastAsia"/>
        </w:rPr>
        <w:t>项目部对分部工程首先进行一次系统的整体检查验收，再报请监理单位组织进行联合检查验收。在分部工程验收合格的基础上，施工单位对整个单位进行自检评定，向建设单位提交工程验收报告。建设单位到工程验收报告后，由建设单位（项目）负责人组织施工、设计、监理等单位（项目）负责人进行单位工程验收。</w:t>
      </w:r>
    </w:p>
    <w:p w14:paraId="00B8D5C5">
      <w:pPr>
        <w:ind w:firstLine="560"/>
      </w:pPr>
      <w:r>
        <w:t>1.6.8</w:t>
      </w:r>
      <w:r>
        <w:rPr>
          <w:rFonts w:hint="eastAsia"/>
        </w:rPr>
        <w:t>项目部在工程建设各阶段中，严格按照国家规范和行业标准，制定切实可行的质量控制措施，落实各项管理制度和措施的执行，确保质量目标的实现。</w:t>
      </w:r>
    </w:p>
    <w:p w14:paraId="5BED0D7F">
      <w:pPr>
        <w:ind w:firstLine="560"/>
      </w:pPr>
      <w:r>
        <w:t>1.7</w:t>
      </w:r>
      <w:r>
        <w:rPr>
          <w:rFonts w:hint="eastAsia"/>
        </w:rPr>
        <w:t>建立严格的奖罚制度</w:t>
      </w:r>
    </w:p>
    <w:p w14:paraId="25F9BAFF">
      <w:pPr>
        <w:ind w:firstLine="560"/>
      </w:pPr>
      <w:r>
        <w:rPr>
          <w:rFonts w:hint="eastAsia"/>
        </w:rPr>
        <w:t>项目部建立严格的奖罚制度，落实质量职责，工程质量与班组经济利益挂钩，由质量管理部门进行考核，并按月落实奖罚。对质量事故要严肃处理，坚持三不放过原则，即：事故原因不明不放过；不分清责任不放过；没有改进措施不放过。</w:t>
      </w:r>
    </w:p>
    <w:p w14:paraId="7585E576">
      <w:pPr>
        <w:ind w:firstLine="560"/>
      </w:pPr>
      <w:r>
        <w:t>2</w:t>
      </w:r>
      <w:r>
        <w:rPr>
          <w:rFonts w:hint="eastAsia"/>
        </w:rPr>
        <w:t>、认真执行标准，使质量体系有效运行。</w:t>
      </w:r>
    </w:p>
    <w:p w14:paraId="1BE1CEDB">
      <w:pPr>
        <w:ind w:firstLine="560"/>
      </w:pPr>
      <w:r>
        <w:t>2.1</w:t>
      </w:r>
      <w:r>
        <w:rPr>
          <w:rFonts w:hint="eastAsia"/>
        </w:rPr>
        <w:t>项目部在各项管理中突出质量管理的主线地位，项目部领导密切关注和指导体系的运行，用质量管理带动其他各项管理。</w:t>
      </w:r>
    </w:p>
    <w:p w14:paraId="60475DBA">
      <w:pPr>
        <w:ind w:firstLine="560"/>
      </w:pPr>
      <w:r>
        <w:t>2.2</w:t>
      </w:r>
      <w:r>
        <w:rPr>
          <w:rFonts w:hint="eastAsia"/>
        </w:rPr>
        <w:t>项目部各级人员要把公司质量体系文件视为各项工作的法规，认真落实规定的质量职责，加强对过程的监督和检查，开展好文件规定的各项质量活动。认真总结体系运行过程的问题，开展质量活动的自我评价，持续改进工作质量。积极组织和配合公司各项审核、审查活动，对检查出的质量管理的不合格项进行纠正和预防。</w:t>
      </w:r>
    </w:p>
    <w:p w14:paraId="0C657218">
      <w:pPr>
        <w:ind w:firstLine="560"/>
      </w:pPr>
      <w:r>
        <w:t>3</w:t>
      </w:r>
      <w:r>
        <w:rPr>
          <w:rFonts w:hint="eastAsia"/>
        </w:rPr>
        <w:t>、参建人员的管理水平和施工技能</w:t>
      </w:r>
    </w:p>
    <w:p w14:paraId="13E4A9A6">
      <w:pPr>
        <w:ind w:firstLine="560"/>
      </w:pPr>
      <w:r>
        <w:rPr>
          <w:rFonts w:hint="eastAsia"/>
        </w:rPr>
        <w:t>为本工程配备适宜的人力资源，使工程参建人员具备较高的管理素质和技能。对各类需持证上岗的人员，确保持证率</w:t>
      </w:r>
      <w:r>
        <w:t>100%</w:t>
      </w:r>
      <w:r>
        <w:rPr>
          <w:rFonts w:hint="eastAsia"/>
        </w:rPr>
        <w:t>。进行贯彻标准培训以及各种形式的能力、技能培训，通过培训使每个参建人员掌握开展质量活动的目的、依据、内容和方法，控制好生产和管理的每个过程。</w:t>
      </w:r>
    </w:p>
    <w:p w14:paraId="3096E2A8">
      <w:pPr>
        <w:ind w:firstLine="560"/>
      </w:pPr>
      <w:r>
        <w:t>4</w:t>
      </w:r>
      <w:r>
        <w:rPr>
          <w:rFonts w:hint="eastAsia"/>
        </w:rPr>
        <w:t>、理及业主配合，严格控制工程质量</w:t>
      </w:r>
    </w:p>
    <w:p w14:paraId="712117B1">
      <w:pPr>
        <w:ind w:firstLine="560"/>
      </w:pPr>
      <w:r>
        <w:t>4.1</w:t>
      </w:r>
      <w:r>
        <w:rPr>
          <w:rFonts w:hint="eastAsia"/>
        </w:rPr>
        <w:t>在施工中及时与业主监理沟通，掌握业主、监理对施工质量的要求和建议，实行工程质量业主、监理一票否决。针对施工中存在的质量问题认真分析，制定纠正措施，举一反三认真整改，建立质量问题台帐，做到质量问题整改迅速、彻底、有效，验证反馈及时，使施工质量形成闭环管理。</w:t>
      </w:r>
    </w:p>
    <w:p w14:paraId="42B7236D">
      <w:pPr>
        <w:ind w:firstLine="560"/>
      </w:pPr>
      <w:r>
        <w:t>4.2</w:t>
      </w:r>
      <w:r>
        <w:rPr>
          <w:rFonts w:hint="eastAsia"/>
        </w:rPr>
        <w:t>施工中注意本专业与其他专业的协调、服务，互相提供施工条件，搞好配合，保证总体施工质量。</w:t>
      </w:r>
    </w:p>
    <w:p w14:paraId="3FAD944A">
      <w:pPr>
        <w:ind w:firstLine="560"/>
      </w:pPr>
      <w:r>
        <w:t>5</w:t>
      </w:r>
      <w:r>
        <w:rPr>
          <w:rFonts w:hint="eastAsia"/>
        </w:rPr>
        <w:t>、体系管理</w:t>
      </w:r>
    </w:p>
    <w:p w14:paraId="651E3790">
      <w:pPr>
        <w:ind w:firstLine="560"/>
      </w:pPr>
      <w:r>
        <w:rPr>
          <w:rFonts w:hint="eastAsia"/>
        </w:rPr>
        <w:t>项目部要设专职计量管理人员，各专业设兼职计量员，监督、管理项目计量工作，确认体系保持良好运行状态，并按规定监督、检查、管理项目中所需计量检测器具，满足工程需要。</w:t>
      </w:r>
    </w:p>
    <w:p w14:paraId="5FAB9E0D">
      <w:pPr>
        <w:ind w:firstLine="560"/>
      </w:pPr>
      <w:r>
        <w:t>6</w:t>
      </w:r>
      <w:r>
        <w:rPr>
          <w:rFonts w:hint="eastAsia"/>
        </w:rPr>
        <w:t>、管理</w:t>
      </w:r>
    </w:p>
    <w:p w14:paraId="770FCE0C">
      <w:pPr>
        <w:ind w:firstLine="560"/>
      </w:pPr>
      <w:r>
        <w:t>6.1</w:t>
      </w:r>
      <w:r>
        <w:rPr>
          <w:rFonts w:hint="eastAsia"/>
        </w:rPr>
        <w:t>资料管理的归口部门为项目资料室，对各种验收资料、试验报告、质保资料由资料室统一收集整理，并通过计算机进行系统管理和跟踪管理。</w:t>
      </w:r>
    </w:p>
    <w:p w14:paraId="29EE3176">
      <w:pPr>
        <w:ind w:firstLine="560"/>
      </w:pPr>
      <w:r>
        <w:t>6.2</w:t>
      </w:r>
      <w:r>
        <w:rPr>
          <w:rFonts w:hint="eastAsia"/>
        </w:rPr>
        <w:t>施工过程记录：包括施工人员、施工项目、施工中的各种数据记录。</w:t>
      </w:r>
    </w:p>
    <w:p w14:paraId="37202D19">
      <w:pPr>
        <w:ind w:firstLine="560"/>
      </w:pPr>
      <w:r>
        <w:t>6.3</w:t>
      </w:r>
      <w:r>
        <w:rPr>
          <w:rFonts w:hint="eastAsia"/>
        </w:rPr>
        <w:t>质量检查和验收记录、各种试验报告、施工中各种材料的跟踪记录、</w:t>
      </w:r>
      <w:r>
        <w:t>QC</w:t>
      </w:r>
      <w:r>
        <w:rPr>
          <w:rFonts w:hint="eastAsia"/>
        </w:rPr>
        <w:t>小组活动记录、工程洽商记录、施工中各种交底记录、设计变更记录、图纸会审记录、反映工艺水平和质量管理的各种音像资料及施工单位在施工过程中填写的各种记录。</w:t>
      </w:r>
    </w:p>
    <w:p w14:paraId="402FDCE0">
      <w:pPr>
        <w:ind w:firstLine="560"/>
      </w:pPr>
      <w:r>
        <w:t>6.4</w:t>
      </w:r>
      <w:r>
        <w:rPr>
          <w:rFonts w:hint="eastAsia"/>
        </w:rPr>
        <w:t>各种记录表一律用计算机打印，签字用黑色签字笔填写，填写记录用正规字体填写。</w:t>
      </w:r>
    </w:p>
    <w:p w14:paraId="3F96431D">
      <w:pPr>
        <w:ind w:firstLine="560"/>
      </w:pPr>
      <w:r>
        <w:t>7</w:t>
      </w:r>
      <w:r>
        <w:rPr>
          <w:rFonts w:hint="eastAsia"/>
        </w:rPr>
        <w:t>、设备管理</w:t>
      </w:r>
    </w:p>
    <w:p w14:paraId="22F6E94B">
      <w:pPr>
        <w:ind w:firstLine="560"/>
      </w:pPr>
      <w:r>
        <w:t>7.1</w:t>
      </w:r>
      <w:r>
        <w:rPr>
          <w:rFonts w:hint="eastAsia"/>
        </w:rPr>
        <w:t>材料控制</w:t>
      </w:r>
    </w:p>
    <w:p w14:paraId="3EAC034E">
      <w:pPr>
        <w:ind w:firstLine="560"/>
      </w:pPr>
      <w:r>
        <w:t>7.1.1</w:t>
      </w:r>
      <w:r>
        <w:rPr>
          <w:rFonts w:hint="eastAsia"/>
        </w:rPr>
        <w:t>采购物资都必须提供样品，由业主、监理和设计单位（有必要时）及项目经理部有关部门人员进行定量评定，通过打分，确定入围者。</w:t>
      </w:r>
    </w:p>
    <w:p w14:paraId="0E58532C">
      <w:pPr>
        <w:ind w:firstLine="560"/>
      </w:pPr>
      <w:r>
        <w:t>7.1.2</w:t>
      </w:r>
      <w:r>
        <w:rPr>
          <w:rFonts w:hint="eastAsia"/>
        </w:rPr>
        <w:t>控制工程材料（包括原材料、成品、半成品、构配件）措施：</w:t>
      </w:r>
    </w:p>
    <w:p w14:paraId="6E10B731">
      <w:pPr>
        <w:ind w:firstLine="560"/>
      </w:pPr>
      <w:r>
        <w:t>7.1.2.1</w:t>
      </w:r>
      <w:r>
        <w:rPr>
          <w:rFonts w:hint="eastAsia"/>
        </w:rPr>
        <w:t>检查进场的原材料、半成品外观质量。</w:t>
      </w:r>
    </w:p>
    <w:p w14:paraId="69B9C7B8">
      <w:pPr>
        <w:ind w:firstLine="560"/>
      </w:pPr>
      <w:r>
        <w:t>7.1.2.2</w:t>
      </w:r>
      <w:r>
        <w:rPr>
          <w:rFonts w:hint="eastAsia"/>
        </w:rPr>
        <w:t>审核进场材料、半成品的出厂证明、出厂批号、技术合格证或质量保证书，凡标志不清或认为质量有问题的材料，需要进行追踪检验，以控制和保证其质量的材料等；应当进行复检的材料、半成品，在监理工程师的见证下取样送相关试验部门检验，材料质量抽样的检验的方法，符合材料质量标准与管理规程，能反映该批材料的质量性能。对于重要构件或非匀质的材料，酌情增加采样的数量。</w:t>
      </w:r>
    </w:p>
    <w:p w14:paraId="048EE099">
      <w:pPr>
        <w:ind w:firstLine="560"/>
      </w:pPr>
      <w:r>
        <w:t>7.1.2.3</w:t>
      </w:r>
      <w:r>
        <w:rPr>
          <w:rFonts w:hint="eastAsia"/>
        </w:rPr>
        <w:t>对采用的新材料、新型制品，应检查技术鉴定文件。</w:t>
      </w:r>
    </w:p>
    <w:p w14:paraId="25AC69FA">
      <w:pPr>
        <w:ind w:firstLine="560"/>
      </w:pPr>
      <w:r>
        <w:t>7.1.2.4</w:t>
      </w:r>
      <w:r>
        <w:rPr>
          <w:rFonts w:hint="eastAsia"/>
        </w:rPr>
        <w:t>对重要原材料、制品、设备的生产工艺、质量控制、检测手段进行实地考察，督促生产厂家完善质量保证体系措施。</w:t>
      </w:r>
    </w:p>
    <w:p w14:paraId="278EEA8C">
      <w:pPr>
        <w:ind w:firstLine="560"/>
      </w:pPr>
      <w:r>
        <w:t>7.1.2.5</w:t>
      </w:r>
      <w:r>
        <w:rPr>
          <w:rFonts w:hint="eastAsia"/>
        </w:rPr>
        <w:t>核查材料生产许可证，考察其生产工艺。</w:t>
      </w:r>
    </w:p>
    <w:p w14:paraId="3F2B734F">
      <w:pPr>
        <w:ind w:firstLine="560"/>
      </w:pPr>
      <w:r>
        <w:t>7.2</w:t>
      </w:r>
      <w:r>
        <w:rPr>
          <w:rFonts w:hint="eastAsia"/>
        </w:rPr>
        <w:t>机械设备控制</w:t>
      </w:r>
    </w:p>
    <w:p w14:paraId="3A3B57B2">
      <w:pPr>
        <w:ind w:firstLine="560"/>
      </w:pPr>
      <w:r>
        <w:t>7.2.1</w:t>
      </w:r>
      <w:r>
        <w:rPr>
          <w:rFonts w:hint="eastAsia"/>
        </w:rPr>
        <w:t>对进场的各种施工机械的品质进行检查：</w:t>
      </w:r>
    </w:p>
    <w:p w14:paraId="4168580C">
      <w:pPr>
        <w:ind w:firstLine="560"/>
      </w:pPr>
      <w:r>
        <w:t>7.2.1.1</w:t>
      </w:r>
      <w:r>
        <w:rPr>
          <w:rFonts w:hint="eastAsia"/>
        </w:rPr>
        <w:t>对进场机械设备进行外检观查。</w:t>
      </w:r>
    </w:p>
    <w:p w14:paraId="26489187">
      <w:pPr>
        <w:ind w:firstLine="560"/>
      </w:pPr>
      <w:r>
        <w:t>7.2.1.2</w:t>
      </w:r>
      <w:r>
        <w:rPr>
          <w:rFonts w:hint="eastAsia"/>
        </w:rPr>
        <w:t>对进场机械设备进行调试。</w:t>
      </w:r>
    </w:p>
    <w:p w14:paraId="265CC08D">
      <w:pPr>
        <w:ind w:firstLine="560"/>
      </w:pPr>
      <w:r>
        <w:t>7.2.1.3</w:t>
      </w:r>
      <w:r>
        <w:rPr>
          <w:rFonts w:hint="eastAsia"/>
        </w:rPr>
        <w:t>索取机械设备相关的资料。</w:t>
      </w:r>
    </w:p>
    <w:p w14:paraId="28C4DEE7">
      <w:pPr>
        <w:ind w:firstLine="560"/>
      </w:pPr>
      <w:r>
        <w:t>7.2</w:t>
      </w:r>
      <w:r>
        <w:rPr>
          <w:rFonts w:hint="eastAsia"/>
        </w:rPr>
        <w:t>对施工现场的机械设备进行定期的检查、在施工中加强设备的维修和保养，设备操作人员必须持证上岗，需加强与机具设备厂家的联系工作。</w:t>
      </w:r>
    </w:p>
    <w:p w14:paraId="40C36518">
      <w:pPr>
        <w:ind w:firstLine="560"/>
      </w:pPr>
      <w:r>
        <w:rPr>
          <w:rFonts w:hint="eastAsia"/>
        </w:rPr>
        <w:t>三、质量创优亮点工程</w:t>
      </w:r>
    </w:p>
    <w:p w14:paraId="2C645E37">
      <w:pPr>
        <w:ind w:firstLine="560"/>
      </w:pPr>
      <w:r>
        <w:t>1</w:t>
      </w:r>
      <w:r>
        <w:rPr>
          <w:rFonts w:hint="eastAsia"/>
        </w:rPr>
        <w:t>、加强施工准备过程的控制</w:t>
      </w:r>
    </w:p>
    <w:p w14:paraId="52E0A55E">
      <w:pPr>
        <w:ind w:firstLine="560"/>
      </w:pPr>
      <w:r>
        <w:t>1.1</w:t>
      </w:r>
      <w:r>
        <w:rPr>
          <w:rFonts w:hint="eastAsia"/>
        </w:rPr>
        <w:t>图纸会审：在工程开工前认真进行图纸会审。并按照专业会审、系统会审和综合会审分级进行，通过各级技术人员和施工人员仔细看图、认真审图，对图纸中的疑点和问题及时提出，由技术部门联系监理工程师或设计院解决，使问题和不合理的设计解决在施工之前。</w:t>
      </w:r>
    </w:p>
    <w:p w14:paraId="09C16CD1">
      <w:pPr>
        <w:ind w:firstLine="560"/>
      </w:pPr>
      <w:r>
        <w:t>1.2</w:t>
      </w:r>
      <w:r>
        <w:rPr>
          <w:rFonts w:hint="eastAsia"/>
        </w:rPr>
        <w:t>施工技术措施的编制：工程开工前作好施工技术措施的编制工作。</w:t>
      </w:r>
    </w:p>
    <w:p w14:paraId="5A62F914">
      <w:pPr>
        <w:ind w:firstLine="560"/>
      </w:pPr>
      <w:r>
        <w:rPr>
          <w:rFonts w:hint="eastAsia"/>
        </w:rPr>
        <w:t>履行审批手续，特别是报送监理工程师审批，并严格控制执行。</w:t>
      </w:r>
    </w:p>
    <w:p w14:paraId="5027FD28">
      <w:pPr>
        <w:ind w:firstLine="560"/>
      </w:pPr>
      <w:r>
        <w:t>1.3</w:t>
      </w:r>
      <w:r>
        <w:rPr>
          <w:rFonts w:hint="eastAsia"/>
        </w:rPr>
        <w:t>施工技术交底：施工技术交底由专责工程师组织和主持，办理交底签字认可。</w:t>
      </w:r>
    </w:p>
    <w:p w14:paraId="1C50DAEB">
      <w:pPr>
        <w:ind w:firstLine="560"/>
      </w:pPr>
      <w:r>
        <w:t>1.4</w:t>
      </w:r>
      <w:r>
        <w:rPr>
          <w:rFonts w:hint="eastAsia"/>
        </w:rPr>
        <w:t>开工申请：工程开工条件具备后，由施工主管提出申请，开工申请报告书经监理工程师批准后，方可对该工程项目进行施工。</w:t>
      </w:r>
    </w:p>
    <w:p w14:paraId="371D1B48">
      <w:pPr>
        <w:ind w:firstLine="560"/>
      </w:pPr>
      <w:r>
        <w:t>2</w:t>
      </w:r>
      <w:r>
        <w:rPr>
          <w:rFonts w:hint="eastAsia"/>
        </w:rPr>
        <w:t>、建立质量目标管理考核</w:t>
      </w:r>
    </w:p>
    <w:p w14:paraId="15DBF6BD">
      <w:pPr>
        <w:ind w:firstLine="560"/>
      </w:pPr>
      <w:r>
        <w:t>2.1</w:t>
      </w:r>
      <w:r>
        <w:rPr>
          <w:rFonts w:hint="eastAsia"/>
        </w:rPr>
        <w:t>各施工单位定期对创优项目的实施情况进行自评。技术质量部对各创优项目随时进行跟踪管理，发现问题及时纠正。</w:t>
      </w:r>
    </w:p>
    <w:p w14:paraId="425CB000">
      <w:pPr>
        <w:ind w:firstLine="560"/>
      </w:pPr>
      <w:r>
        <w:t>2.2</w:t>
      </w:r>
      <w:r>
        <w:rPr>
          <w:rFonts w:hint="eastAsia"/>
        </w:rPr>
        <w:t>技术质量部定期召开创优小组会议，确保质量目标得以实现。</w:t>
      </w:r>
    </w:p>
    <w:p w14:paraId="3F717D3A">
      <w:pPr>
        <w:ind w:firstLine="560"/>
      </w:pPr>
      <w:r>
        <w:t>2.3</w:t>
      </w:r>
      <w:r>
        <w:rPr>
          <w:rFonts w:hint="eastAsia"/>
        </w:rPr>
        <w:t>各施工单位每月向技术质量部汇报本单位创精品质量开展情况，填写质量创精品考核项目表。</w:t>
      </w:r>
    </w:p>
    <w:p w14:paraId="54B7ECBA">
      <w:pPr>
        <w:ind w:firstLine="560"/>
      </w:pPr>
      <w:r>
        <w:t>2.4</w:t>
      </w:r>
      <w:r>
        <w:rPr>
          <w:rFonts w:hint="eastAsia"/>
        </w:rPr>
        <w:t>技术质量部将对各创精品责任单位和个人的考核情况，给予罚款或奖励。</w:t>
      </w:r>
    </w:p>
    <w:p w14:paraId="41D9EFF6">
      <w:pPr>
        <w:ind w:firstLine="560"/>
      </w:pPr>
      <w:r>
        <w:t>3</w:t>
      </w:r>
      <w:r>
        <w:rPr>
          <w:rFonts w:hint="eastAsia"/>
        </w:rPr>
        <w:t>、质量监督</w:t>
      </w:r>
    </w:p>
    <w:p w14:paraId="2C482B4E">
      <w:pPr>
        <w:ind w:firstLine="560"/>
      </w:pPr>
      <w:r>
        <w:t>3.1</w:t>
      </w:r>
      <w:r>
        <w:rPr>
          <w:rFonts w:hint="eastAsia"/>
        </w:rPr>
        <w:t>专职质量检验员必须全面地消化、理解工程师的图纸、工艺规程、技术标准，认真负责，搞好本职工作。</w:t>
      </w:r>
    </w:p>
    <w:p w14:paraId="72C25CED">
      <w:pPr>
        <w:ind w:firstLine="560"/>
      </w:pPr>
      <w:r>
        <w:t>3.2</w:t>
      </w:r>
      <w:r>
        <w:rPr>
          <w:rFonts w:hint="eastAsia"/>
        </w:rPr>
        <w:t>产品首件必须实行</w:t>
      </w:r>
      <w:r>
        <w:t>“</w:t>
      </w:r>
      <w:r>
        <w:rPr>
          <w:rFonts w:hint="eastAsia"/>
        </w:rPr>
        <w:t>三检</w:t>
      </w:r>
      <w:r>
        <w:t>”</w:t>
      </w:r>
      <w:r>
        <w:rPr>
          <w:rFonts w:hint="eastAsia"/>
        </w:rPr>
        <w:t>。即实行自检、互检、专检，以保证产品的质量，防止成批性质量问题。</w:t>
      </w:r>
    </w:p>
    <w:p w14:paraId="7CDEA710">
      <w:pPr>
        <w:ind w:firstLine="560"/>
      </w:pPr>
      <w:r>
        <w:t>3.3</w:t>
      </w:r>
      <w:r>
        <w:rPr>
          <w:rFonts w:hint="eastAsia"/>
        </w:rPr>
        <w:t>专职质量检验员必须对本工序使用的材料品种、规格、质量等工艺文件进行核实，检查上工序的质量，确保本工序的工作质量，并检查外购半成品质量是否具备有效的质量保证。</w:t>
      </w:r>
    </w:p>
    <w:p w14:paraId="596087B4">
      <w:pPr>
        <w:ind w:firstLine="560"/>
      </w:pPr>
      <w:r>
        <w:t>3.4</w:t>
      </w:r>
      <w:r>
        <w:rPr>
          <w:rFonts w:hint="eastAsia"/>
        </w:rPr>
        <w:t>没有经过首件</w:t>
      </w:r>
      <w:r>
        <w:t>“</w:t>
      </w:r>
      <w:r>
        <w:rPr>
          <w:rFonts w:hint="eastAsia"/>
        </w:rPr>
        <w:t>三检</w:t>
      </w:r>
      <w:r>
        <w:t>”</w:t>
      </w:r>
      <w:r>
        <w:rPr>
          <w:rFonts w:hint="eastAsia"/>
        </w:rPr>
        <w:t>的产品，质量检验员应拒绝验收。</w:t>
      </w:r>
    </w:p>
    <w:p w14:paraId="6DF5D3C1">
      <w:pPr>
        <w:ind w:firstLine="560"/>
      </w:pPr>
      <w:r>
        <w:t>3.5</w:t>
      </w:r>
      <w:r>
        <w:rPr>
          <w:rFonts w:hint="eastAsia"/>
        </w:rPr>
        <w:t>现场质量检验员必须建立完备的卡片或记录，方可继续进行施工。</w:t>
      </w:r>
    </w:p>
    <w:p w14:paraId="0A0D963B">
      <w:pPr>
        <w:ind w:firstLine="560"/>
      </w:pPr>
      <w:r>
        <w:t>3.6</w:t>
      </w:r>
      <w:r>
        <w:rPr>
          <w:rFonts w:hint="eastAsia"/>
        </w:rPr>
        <w:t>各种现场有关质量检验、修正的文件、卡片、记录、资料，必须完整、清晰。</w:t>
      </w:r>
    </w:p>
    <w:p w14:paraId="00658394">
      <w:pPr>
        <w:ind w:firstLine="560"/>
      </w:pPr>
      <w:r>
        <w:t>3.7</w:t>
      </w:r>
      <w:r>
        <w:rPr>
          <w:rFonts w:hint="eastAsia"/>
        </w:rPr>
        <w:t>专职质量检验员使用的工具量具必须有效、精确符合有关标准和规范。</w:t>
      </w:r>
    </w:p>
    <w:p w14:paraId="0AE88836">
      <w:pPr>
        <w:ind w:firstLine="560"/>
      </w:pPr>
      <w:r>
        <w:t>3.8</w:t>
      </w:r>
      <w:r>
        <w:rPr>
          <w:rFonts w:hint="eastAsia"/>
        </w:rPr>
        <w:t>本工程所有人员必须配合业主或监理人员，做好质量监督工作，确保各种工艺规范与标准的全面执行。</w:t>
      </w:r>
    </w:p>
    <w:p w14:paraId="3185608C">
      <w:pPr>
        <w:ind w:firstLine="560"/>
      </w:pPr>
      <w:r>
        <w:t>3.9</w:t>
      </w:r>
      <w:r>
        <w:rPr>
          <w:rFonts w:hint="eastAsia"/>
        </w:rPr>
        <w:t>认真清理、归口各种工程质量文件、卡片、记录、资料，以完整、详细的质量资料，提交工程交付验收使用。</w:t>
      </w:r>
    </w:p>
    <w:p w14:paraId="695CAE8F">
      <w:pPr>
        <w:ind w:firstLine="560"/>
      </w:pPr>
      <w:r>
        <w:t>3.10</w:t>
      </w:r>
      <w:r>
        <w:rPr>
          <w:rFonts w:hint="eastAsia"/>
        </w:rPr>
        <w:t>根据本工程的需要，设立工程技术总负责人，即项目工程师与项目总工程师。</w:t>
      </w:r>
    </w:p>
    <w:p w14:paraId="3C4F3C9F">
      <w:pPr>
        <w:ind w:firstLine="560"/>
      </w:pPr>
      <w:r>
        <w:t>3.11</w:t>
      </w:r>
      <w:r>
        <w:rPr>
          <w:rFonts w:hint="eastAsia"/>
        </w:rPr>
        <w:t>建立工程技术人员岗位责任制，责任到人，实行质量一票否决权制度。</w:t>
      </w:r>
    </w:p>
    <w:p w14:paraId="37C9C22C">
      <w:pPr>
        <w:ind w:firstLine="560"/>
      </w:pPr>
      <w:r>
        <w:t>3.12</w:t>
      </w:r>
      <w:r>
        <w:rPr>
          <w:rFonts w:hint="eastAsia"/>
        </w:rPr>
        <w:t>所有工程技术人员必须认真消化业主提供的首件蓝图，进行编辑部设计，编写工艺规程。工程技术人员的设计方案，必须通过公司审核评审合格，提交业主签认后方可执行。</w:t>
      </w:r>
    </w:p>
    <w:p w14:paraId="6DCD612F">
      <w:pPr>
        <w:ind w:firstLine="560"/>
      </w:pPr>
      <w:r>
        <w:t>3.13</w:t>
      </w:r>
      <w:r>
        <w:rPr>
          <w:rFonts w:hint="eastAsia"/>
        </w:rPr>
        <w:t>每周召开一次技术协调会，处理每个部位交接口，协调、合格事宜，解决工程实施过程中出现的问题，必要时请业主、设计师和配合单位参加技术协调会。</w:t>
      </w:r>
    </w:p>
    <w:p w14:paraId="416162BC">
      <w:pPr>
        <w:ind w:firstLine="560"/>
      </w:pPr>
      <w:r>
        <w:t>3.14</w:t>
      </w:r>
      <w:r>
        <w:rPr>
          <w:rFonts w:hint="eastAsia"/>
        </w:rPr>
        <w:t>建立图纸管理制度。技术档案、施工记录、预检记录、隐检记录。</w:t>
      </w:r>
    </w:p>
    <w:p w14:paraId="2E1AD1AA">
      <w:pPr>
        <w:ind w:firstLine="560"/>
      </w:pPr>
      <w:r>
        <w:rPr>
          <w:rFonts w:hint="eastAsia"/>
        </w:rPr>
        <w:t>各项技术资料记录要求真实、准确、完整、齐全、清楚、规格化、系统化。</w:t>
      </w:r>
    </w:p>
    <w:p w14:paraId="04578506">
      <w:pPr>
        <w:ind w:firstLine="560"/>
      </w:pPr>
      <w:r>
        <w:t>3.15</w:t>
      </w:r>
      <w:r>
        <w:rPr>
          <w:rFonts w:hint="eastAsia"/>
        </w:rPr>
        <w:t>设计变更和咨询记录是设计施工图纸的补充和修改，内容要求明确、具体，应及时办理文字记录，不得任意涂改和后补，必要时附图。如图纸修改过多，应另行出图。</w:t>
      </w:r>
    </w:p>
    <w:p w14:paraId="2E51938E">
      <w:pPr>
        <w:ind w:firstLine="560"/>
      </w:pPr>
      <w:r>
        <w:t>3.16</w:t>
      </w:r>
      <w:r>
        <w:rPr>
          <w:rFonts w:hint="eastAsia"/>
        </w:rPr>
        <w:t>设计变更和咨询记录应由业主、设计师和施工单位三方代表签证。</w:t>
      </w:r>
    </w:p>
    <w:p w14:paraId="4022B436">
      <w:pPr>
        <w:ind w:firstLine="560"/>
      </w:pPr>
      <w:r>
        <w:rPr>
          <w:rFonts w:hint="eastAsia"/>
        </w:rPr>
        <w:t>签证日期按先后顺序编号，编号应认真、齐全。</w:t>
      </w:r>
    </w:p>
    <w:p w14:paraId="1ED605A2">
      <w:pPr>
        <w:ind w:firstLine="560"/>
      </w:pPr>
      <w:r>
        <w:t>3.17</w:t>
      </w:r>
      <w:r>
        <w:rPr>
          <w:rFonts w:hint="eastAsia"/>
        </w:rPr>
        <w:t>在施工中贯彻执行监督和检查技术措施的落实，并在施工后进行验收和总结。</w:t>
      </w:r>
    </w:p>
    <w:p w14:paraId="2885C80A">
      <w:pPr>
        <w:ind w:firstLine="560"/>
      </w:pPr>
      <w:r>
        <w:t>3.18</w:t>
      </w:r>
      <w:r>
        <w:rPr>
          <w:rFonts w:hint="eastAsia"/>
        </w:rPr>
        <w:t>在施工中检验、验证设计方案的可靠性、适应性、先进性与经济性。</w:t>
      </w:r>
    </w:p>
    <w:p w14:paraId="3BC313FB">
      <w:pPr>
        <w:ind w:firstLine="560"/>
      </w:pPr>
      <w:r>
        <w:rPr>
          <w:rFonts w:hint="eastAsia"/>
        </w:rPr>
        <w:t>根据工程现场情况，不断完善技术方案、工艺规范。</w:t>
      </w:r>
    </w:p>
    <w:p w14:paraId="56A16B94">
      <w:pPr>
        <w:ind w:firstLine="560"/>
      </w:pPr>
      <w:r>
        <w:t>3.19</w:t>
      </w:r>
      <w:r>
        <w:rPr>
          <w:rFonts w:hint="eastAsia"/>
        </w:rPr>
        <w:t>工程竣工，整理全套有关技术资料、统计资料、记录文件，以备交验、验收。</w:t>
      </w:r>
    </w:p>
    <w:p w14:paraId="1B796C83">
      <w:pPr>
        <w:ind w:firstLine="560"/>
      </w:pPr>
      <w:r>
        <w:t>4</w:t>
      </w:r>
      <w:r>
        <w:rPr>
          <w:rFonts w:hint="eastAsia"/>
        </w:rPr>
        <w:t>、工程质量承诺保证</w:t>
      </w:r>
    </w:p>
    <w:p w14:paraId="293BD434">
      <w:pPr>
        <w:ind w:firstLine="560"/>
      </w:pPr>
      <w:r>
        <w:rPr>
          <w:rFonts w:hint="eastAsia"/>
        </w:rPr>
        <w:t>为确保工程施工质量，我公司郑重承诺，将依照施工合同对本次施工范围内的质量承担责任，承诺内容如下：</w:t>
      </w:r>
    </w:p>
    <w:p w14:paraId="31AAE759">
      <w:pPr>
        <w:ind w:firstLine="560"/>
      </w:pPr>
      <w:r>
        <w:t>4.1</w:t>
      </w:r>
      <w:r>
        <w:rPr>
          <w:rFonts w:hint="eastAsia"/>
        </w:rPr>
        <w:t>严格遵守国家建筑法律、法规和基本建设程序，按照国家规范、行业标准和地方性规定进行施工。</w:t>
      </w:r>
    </w:p>
    <w:p w14:paraId="2DE29D4A">
      <w:pPr>
        <w:ind w:firstLine="560"/>
      </w:pPr>
      <w:r>
        <w:t>4.2</w:t>
      </w:r>
      <w:r>
        <w:rPr>
          <w:rFonts w:hint="eastAsia"/>
        </w:rPr>
        <w:t>建立质量保证体系，积极贯彻落实质量责任制，对道路工程的施工质量负总责。</w:t>
      </w:r>
    </w:p>
    <w:p w14:paraId="5E82C069">
      <w:pPr>
        <w:ind w:firstLine="560"/>
      </w:pPr>
      <w:r>
        <w:t>4.3</w:t>
      </w:r>
      <w:r>
        <w:rPr>
          <w:rFonts w:hint="eastAsia"/>
        </w:rPr>
        <w:t>按照工程设计图纸和施工技术标准施工，不擅自修改工程设计，不偷工减料。在施工过程中发现设计文件和图纸有差错的，及时提出意见和建议。</w:t>
      </w:r>
    </w:p>
    <w:p w14:paraId="2DE322CA">
      <w:pPr>
        <w:ind w:firstLine="560"/>
      </w:pPr>
      <w:r>
        <w:t>4.4</w:t>
      </w:r>
      <w:r>
        <w:rPr>
          <w:rFonts w:hint="eastAsia"/>
        </w:rPr>
        <w:t>按照工程设计要求、施工技术标准和合同约定，对各种施工材料、以及构配件、设备；未经检验或检验不合格的，不使用。</w:t>
      </w:r>
    </w:p>
    <w:p w14:paraId="220A4449">
      <w:pPr>
        <w:ind w:firstLine="560"/>
      </w:pPr>
      <w:r>
        <w:t>4.5</w:t>
      </w:r>
      <w:r>
        <w:rPr>
          <w:rFonts w:hint="eastAsia"/>
        </w:rPr>
        <w:t>建立、健全施工质量的检验制度，严格工序管理，做好隐蔽工程的质量检查和记录。</w:t>
      </w:r>
    </w:p>
    <w:p w14:paraId="1B4E9FB4">
      <w:pPr>
        <w:ind w:firstLine="560"/>
      </w:pPr>
      <w:r>
        <w:t>4.6</w:t>
      </w:r>
      <w:r>
        <w:rPr>
          <w:rFonts w:hint="eastAsia"/>
        </w:rPr>
        <w:t>建立、健全教育培训制度，加强对职工的教育培训；未经教育培训或者考核不合格的人员，不上岗作业。</w:t>
      </w:r>
    </w:p>
    <w:p w14:paraId="3D32F845">
      <w:pPr>
        <w:pStyle w:val="4"/>
        <w:spacing w:before="93" w:after="31"/>
      </w:pPr>
      <w:bookmarkStart w:id="6306" w:name="_Toc13870"/>
      <w:bookmarkStart w:id="6307" w:name="_Toc4979"/>
      <w:bookmarkStart w:id="6308" w:name="_Toc12921"/>
      <w:bookmarkStart w:id="6309" w:name="_Toc22187"/>
      <w:bookmarkStart w:id="6310" w:name="_Toc6076"/>
      <w:bookmarkStart w:id="6311" w:name="_Toc29039"/>
      <w:bookmarkStart w:id="6312" w:name="_Toc11408"/>
      <w:bookmarkStart w:id="6313" w:name="_Toc2355"/>
      <w:r>
        <w:rPr>
          <w:rFonts w:hint="eastAsia"/>
        </w:rPr>
        <w:t>六、供水管道质量保证措施</w:t>
      </w:r>
      <w:bookmarkEnd w:id="6306"/>
      <w:bookmarkEnd w:id="6307"/>
      <w:bookmarkEnd w:id="6308"/>
      <w:bookmarkEnd w:id="6309"/>
      <w:bookmarkEnd w:id="6310"/>
      <w:bookmarkEnd w:id="6311"/>
      <w:bookmarkEnd w:id="6312"/>
      <w:bookmarkEnd w:id="6313"/>
    </w:p>
    <w:p w14:paraId="69E2D399">
      <w:pPr>
        <w:ind w:firstLine="560"/>
      </w:pPr>
      <w:r>
        <w:rPr>
          <w:rFonts w:hint="eastAsia"/>
        </w:rPr>
        <w:t>在供水管道安装工程施工中，保证施工质量是整个工程的重中之重，是管网安全、可靠运行的关键。供水系统是城市基础设施重要的组成部分，担负着城市供水的重要任务，因此确保其施工质量至关重要。供水管道工程施工特点是点多线长，且大部分管网埋于地下，所以施工中如果不注意质量管理，在使用过程中出现质量问题，会给修复带来很大困难，因为给排水管理地下部分占有多数，如果因施工质量不合格出现问题，将会影响居民正常生产生活，甚至造成火灾或爆炸事故，而且进行问题处理需要花费较长的时间和人力、物力，因此，做好给排水工程供水管道施工管理尤为重要。</w:t>
      </w:r>
    </w:p>
    <w:p w14:paraId="1222F5C8">
      <w:pPr>
        <w:pStyle w:val="5"/>
        <w:spacing w:before="31" w:after="31"/>
        <w:ind w:firstLine="562"/>
      </w:pPr>
      <w:bookmarkStart w:id="6314" w:name="_Toc18791"/>
      <w:bookmarkStart w:id="6315" w:name="_Toc20389"/>
      <w:bookmarkStart w:id="6316" w:name="_Toc6502"/>
      <w:bookmarkStart w:id="6317" w:name="_Toc21096"/>
      <w:bookmarkStart w:id="6318" w:name="_Toc11285"/>
      <w:r>
        <w:rPr>
          <w:rFonts w:hint="eastAsia"/>
        </w:rPr>
        <w:t>（一）供水管道工程施工质量通病</w:t>
      </w:r>
      <w:bookmarkEnd w:id="6314"/>
      <w:bookmarkEnd w:id="6315"/>
      <w:bookmarkEnd w:id="6316"/>
      <w:bookmarkEnd w:id="6317"/>
      <w:bookmarkEnd w:id="6318"/>
    </w:p>
    <w:p w14:paraId="68056CF9">
      <w:pPr>
        <w:ind w:firstLine="560"/>
      </w:pPr>
      <w:r>
        <w:rPr>
          <w:rFonts w:hint="eastAsia"/>
        </w:rPr>
        <w:t>1.供水管道选材不尽合理</w:t>
      </w:r>
    </w:p>
    <w:p w14:paraId="55712627">
      <w:pPr>
        <w:ind w:firstLine="560"/>
      </w:pPr>
      <w:r>
        <w:rPr>
          <w:rFonts w:hint="eastAsia"/>
        </w:rPr>
        <w:t>随着我国建筑行业的快速发展，供水管材材料也相应的不断改进，出现了更多的新兴材料，在供水管材的选择过程中，耐腐蚀性、抗破坏性、抗变形性，是衡量管材质量的主要指标。一般来说，铸铁管相比较与钢管、水泥管道等管材，在耐腐蚀性上有着较为明显的优势，而球墨铸铁管有着更好的抗拉强度抗破坏性。在供水管道施工过程中，施工单位对于管材的选择往往不尽合理，没有充分考虑区域的实际情况，没有完全的依据管道设计标准进行材料的配置，甚至一些施工单位为了追求单纯的经济利益而选用一些不合格的残次的管材，使得管道施工中易于产生安全隐患，影响工程的整体质量。</w:t>
      </w:r>
    </w:p>
    <w:p w14:paraId="492FD679">
      <w:pPr>
        <w:ind w:firstLine="560"/>
      </w:pPr>
      <w:r>
        <w:rPr>
          <w:rFonts w:hint="eastAsia"/>
        </w:rPr>
        <w:t>2.沟槽</w:t>
      </w:r>
    </w:p>
    <w:p w14:paraId="70612FB5">
      <w:pPr>
        <w:ind w:firstLine="560"/>
      </w:pPr>
      <w:r>
        <w:rPr>
          <w:rFonts w:hint="eastAsia"/>
        </w:rPr>
        <w:t>在挖掘沟槽的时候，其不合乎相关的规定，测量出現了问题，或者是在躲避物体的时候出现了位置的移动等，线路不直顺，水位抬高或者是在雨季建设的时候未设置相关的排水方法，如果不是很严重的话，泥土流到管线之中出现漂管问题，尺寸等不符合相关的规定。槽底的高度大于设定的内容，设置在挖掘的时候没有结合设定的高度留取相应的土方数，此时就使得超挖问题出现。</w:t>
      </w:r>
    </w:p>
    <w:p w14:paraId="5237BE0A">
      <w:pPr>
        <w:ind w:firstLine="560"/>
      </w:pPr>
      <w:r>
        <w:rPr>
          <w:rFonts w:hint="eastAsia"/>
        </w:rPr>
        <w:t>3.基坑下沉，造成管口开裂</w:t>
      </w:r>
    </w:p>
    <w:p w14:paraId="0527E330">
      <w:pPr>
        <w:ind w:firstLine="560"/>
      </w:pPr>
      <w:r>
        <w:rPr>
          <w:rFonts w:hint="eastAsia"/>
        </w:rPr>
        <w:t>主要是由于沟槽开挖时没有按照设计要求的开挖深度进行，或者在开挖过程中遇到了不良地质而没有进行地质加固措施，造成管基的下沉，导致管道接口的开裂或变形而影响其正常使用。</w:t>
      </w:r>
    </w:p>
    <w:p w14:paraId="0FC0EF1E">
      <w:pPr>
        <w:ind w:firstLine="560"/>
      </w:pPr>
      <w:r>
        <w:rPr>
          <w:rFonts w:hint="eastAsia"/>
        </w:rPr>
        <w:t>4.供水管网爆管</w:t>
      </w:r>
    </w:p>
    <w:p w14:paraId="5B5BDED5">
      <w:pPr>
        <w:ind w:firstLine="560"/>
      </w:pPr>
      <w:r>
        <w:rPr>
          <w:rFonts w:hint="eastAsia"/>
        </w:rPr>
        <w:t>供水管道爆管常有发生，特别是大口径供水管爆管尤为频繁.供水管爆管严重影响了供水服务，往往导致道路交通中断，地区水压骤降，用户水量减小.而供水中断和派生出来的其他一些问题，不但使经济上遭受损失，而且社会影响也很大。</w:t>
      </w:r>
    </w:p>
    <w:p w14:paraId="33C06950">
      <w:pPr>
        <w:ind w:firstLine="560"/>
      </w:pPr>
      <w:r>
        <w:rPr>
          <w:rFonts w:hint="eastAsia"/>
        </w:rPr>
        <w:t>5.管道基础变形过大</w:t>
      </w:r>
    </w:p>
    <w:p w14:paraId="79889767">
      <w:pPr>
        <w:ind w:firstLine="560"/>
      </w:pPr>
      <w:r>
        <w:rPr>
          <w:rFonts w:hint="eastAsia"/>
        </w:rPr>
        <w:t>当管道位于松软土层上时，通常要用浇筑混凝土基础来处理，有时基础变形过大会发生起拱、断裂等现象。其原因可能是：槽底土层松软或在开挖过程中土体扰动，导致土层不稳定，影响管基浇筑的平整度和强度；井点降水失效或中途停止，致使地下水涌水，直接造成已浇筑的混凝土起拱或开裂；明水排水措施不良或突遇强降水，大量水冲入沟槽时水泥浆流失，破坏了混凝土结构；混凝土强度不足，或基座厚度不足，或混凝土养护期不够，影响了管基的强度。</w:t>
      </w:r>
    </w:p>
    <w:p w14:paraId="23614A8C">
      <w:pPr>
        <w:ind w:firstLine="560"/>
      </w:pPr>
      <w:r>
        <w:rPr>
          <w:rFonts w:hint="eastAsia"/>
        </w:rPr>
        <w:t>6.沟槽回填</w:t>
      </w:r>
    </w:p>
    <w:p w14:paraId="2449DC4E">
      <w:pPr>
        <w:ind w:firstLine="560"/>
      </w:pPr>
      <w:r>
        <w:rPr>
          <w:rFonts w:hint="eastAsia"/>
        </w:rPr>
        <w:t>比如回填的物质不合乎相关的规定，土的水分较多，沙砾的尺寸不正确等等。虚铺的尺寸太大，压实的次数较少。在夯填的时候，设备的配置无序。压实性不合乎相关的规定等。此类问题就会导致路面出现沉降问题，和管控机构之间发生不利现象，进而导致建设机构面对不利现象。</w:t>
      </w:r>
    </w:p>
    <w:p w14:paraId="4ABFE060">
      <w:pPr>
        <w:pStyle w:val="5"/>
        <w:spacing w:before="31" w:after="31"/>
        <w:ind w:firstLine="562"/>
      </w:pPr>
      <w:bookmarkStart w:id="6319" w:name="_Toc29518"/>
      <w:bookmarkStart w:id="6320" w:name="_Toc5526"/>
      <w:bookmarkStart w:id="6321" w:name="_Toc19633"/>
      <w:bookmarkStart w:id="6322" w:name="_Toc17108"/>
      <w:r>
        <w:rPr>
          <w:rFonts w:hint="eastAsia"/>
        </w:rPr>
        <w:t>（二）供水管道工程施工质量通病防治措施</w:t>
      </w:r>
      <w:bookmarkEnd w:id="6319"/>
      <w:bookmarkEnd w:id="6320"/>
      <w:bookmarkEnd w:id="6321"/>
      <w:bookmarkEnd w:id="6322"/>
    </w:p>
    <w:p w14:paraId="722FADE5">
      <w:pPr>
        <w:ind w:firstLine="560"/>
      </w:pPr>
      <w:r>
        <w:rPr>
          <w:rFonts w:hint="eastAsia"/>
        </w:rPr>
        <w:t>1.合理选用管材</w:t>
      </w:r>
    </w:p>
    <w:p w14:paraId="0AA67E17">
      <w:pPr>
        <w:ind w:firstLine="560"/>
      </w:pPr>
      <w:r>
        <w:rPr>
          <w:rFonts w:hint="eastAsia"/>
        </w:rPr>
        <w:t>选用优质的管材是保证供水管道工程安全运行的前提条件。随着我国经济的发展和城市化进程的加快，长距离输水管道工程在各地不断兴建.钢管具有取材制作方便、安装技术成熟、适应复杂地形等特点，既适用于埋地敷设，又可用于跨越架空、过河倒虹和顶管施工。但钢管最大的缺陷是在自然环境中易产生腐蚀，因此做好钢管的内外防腐是延长钢管使用寿命的重要施工环节。在施工中所用管材管件应符合国家现行产品标准，并附有产品出厂合格证和卫生许可证、力学试验报告等资料；管材外观质量要求表面平整无裂缝和蜂窝麻面现象；管材运输时应垫稳、绑牢，不得相互撞击，接口及防腐层应做好保护措施；在下料组对前仔细检查，对发现有管材变形、严重划伤、法兰及阀门密封圈损坏、配件有裂纹或蜂窝麻面等有质量问题的材料应更换并做明显标志，以防下次误用。安装前消除承口内的油污、飞刺、铸沙及凹凸不平的铸瘤，柔性接口的承口内工作面应修整光滑；供水管道试压前应先将试压管段所有敞口堵严，如封堵不严密，势必造成渗漏水现象，因此在试压前应逐个检查封堵情况；试压时管道内的气体应排除，升压过程发现弹簧压力计表针摆动、不稳且升压较慢时应重新排气后再升压；试压时应分级升压，每升一级应检查后背、支墩、管身及接口，未见异常现象，再继续升压。</w:t>
      </w:r>
    </w:p>
    <w:p w14:paraId="03F10313">
      <w:pPr>
        <w:ind w:firstLine="560"/>
      </w:pPr>
      <w:r>
        <w:rPr>
          <w:rFonts w:hint="eastAsia"/>
        </w:rPr>
        <w:t>2.严格沟槽开挖</w:t>
      </w:r>
    </w:p>
    <w:p w14:paraId="19C801BF">
      <w:pPr>
        <w:ind w:firstLine="560"/>
      </w:pPr>
      <w:r>
        <w:rPr>
          <w:rFonts w:hint="eastAsia"/>
        </w:rPr>
        <w:t>在沟槽开挖过程中，为防止边坡塌方，施工前要根据土壤类别、土的力学性质确定适当的槽帮坡度；实施支撑的直槽槽帮坡度一般采用1：0.05，对于较深的沟槽，宜分层开挖，挖槽土方应妥善安排堆放位置一般情况堆在沟槽两侧，堆土下坡脚与槽边的距离根据槽深、土质、槽边坡来确定；在确定开挖断面时，要考虑生产安全和工程质量，既要注意边坡放坡的科学合理性又要安全和经济，保证施工交全和路基畅通。在开挖过程中，每开挖一定的距离都要对槽底高进行严格测量控制，特别注意槽底上方不得超挖，对超挖部分要仔细回填夯实，严禁槽底低注处进水积水，严禁夯填中使用腐植土、垃圾土、淤泥等。</w:t>
      </w:r>
    </w:p>
    <w:p w14:paraId="38863049">
      <w:pPr>
        <w:ind w:firstLine="560"/>
      </w:pPr>
      <w:r>
        <w:rPr>
          <w:rFonts w:hint="eastAsia"/>
        </w:rPr>
        <w:t>3.管道安装</w:t>
      </w:r>
    </w:p>
    <w:p w14:paraId="536FBA9E">
      <w:pPr>
        <w:ind w:firstLine="560"/>
      </w:pPr>
      <w:r>
        <w:rPr>
          <w:rFonts w:hint="eastAsia"/>
        </w:rPr>
        <w:t>在供水管道的安装工程中，接口连接是防止接口漏水，使管网安全、可靠运行的关键，在管道施工中应严格按照要求施工，提高施工技术，保证施工质量。首先，选用质量良好的接口填料并按试验配合比和合理的施工工艺组织施工。其次，采用水泥接口施工时，注意水泥随用随拌，不能使用超过初凝期的水泥，打口时，应从下往上填灰，分层填打，每层至少两遍，打好后的接口表面应平整，并应湿养护1-2天。再次，采用膨胀水泥接口施工时：砂浆随用随拌，使用时间不超过45分钟；膨胀水泥封口的接口，要用稀泥糊口作保水养生，气温低于-5度时不得施工。最后，采用球墨铸铁橡胶圈柔性接口施工时，承口内侧、插口外部凹槽应清理干净；将橡胶圈套入插口上的凹槽内，保证橡胶圈在凹槽内受力均匀，没有扭曲翻转的现象。</w:t>
      </w:r>
    </w:p>
    <w:p w14:paraId="534662B0">
      <w:pPr>
        <w:ind w:firstLine="560"/>
      </w:pPr>
      <w:r>
        <w:rPr>
          <w:rFonts w:hint="eastAsia"/>
        </w:rPr>
        <w:t>4.管道的基础与回填</w:t>
      </w:r>
    </w:p>
    <w:p w14:paraId="2BC63088">
      <w:pPr>
        <w:ind w:firstLine="560"/>
      </w:pPr>
      <w:r>
        <w:rPr>
          <w:rFonts w:hint="eastAsia"/>
        </w:rPr>
        <w:t>首先，管道支墩的设置。一般能利用管道本身借转的大慢弯地段未设支墩，其余设有三通、弯头和堵板处均经过计算，与标准图核对后设置了混凝土支墩；支墩的后背基本是原状土，并保证了土体与支墩紧密接触，有空隙的地方采用了与支墩相同的材料填实，避免试压时产生位移。其次，排气阀、泄水阀及消火栓的设置。输水管道负担全系统供水，且压力较高，所以它的安全运行问题始终没被有关部门和设计部门所重视。输水管道常见的事故是爆管，引起爆管的原因主要有：温度应力、管材质量、施工质量、地质构造和水锤等。管道中的气囊虽然不能直接造成水锤，但可借助水锤造成危害。在管道的隆起点设置了自动排气阀，用以排除管内聚集的空气，并在管道需要维修、放空时进入空气，保持排水畅通；同时在产生水锤时，可使空气自动进入，避免产生负压，损坏管道。在管道的下凹处，设置了排水管及泄水阀，以便排除管内沉积物或维修时放空管道。经与消防部门联系，在主要路口处设置了地下式消火栓，以便防火时使用。</w:t>
      </w:r>
    </w:p>
    <w:p w14:paraId="64B4DDAE">
      <w:pPr>
        <w:pStyle w:val="3"/>
      </w:pPr>
      <w:bookmarkStart w:id="6323" w:name="_Toc1153"/>
      <w:bookmarkStart w:id="6324" w:name="_Toc19596"/>
      <w:bookmarkStart w:id="6325" w:name="_Toc1382"/>
      <w:bookmarkStart w:id="6326" w:name="_Toc10529"/>
      <w:r>
        <w:rPr>
          <w:rFonts w:hint="eastAsia"/>
        </w:rPr>
        <w:t>第三节、</w:t>
      </w:r>
      <w:r>
        <w:t>工期控制</w:t>
      </w:r>
      <w:bookmarkEnd w:id="6323"/>
      <w:bookmarkEnd w:id="6324"/>
      <w:bookmarkEnd w:id="6325"/>
      <w:bookmarkEnd w:id="6326"/>
    </w:p>
    <w:p w14:paraId="63DD4AA6">
      <w:pPr>
        <w:pStyle w:val="4"/>
        <w:spacing w:before="93" w:after="31"/>
      </w:pPr>
      <w:bookmarkStart w:id="6327" w:name="_Toc4956"/>
      <w:bookmarkStart w:id="6328" w:name="_Toc26914"/>
      <w:bookmarkStart w:id="6329" w:name="_Toc4544"/>
      <w:bookmarkStart w:id="6330" w:name="_Toc15985"/>
      <w:bookmarkStart w:id="6331" w:name="_Toc20135"/>
      <w:bookmarkStart w:id="6332" w:name="_Toc13632"/>
      <w:bookmarkStart w:id="6333" w:name="_Toc10036"/>
      <w:bookmarkStart w:id="6334" w:name="_Toc27935"/>
      <w:bookmarkStart w:id="6335" w:name="_Toc9427"/>
      <w:bookmarkStart w:id="6336" w:name="_Toc17700"/>
      <w:bookmarkStart w:id="6337" w:name="_Toc4349"/>
      <w:bookmarkStart w:id="6338" w:name="_Toc4265"/>
      <w:bookmarkStart w:id="6339" w:name="_Toc10011"/>
      <w:bookmarkStart w:id="6340" w:name="_Toc9455"/>
      <w:bookmarkStart w:id="6341" w:name="_Toc16815"/>
      <w:bookmarkStart w:id="6342" w:name="_Toc18843"/>
      <w:bookmarkStart w:id="6343" w:name="_Toc20760"/>
      <w:bookmarkStart w:id="6344" w:name="_Toc9825"/>
      <w:bookmarkStart w:id="6345" w:name="_Toc16696"/>
      <w:bookmarkStart w:id="6346" w:name="_Toc5782"/>
      <w:bookmarkStart w:id="6347" w:name="_Toc11386"/>
      <w:bookmarkStart w:id="6348" w:name="_Toc1713"/>
      <w:bookmarkStart w:id="6349" w:name="_Toc26922"/>
      <w:bookmarkStart w:id="6350" w:name="_Toc17862"/>
      <w:bookmarkStart w:id="6351" w:name="_Toc24334"/>
      <w:bookmarkStart w:id="6352" w:name="_Toc814"/>
      <w:bookmarkStart w:id="6353" w:name="_Toc24587"/>
      <w:bookmarkStart w:id="6354" w:name="_Toc18220"/>
      <w:bookmarkStart w:id="6355" w:name="_Toc21256"/>
      <w:bookmarkStart w:id="6356" w:name="_Toc29602"/>
      <w:bookmarkStart w:id="6357" w:name="_Toc2985"/>
      <w:bookmarkStart w:id="6358" w:name="_Toc3065"/>
      <w:bookmarkStart w:id="6359" w:name="_Toc13933"/>
      <w:bookmarkStart w:id="6360" w:name="_Toc1562"/>
      <w:bookmarkStart w:id="6361" w:name="_Toc18254"/>
      <w:bookmarkStart w:id="6362" w:name="_Toc28254"/>
      <w:bookmarkStart w:id="6363" w:name="_Toc9494"/>
      <w:bookmarkStart w:id="6364" w:name="_Toc17684"/>
      <w:bookmarkStart w:id="6365" w:name="_Toc24931"/>
      <w:bookmarkStart w:id="6366" w:name="_Toc11181"/>
      <w:bookmarkStart w:id="6367" w:name="_Toc9287"/>
      <w:bookmarkStart w:id="6368" w:name="_Toc22535"/>
      <w:bookmarkStart w:id="6369" w:name="_Toc13779"/>
      <w:bookmarkStart w:id="6370" w:name="_Toc7080"/>
      <w:bookmarkStart w:id="6371" w:name="_Toc7164"/>
      <w:bookmarkStart w:id="6372" w:name="_Toc22308"/>
      <w:bookmarkStart w:id="6373" w:name="_Toc1125"/>
      <w:bookmarkStart w:id="6374" w:name="_Toc6090"/>
      <w:bookmarkStart w:id="6375" w:name="_Toc20439"/>
      <w:bookmarkStart w:id="6376" w:name="_Toc8935"/>
      <w:bookmarkStart w:id="6377" w:name="_Toc9730"/>
      <w:bookmarkStart w:id="6378" w:name="_Toc31306"/>
      <w:bookmarkStart w:id="6379" w:name="_Toc5596"/>
      <w:bookmarkStart w:id="6380" w:name="_Toc9859"/>
      <w:bookmarkStart w:id="6381" w:name="_Toc15891"/>
      <w:bookmarkStart w:id="6382" w:name="_Toc22649"/>
      <w:bookmarkStart w:id="6383" w:name="_Toc14432"/>
      <w:bookmarkStart w:id="6384" w:name="_Toc16496"/>
      <w:bookmarkStart w:id="6385" w:name="_Toc16663"/>
      <w:bookmarkStart w:id="6386" w:name="_Toc14804"/>
      <w:bookmarkStart w:id="6387" w:name="_Toc22016"/>
      <w:bookmarkStart w:id="6388" w:name="_Toc16393"/>
      <w:bookmarkStart w:id="6389" w:name="_Toc23050"/>
      <w:bookmarkStart w:id="6390" w:name="_Toc28362"/>
      <w:bookmarkStart w:id="6391" w:name="_Toc31049"/>
      <w:bookmarkStart w:id="6392" w:name="_Toc437"/>
      <w:bookmarkStart w:id="6393" w:name="_Toc1719"/>
      <w:bookmarkStart w:id="6394" w:name="_Toc15828"/>
      <w:bookmarkStart w:id="6395" w:name="_Toc18476"/>
      <w:bookmarkStart w:id="6396" w:name="_Toc1601"/>
      <w:bookmarkStart w:id="6397" w:name="_Toc2875"/>
      <w:bookmarkStart w:id="6398" w:name="_Toc9772"/>
      <w:bookmarkStart w:id="6399" w:name="_Toc24777"/>
      <w:bookmarkStart w:id="6400" w:name="_Toc9330"/>
      <w:bookmarkStart w:id="6401" w:name="_Toc13241"/>
      <w:bookmarkStart w:id="6402" w:name="_Toc9841"/>
      <w:bookmarkStart w:id="6403" w:name="_Toc2458"/>
      <w:bookmarkStart w:id="6404" w:name="_Toc31603"/>
      <w:bookmarkStart w:id="6405" w:name="_Toc24337"/>
      <w:bookmarkStart w:id="6406" w:name="_Toc3711"/>
      <w:bookmarkStart w:id="6407" w:name="_Toc27343"/>
      <w:bookmarkStart w:id="6408" w:name="_Toc23878"/>
      <w:bookmarkStart w:id="6409" w:name="_Toc24293"/>
      <w:bookmarkStart w:id="6410" w:name="_Toc20520"/>
      <w:bookmarkStart w:id="6411" w:name="_Toc1951"/>
      <w:bookmarkStart w:id="6412" w:name="_Toc26729"/>
      <w:bookmarkStart w:id="6413" w:name="_Toc20491"/>
      <w:bookmarkStart w:id="6414" w:name="_Toc17451"/>
      <w:bookmarkStart w:id="6415" w:name="_Toc23854"/>
      <w:bookmarkStart w:id="6416" w:name="_Toc31048"/>
      <w:bookmarkStart w:id="6417" w:name="_Toc28106"/>
      <w:bookmarkStart w:id="6418" w:name="_Toc24397"/>
      <w:bookmarkStart w:id="6419" w:name="_Toc23969"/>
      <w:bookmarkStart w:id="6420" w:name="_Toc29140"/>
      <w:bookmarkStart w:id="6421" w:name="_Toc12388"/>
      <w:bookmarkStart w:id="6422" w:name="_Toc17799"/>
      <w:bookmarkStart w:id="6423" w:name="_Toc19043"/>
      <w:bookmarkStart w:id="6424" w:name="_Toc31843"/>
      <w:bookmarkStart w:id="6425" w:name="_Toc22492"/>
      <w:bookmarkStart w:id="6426" w:name="_Toc25638"/>
      <w:bookmarkStart w:id="6427" w:name="_Toc6411"/>
      <w:bookmarkStart w:id="6428" w:name="_Toc15026"/>
      <w:bookmarkStart w:id="6429" w:name="_Toc14125"/>
      <w:bookmarkStart w:id="6430" w:name="_Toc28792"/>
      <w:bookmarkStart w:id="6431" w:name="_Toc18916"/>
      <w:bookmarkStart w:id="6432" w:name="_Toc6157"/>
      <w:bookmarkStart w:id="6433" w:name="_Toc7426"/>
      <w:bookmarkStart w:id="6434" w:name="_Toc8223"/>
      <w:bookmarkStart w:id="6435" w:name="_Toc1967"/>
      <w:bookmarkStart w:id="6436" w:name="_Toc16118"/>
      <w:r>
        <w:rPr>
          <w:rFonts w:hint="eastAsia"/>
        </w:rPr>
        <w:t>一、工程进度计划确定</w:t>
      </w:r>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p>
    <w:p w14:paraId="55755F2F">
      <w:pPr>
        <w:ind w:firstLine="560"/>
      </w:pPr>
      <w:r>
        <w:rPr>
          <w:rFonts w:hint="eastAsia"/>
        </w:rPr>
        <w:t>依据施工组织与筹划，对里程碑计划的进行分解，确保我公司对业主承诺的各项管理目标的实现。结合本工程概况分析、施工方法、资源配置以及我公司施工类似工程总结的经验，公司对本工程的重视程度，确定本工程进度计划。</w:t>
      </w:r>
    </w:p>
    <w:p w14:paraId="046F4CBB">
      <w:pPr>
        <w:ind w:firstLine="560"/>
      </w:pPr>
      <w:r>
        <w:rPr>
          <w:rFonts w:hint="eastAsia"/>
        </w:rPr>
        <w:t>进度计划控制是实现本工程的重要保证，通过对各项工作量与工程量分解，选择合理科学的施工方法，资源配置的有效组织与利用,对分包单位的有效协调与控制，通过制定强有力的措施保证，实施对施工进度进行全过程控制，确保进度计划的实现，到达预期目标。</w:t>
      </w:r>
    </w:p>
    <w:p w14:paraId="03C85695">
      <w:pPr>
        <w:pStyle w:val="5"/>
        <w:spacing w:before="31" w:after="31"/>
        <w:ind w:firstLine="562"/>
      </w:pPr>
      <w:bookmarkStart w:id="6437" w:name="_Toc25360"/>
      <w:bookmarkStart w:id="6438" w:name="_Toc5963"/>
      <w:bookmarkStart w:id="6439" w:name="_Toc13081"/>
      <w:bookmarkStart w:id="6440" w:name="_Toc5627"/>
      <w:bookmarkStart w:id="6441" w:name="_Toc27178"/>
      <w:bookmarkStart w:id="6442" w:name="_Toc29212"/>
      <w:bookmarkStart w:id="6443" w:name="_Toc31742"/>
      <w:bookmarkStart w:id="6444" w:name="_Toc13910"/>
      <w:bookmarkStart w:id="6445" w:name="_Toc3632"/>
      <w:bookmarkStart w:id="6446" w:name="_Toc9004"/>
      <w:bookmarkStart w:id="6447" w:name="_Toc7777"/>
      <w:bookmarkStart w:id="6448" w:name="_Toc25036"/>
      <w:bookmarkStart w:id="6449" w:name="_Toc365"/>
      <w:bookmarkStart w:id="6450" w:name="_Toc18106"/>
      <w:bookmarkStart w:id="6451" w:name="_Toc20164"/>
      <w:bookmarkStart w:id="6452" w:name="_Toc12471"/>
      <w:bookmarkStart w:id="6453" w:name="_Toc15868"/>
      <w:bookmarkStart w:id="6454" w:name="_Toc22580"/>
      <w:bookmarkStart w:id="6455" w:name="_Toc2496"/>
      <w:bookmarkStart w:id="6456" w:name="_Toc3992"/>
      <w:bookmarkStart w:id="6457" w:name="_Toc13233"/>
      <w:bookmarkStart w:id="6458" w:name="_Toc9952"/>
      <w:bookmarkStart w:id="6459" w:name="_Toc2580"/>
      <w:bookmarkStart w:id="6460" w:name="_Toc13214"/>
      <w:bookmarkStart w:id="6461" w:name="_Toc26685"/>
      <w:bookmarkStart w:id="6462" w:name="_Toc30419"/>
      <w:bookmarkStart w:id="6463" w:name="_Toc6959"/>
      <w:bookmarkStart w:id="6464" w:name="_Toc20776"/>
      <w:bookmarkStart w:id="6465" w:name="_Toc20909"/>
      <w:bookmarkStart w:id="6466" w:name="_Toc2722"/>
      <w:bookmarkStart w:id="6467" w:name="_Toc27583"/>
      <w:bookmarkStart w:id="6468" w:name="_Toc15846"/>
      <w:bookmarkStart w:id="6469" w:name="_Toc23129"/>
      <w:bookmarkStart w:id="6470" w:name="_Toc8681"/>
      <w:bookmarkStart w:id="6471" w:name="_Toc8930"/>
      <w:bookmarkStart w:id="6472" w:name="_Toc12067"/>
      <w:bookmarkStart w:id="6473" w:name="_Toc3155"/>
      <w:bookmarkStart w:id="6474" w:name="_Toc20943"/>
      <w:bookmarkStart w:id="6475" w:name="_Toc30141"/>
      <w:bookmarkStart w:id="6476" w:name="_Toc3905"/>
      <w:bookmarkStart w:id="6477" w:name="_Toc20589"/>
      <w:bookmarkStart w:id="6478" w:name="_Toc31324"/>
      <w:bookmarkStart w:id="6479" w:name="_Toc24997"/>
      <w:bookmarkStart w:id="6480" w:name="_Toc8723"/>
      <w:bookmarkStart w:id="6481" w:name="_Toc13037"/>
      <w:bookmarkStart w:id="6482" w:name="_Toc21972"/>
      <w:bookmarkStart w:id="6483" w:name="_Toc11561"/>
      <w:bookmarkStart w:id="6484" w:name="_Toc8282"/>
      <w:bookmarkStart w:id="6485" w:name="_Toc16772"/>
      <w:bookmarkStart w:id="6486" w:name="_Toc27653"/>
      <w:bookmarkStart w:id="6487" w:name="_Toc3499"/>
      <w:bookmarkStart w:id="6488" w:name="_Toc23104"/>
      <w:bookmarkStart w:id="6489" w:name="_Toc4261"/>
      <w:bookmarkStart w:id="6490" w:name="_Toc19413"/>
      <w:bookmarkStart w:id="6491" w:name="_Toc12119"/>
      <w:bookmarkStart w:id="6492" w:name="_Toc32027"/>
      <w:bookmarkStart w:id="6493" w:name="_Toc20657"/>
      <w:bookmarkStart w:id="6494" w:name="_Toc10014"/>
      <w:r>
        <w:rPr>
          <w:rFonts w:hint="eastAsia"/>
        </w:rPr>
        <w:t>（一）工期目标</w:t>
      </w:r>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p>
    <w:p w14:paraId="4CA64194">
      <w:pPr>
        <w:widowControl/>
        <w:ind w:firstLine="560"/>
        <w:jc w:val="left"/>
      </w:pPr>
      <w:r>
        <w:rPr>
          <w:rFonts w:hint="eastAsia"/>
        </w:rPr>
        <w:t>严格按招标文件及签订的合同约定时间，本工程根据招标文件要求总工期为：</w:t>
      </w:r>
    </w:p>
    <w:p w14:paraId="4609EDE7">
      <w:pPr>
        <w:bidi w:val="0"/>
        <w:rPr>
          <w:rFonts w:hint="eastAsia"/>
          <w:lang w:val="en-US"/>
        </w:rPr>
      </w:pPr>
      <w:r>
        <w:rPr>
          <w:rFonts w:hint="eastAsia"/>
          <w:lang w:val="en-US"/>
        </w:rPr>
        <w:t>计划工期：450 日历天（施工图设计及图审：60 日历天）</w:t>
      </w:r>
    </w:p>
    <w:p w14:paraId="246629A4">
      <w:pPr>
        <w:bidi w:val="0"/>
        <w:rPr>
          <w:rFonts w:hint="eastAsia"/>
          <w:lang w:val="en-US"/>
        </w:rPr>
      </w:pPr>
      <w:r>
        <w:rPr>
          <w:rFonts w:hint="eastAsia"/>
          <w:lang w:val="en-US"/>
        </w:rPr>
        <w:t>计划开工日期：2021 年 11 月 30 日</w:t>
      </w:r>
    </w:p>
    <w:p w14:paraId="362CA350">
      <w:pPr>
        <w:bidi w:val="0"/>
      </w:pPr>
      <w:r>
        <w:rPr>
          <w:rFonts w:hint="eastAsia"/>
          <w:lang w:val="en-US"/>
        </w:rPr>
        <w:t>计划竣工日期：2023 年 02 月 22 日</w:t>
      </w:r>
    </w:p>
    <w:p w14:paraId="1977BBE3">
      <w:pPr>
        <w:pStyle w:val="5"/>
        <w:spacing w:before="31" w:after="31"/>
        <w:ind w:firstLine="562"/>
      </w:pPr>
      <w:bookmarkStart w:id="6495" w:name="_Toc32387"/>
      <w:bookmarkStart w:id="6496" w:name="_Toc10066"/>
      <w:bookmarkStart w:id="6497" w:name="_Toc14875"/>
      <w:bookmarkStart w:id="6498" w:name="_Toc16816"/>
      <w:bookmarkStart w:id="6499" w:name="_Toc7811"/>
      <w:bookmarkStart w:id="6500" w:name="_Toc27177"/>
      <w:bookmarkStart w:id="6501" w:name="_Toc14497"/>
      <w:bookmarkStart w:id="6502" w:name="_Toc16159"/>
      <w:bookmarkStart w:id="6503" w:name="_Toc6478"/>
      <w:bookmarkStart w:id="6504" w:name="_Toc4893"/>
      <w:bookmarkStart w:id="6505" w:name="_Toc2406"/>
      <w:bookmarkStart w:id="6506" w:name="_Toc13954"/>
      <w:bookmarkStart w:id="6507" w:name="_Toc292"/>
      <w:bookmarkStart w:id="6508" w:name="_Toc16479"/>
      <w:bookmarkStart w:id="6509" w:name="_Toc10744"/>
      <w:bookmarkStart w:id="6510" w:name="_Toc3001"/>
      <w:bookmarkStart w:id="6511" w:name="_Toc1557"/>
      <w:bookmarkStart w:id="6512" w:name="_Toc1933"/>
      <w:bookmarkStart w:id="6513" w:name="_Toc14250"/>
      <w:bookmarkStart w:id="6514" w:name="_Toc15749"/>
      <w:bookmarkStart w:id="6515" w:name="_Toc22108"/>
      <w:bookmarkStart w:id="6516" w:name="_Toc4144"/>
      <w:bookmarkStart w:id="6517" w:name="_Toc7994"/>
      <w:bookmarkStart w:id="6518" w:name="_Toc529"/>
      <w:bookmarkStart w:id="6519" w:name="_Toc7096"/>
      <w:bookmarkStart w:id="6520" w:name="_Toc20262"/>
      <w:bookmarkStart w:id="6521" w:name="_Toc28824"/>
      <w:bookmarkStart w:id="6522" w:name="_Toc24409"/>
      <w:bookmarkStart w:id="6523" w:name="_Toc23758"/>
      <w:bookmarkStart w:id="6524" w:name="_Toc25158"/>
      <w:bookmarkStart w:id="6525" w:name="_Toc3173"/>
      <w:bookmarkStart w:id="6526" w:name="_Toc17224"/>
      <w:bookmarkStart w:id="6527" w:name="_Toc9335"/>
      <w:bookmarkStart w:id="6528" w:name="_Toc1567"/>
      <w:bookmarkStart w:id="6529" w:name="_Toc14752"/>
      <w:bookmarkStart w:id="6530" w:name="_Toc32601"/>
      <w:bookmarkStart w:id="6531" w:name="_Toc4259"/>
      <w:bookmarkStart w:id="6532" w:name="_Toc24781"/>
      <w:bookmarkStart w:id="6533" w:name="_Toc3311"/>
      <w:bookmarkStart w:id="6534" w:name="_Toc6237"/>
      <w:bookmarkStart w:id="6535" w:name="_Toc31785"/>
      <w:bookmarkStart w:id="6536" w:name="_Toc16130"/>
      <w:bookmarkStart w:id="6537" w:name="_Toc1155"/>
      <w:bookmarkStart w:id="6538" w:name="_Toc32363"/>
      <w:bookmarkStart w:id="6539" w:name="_Toc20785"/>
      <w:bookmarkStart w:id="6540" w:name="_Toc31157"/>
      <w:bookmarkStart w:id="6541" w:name="_Toc21100"/>
      <w:bookmarkStart w:id="6542" w:name="_Toc25322"/>
      <w:bookmarkStart w:id="6543" w:name="_Toc2264"/>
      <w:bookmarkStart w:id="6544" w:name="_Toc10059"/>
      <w:bookmarkStart w:id="6545" w:name="_Toc15340"/>
      <w:bookmarkStart w:id="6546" w:name="_Toc14077"/>
      <w:bookmarkStart w:id="6547" w:name="_Toc16185"/>
      <w:bookmarkStart w:id="6548" w:name="_Toc6784"/>
      <w:bookmarkStart w:id="6549" w:name="_Toc30807"/>
      <w:bookmarkStart w:id="6550" w:name="_Toc145"/>
      <w:bookmarkStart w:id="6551" w:name="_Toc7771"/>
      <w:bookmarkStart w:id="6552" w:name="_Toc23373"/>
      <w:bookmarkStart w:id="6553" w:name="_Toc9264"/>
      <w:r>
        <w:rPr>
          <w:rFonts w:hint="eastAsia"/>
        </w:rPr>
        <w:t>（二）总进度计划确定</w:t>
      </w:r>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p>
    <w:p w14:paraId="1086CBF9">
      <w:pPr>
        <w:ind w:firstLine="560"/>
      </w:pPr>
      <w:r>
        <w:rPr>
          <w:rFonts w:hint="eastAsia"/>
        </w:rPr>
        <w:t>依据主要分局部项工程工期计划安排，按照工程施工的组织与逻辑关系，确定本工程施工总进度计划。</w:t>
      </w:r>
    </w:p>
    <w:p w14:paraId="371E64DB">
      <w:pPr>
        <w:pStyle w:val="4"/>
        <w:spacing w:before="93" w:after="31"/>
      </w:pPr>
      <w:bookmarkStart w:id="6554" w:name="_Toc10459"/>
      <w:bookmarkStart w:id="6555" w:name="_Toc15748"/>
      <w:bookmarkStart w:id="6556" w:name="_Toc5667"/>
      <w:bookmarkStart w:id="6557" w:name="_Toc18642"/>
      <w:bookmarkStart w:id="6558" w:name="_Toc5528"/>
      <w:bookmarkStart w:id="6559" w:name="_Toc10231"/>
      <w:bookmarkStart w:id="6560" w:name="_Toc31954"/>
      <w:bookmarkStart w:id="6561" w:name="_Toc22893"/>
      <w:bookmarkStart w:id="6562" w:name="_Toc16307"/>
      <w:bookmarkStart w:id="6563" w:name="_Toc28343"/>
      <w:bookmarkStart w:id="6564" w:name="_Toc12220"/>
      <w:bookmarkStart w:id="6565" w:name="_Toc8682"/>
      <w:bookmarkStart w:id="6566" w:name="_Toc4351"/>
      <w:bookmarkStart w:id="6567" w:name="_Toc9651"/>
      <w:bookmarkStart w:id="6568" w:name="_Toc14599"/>
      <w:r>
        <w:rPr>
          <w:rFonts w:hint="eastAsia"/>
        </w:rPr>
        <w:t>二、施工进度编制原则及依据</w:t>
      </w:r>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p>
    <w:p w14:paraId="185F36D9">
      <w:pPr>
        <w:pStyle w:val="5"/>
        <w:spacing w:before="31" w:after="31"/>
        <w:ind w:firstLine="562"/>
      </w:pPr>
      <w:bookmarkStart w:id="6569" w:name="_Toc30183"/>
      <w:bookmarkStart w:id="6570" w:name="_Toc16402"/>
      <w:bookmarkStart w:id="6571" w:name="_Toc25519"/>
      <w:bookmarkStart w:id="6572" w:name="_Toc13010"/>
      <w:bookmarkStart w:id="6573" w:name="_Toc30067"/>
      <w:bookmarkStart w:id="6574" w:name="_Toc18972"/>
      <w:bookmarkStart w:id="6575" w:name="_Toc27455"/>
      <w:bookmarkStart w:id="6576" w:name="_Toc19506"/>
      <w:bookmarkStart w:id="6577" w:name="_Toc18755"/>
      <w:bookmarkStart w:id="6578" w:name="_Toc28674"/>
      <w:bookmarkStart w:id="6579" w:name="_Toc11935"/>
      <w:bookmarkStart w:id="6580" w:name="_Toc19540"/>
      <w:bookmarkStart w:id="6581" w:name="_Toc23486"/>
      <w:bookmarkStart w:id="6582" w:name="_Toc1064"/>
      <w:bookmarkStart w:id="6583" w:name="_Toc18517"/>
      <w:bookmarkStart w:id="6584" w:name="_Toc6893"/>
      <w:bookmarkStart w:id="6585" w:name="_Toc26895"/>
      <w:bookmarkStart w:id="6586" w:name="_Toc30910"/>
      <w:bookmarkStart w:id="6587" w:name="_Toc27773"/>
      <w:bookmarkStart w:id="6588" w:name="_Toc28538"/>
      <w:bookmarkStart w:id="6589" w:name="_Toc18917"/>
      <w:bookmarkStart w:id="6590" w:name="_Toc28703"/>
      <w:bookmarkStart w:id="6591" w:name="_Toc7996"/>
      <w:bookmarkStart w:id="6592" w:name="_Toc13652"/>
      <w:bookmarkStart w:id="6593" w:name="_Toc32"/>
      <w:bookmarkStart w:id="6594" w:name="_Toc3105"/>
      <w:bookmarkStart w:id="6595" w:name="_Toc10961"/>
      <w:bookmarkStart w:id="6596" w:name="_Toc3271"/>
      <w:bookmarkStart w:id="6597" w:name="_Toc21023"/>
      <w:bookmarkStart w:id="6598" w:name="_Toc26520"/>
      <w:bookmarkStart w:id="6599" w:name="_Toc19217"/>
      <w:bookmarkStart w:id="6600" w:name="_Toc29777"/>
      <w:bookmarkStart w:id="6601" w:name="_Toc14034"/>
      <w:bookmarkStart w:id="6602" w:name="_Toc9695"/>
      <w:bookmarkStart w:id="6603" w:name="_Toc31819"/>
      <w:bookmarkStart w:id="6604" w:name="_Toc10855"/>
      <w:bookmarkStart w:id="6605" w:name="_Toc19065"/>
      <w:bookmarkStart w:id="6606" w:name="_Toc19537"/>
      <w:bookmarkStart w:id="6607" w:name="_Toc20370"/>
      <w:bookmarkStart w:id="6608" w:name="_Toc115"/>
      <w:bookmarkStart w:id="6609" w:name="_Toc17336"/>
      <w:bookmarkStart w:id="6610" w:name="_Toc26394"/>
      <w:bookmarkStart w:id="6611" w:name="_Toc29221"/>
      <w:bookmarkStart w:id="6612" w:name="_Toc3916"/>
      <w:bookmarkStart w:id="6613" w:name="_Toc30431"/>
      <w:bookmarkStart w:id="6614" w:name="_Toc17217"/>
      <w:bookmarkStart w:id="6615" w:name="_Toc14586"/>
      <w:bookmarkStart w:id="6616" w:name="_Toc18298"/>
      <w:bookmarkStart w:id="6617" w:name="_Toc25076"/>
      <w:bookmarkStart w:id="6618" w:name="_Toc7694"/>
      <w:bookmarkStart w:id="6619" w:name="_Toc13429"/>
      <w:bookmarkStart w:id="6620" w:name="_Toc24470"/>
      <w:bookmarkStart w:id="6621" w:name="_Toc5588"/>
      <w:bookmarkStart w:id="6622" w:name="_Toc9302"/>
      <w:bookmarkStart w:id="6623" w:name="_Toc15697"/>
      <w:bookmarkStart w:id="6624" w:name="_Toc15524"/>
      <w:r>
        <w:rPr>
          <w:rFonts w:hint="eastAsia"/>
        </w:rPr>
        <w:t>（一）施工进度编制依据</w:t>
      </w:r>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p>
    <w:p w14:paraId="279313A2">
      <w:pPr>
        <w:ind w:firstLine="560"/>
      </w:pPr>
      <w:r>
        <w:rPr>
          <w:rFonts w:hint="eastAsia"/>
        </w:rPr>
        <w:t>1、按照招标文件要求。</w:t>
      </w:r>
    </w:p>
    <w:p w14:paraId="0A422CB5">
      <w:pPr>
        <w:ind w:firstLine="560"/>
      </w:pPr>
      <w:r>
        <w:rPr>
          <w:rFonts w:hint="eastAsia"/>
        </w:rPr>
        <w:t>2、工程设计图纸、各项目工程量、施工技术要求、施工规范。</w:t>
      </w:r>
    </w:p>
    <w:p w14:paraId="2AE5BA50">
      <w:pPr>
        <w:ind w:firstLine="560"/>
      </w:pPr>
      <w:r>
        <w:rPr>
          <w:rFonts w:hint="eastAsia"/>
        </w:rPr>
        <w:t>3、现场施工条件。</w:t>
      </w:r>
    </w:p>
    <w:p w14:paraId="325EB7BE">
      <w:pPr>
        <w:ind w:firstLine="560"/>
      </w:pPr>
      <w:r>
        <w:rPr>
          <w:rFonts w:hint="eastAsia"/>
        </w:rPr>
        <w:t>4、主要施工机械的生产效率的工作范围。</w:t>
      </w:r>
    </w:p>
    <w:p w14:paraId="42719AD6">
      <w:pPr>
        <w:ind w:firstLine="560"/>
      </w:pPr>
      <w:r>
        <w:rPr>
          <w:rFonts w:hint="eastAsia"/>
        </w:rPr>
        <w:t>5、我公司现有可供机械设备的数量和施工人员情况。</w:t>
      </w:r>
    </w:p>
    <w:p w14:paraId="468041A2">
      <w:pPr>
        <w:ind w:firstLine="560"/>
      </w:pPr>
      <w:r>
        <w:rPr>
          <w:rFonts w:hint="eastAsia"/>
        </w:rPr>
        <w:t>6、施工人员现场工作时间：不考虑节假日，每天正常工作时间初定8小时（根据最终工程进度完成情况可适当调整）。</w:t>
      </w:r>
    </w:p>
    <w:p w14:paraId="3D45244D">
      <w:pPr>
        <w:pStyle w:val="5"/>
        <w:spacing w:before="31" w:after="31"/>
        <w:ind w:firstLine="562"/>
      </w:pPr>
      <w:bookmarkStart w:id="6625" w:name="_Toc15894"/>
      <w:bookmarkStart w:id="6626" w:name="_Toc15000"/>
      <w:bookmarkStart w:id="6627" w:name="_Toc2613"/>
      <w:bookmarkStart w:id="6628" w:name="_Toc16169"/>
      <w:bookmarkStart w:id="6629" w:name="_Toc10110"/>
      <w:bookmarkStart w:id="6630" w:name="_Toc29247"/>
      <w:bookmarkStart w:id="6631" w:name="_Toc13335"/>
      <w:bookmarkStart w:id="6632" w:name="_Toc25934"/>
      <w:bookmarkStart w:id="6633" w:name="_Toc1171"/>
      <w:bookmarkStart w:id="6634" w:name="_Toc25907"/>
      <w:bookmarkStart w:id="6635" w:name="_Toc27868"/>
      <w:bookmarkStart w:id="6636" w:name="_Toc13341"/>
      <w:bookmarkStart w:id="6637" w:name="_Toc26580"/>
      <w:bookmarkStart w:id="6638" w:name="_Toc25321"/>
      <w:bookmarkStart w:id="6639" w:name="_Toc21543"/>
      <w:bookmarkStart w:id="6640" w:name="_Toc29804"/>
      <w:bookmarkStart w:id="6641" w:name="_Toc113"/>
      <w:bookmarkStart w:id="6642" w:name="_Toc8470"/>
      <w:bookmarkStart w:id="6643" w:name="_Toc22932"/>
      <w:bookmarkStart w:id="6644" w:name="_Toc22813"/>
      <w:bookmarkStart w:id="6645" w:name="_Toc24001"/>
      <w:bookmarkStart w:id="6646" w:name="_Toc1370"/>
      <w:bookmarkStart w:id="6647" w:name="_Toc25459"/>
      <w:bookmarkStart w:id="6648" w:name="_Toc13767"/>
      <w:bookmarkStart w:id="6649" w:name="_Toc16554"/>
      <w:bookmarkStart w:id="6650" w:name="_Toc17922"/>
      <w:bookmarkStart w:id="6651" w:name="_Toc7472"/>
      <w:bookmarkStart w:id="6652" w:name="_Toc31076"/>
      <w:bookmarkStart w:id="6653" w:name="_Toc22781"/>
      <w:bookmarkStart w:id="6654" w:name="_Toc23477"/>
      <w:bookmarkStart w:id="6655" w:name="_Toc20580"/>
      <w:bookmarkStart w:id="6656" w:name="_Toc17627"/>
      <w:bookmarkStart w:id="6657" w:name="_Toc138"/>
      <w:bookmarkStart w:id="6658" w:name="_Toc7554"/>
      <w:bookmarkStart w:id="6659" w:name="_Toc22934"/>
      <w:bookmarkStart w:id="6660" w:name="_Toc24863"/>
      <w:bookmarkStart w:id="6661" w:name="_Toc22427"/>
      <w:bookmarkStart w:id="6662" w:name="_Toc41"/>
      <w:bookmarkStart w:id="6663" w:name="_Toc21057"/>
      <w:bookmarkStart w:id="6664" w:name="_Toc9007"/>
      <w:bookmarkStart w:id="6665" w:name="_Toc31072"/>
      <w:bookmarkStart w:id="6666" w:name="_Toc19073"/>
      <w:bookmarkStart w:id="6667" w:name="_Toc25658"/>
      <w:bookmarkStart w:id="6668" w:name="_Toc812"/>
      <w:bookmarkStart w:id="6669" w:name="_Toc31814"/>
      <w:bookmarkStart w:id="6670" w:name="_Toc25581"/>
      <w:bookmarkStart w:id="6671" w:name="_Toc31339"/>
      <w:bookmarkStart w:id="6672" w:name="_Toc3772"/>
      <w:bookmarkStart w:id="6673" w:name="_Toc25960"/>
      <w:bookmarkStart w:id="6674" w:name="_Toc7265"/>
      <w:bookmarkStart w:id="6675" w:name="_Toc1862"/>
      <w:bookmarkStart w:id="6676" w:name="_Toc23519"/>
      <w:bookmarkStart w:id="6677" w:name="_Toc5253"/>
      <w:bookmarkStart w:id="6678" w:name="_Toc3627"/>
      <w:bookmarkStart w:id="6679" w:name="_Toc19887"/>
      <w:bookmarkStart w:id="6680" w:name="_Toc23665"/>
      <w:bookmarkStart w:id="6681" w:name="_Toc10732"/>
      <w:bookmarkStart w:id="6682" w:name="_Toc706"/>
      <w:bookmarkStart w:id="6683" w:name="_Toc7609"/>
      <w:bookmarkStart w:id="6684" w:name="_Toc14135"/>
      <w:r>
        <w:rPr>
          <w:rFonts w:hint="eastAsia"/>
        </w:rPr>
        <w:t>（二）施工进度编制原则</w:t>
      </w:r>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p>
    <w:p w14:paraId="7D8491FF">
      <w:pPr>
        <w:ind w:firstLine="560"/>
      </w:pPr>
      <w:r>
        <w:rPr>
          <w:rFonts w:hint="eastAsia"/>
        </w:rPr>
        <w:t>1、严格执行招标文件规定，保证施工进度计划满足招标文件要求。</w:t>
      </w:r>
    </w:p>
    <w:p w14:paraId="00A692D9">
      <w:pPr>
        <w:ind w:firstLine="560"/>
      </w:pPr>
      <w:r>
        <w:rPr>
          <w:rFonts w:hint="eastAsia"/>
        </w:rPr>
        <w:t>2、在保证质量和安全的前提下，尽量缩短工期，对控制工程总工期的工程和关键项目作重点研究，采取有效措施保证工程施工满</w:t>
      </w:r>
    </w:p>
    <w:p w14:paraId="1AD0B2AC">
      <w:pPr>
        <w:ind w:firstLine="560"/>
      </w:pPr>
      <w:r>
        <w:rPr>
          <w:rFonts w:hint="eastAsia"/>
        </w:rPr>
        <w:t>3、各项施工程序前后兼顾、合理衔接，使施工相互干扰少，施工资源使用相对均衡。</w:t>
      </w:r>
    </w:p>
    <w:p w14:paraId="25D84E5D">
      <w:pPr>
        <w:ind w:firstLine="560"/>
      </w:pPr>
      <w:r>
        <w:rPr>
          <w:rFonts w:hint="eastAsia"/>
        </w:rPr>
        <w:t>4、结合本公司的实际情况，采用平均先进施工技术、机械生产指标，并留适当余地。</w:t>
      </w:r>
    </w:p>
    <w:p w14:paraId="2257D85C">
      <w:pPr>
        <w:ind w:firstLine="560"/>
      </w:pPr>
      <w:r>
        <w:rPr>
          <w:rFonts w:hint="eastAsia"/>
        </w:rPr>
        <w:t>5、在保证工程质量与施工工期要求的前提下，充分节省投资，发挥投资效益。</w:t>
      </w:r>
    </w:p>
    <w:p w14:paraId="20DB293F">
      <w:pPr>
        <w:ind w:firstLine="560"/>
      </w:pPr>
      <w:r>
        <w:rPr>
          <w:rFonts w:hint="eastAsia"/>
        </w:rPr>
        <w:br w:type="page"/>
      </w:r>
    </w:p>
    <w:p w14:paraId="53A4EF54">
      <w:pPr>
        <w:pStyle w:val="4"/>
        <w:spacing w:before="93" w:after="31"/>
      </w:pPr>
      <w:bookmarkStart w:id="6685" w:name="_Toc10760"/>
      <w:bookmarkStart w:id="6686" w:name="_Toc7539"/>
      <w:bookmarkStart w:id="6687" w:name="_Toc5986"/>
      <w:bookmarkStart w:id="6688" w:name="_Toc9877"/>
      <w:bookmarkStart w:id="6689" w:name="_Toc10428"/>
      <w:bookmarkStart w:id="6690" w:name="_Toc25434"/>
      <w:bookmarkStart w:id="6691" w:name="_Toc18823"/>
      <w:bookmarkStart w:id="6692" w:name="_Toc16707"/>
      <w:bookmarkStart w:id="6693" w:name="_Toc2996"/>
      <w:bookmarkStart w:id="6694" w:name="_Toc20651"/>
      <w:bookmarkStart w:id="6695" w:name="_Toc6269"/>
      <w:bookmarkStart w:id="6696" w:name="_Toc14194"/>
      <w:bookmarkStart w:id="6697" w:name="_Toc13962"/>
      <w:bookmarkStart w:id="6698" w:name="_Toc6547"/>
      <w:bookmarkStart w:id="6699" w:name="_Toc20407"/>
      <w:bookmarkStart w:id="6700" w:name="_Toc11447"/>
      <w:bookmarkStart w:id="6701" w:name="_Toc26012"/>
      <w:bookmarkStart w:id="6702" w:name="_Toc31887"/>
      <w:bookmarkStart w:id="6703" w:name="_Toc4555"/>
      <w:bookmarkStart w:id="6704" w:name="_Toc29590"/>
      <w:bookmarkStart w:id="6705" w:name="_Toc25656"/>
      <w:bookmarkStart w:id="6706" w:name="_Toc13793"/>
      <w:bookmarkStart w:id="6707" w:name="_Toc22927"/>
      <w:bookmarkStart w:id="6708" w:name="_Toc11719"/>
      <w:bookmarkStart w:id="6709" w:name="_Toc17495"/>
      <w:bookmarkStart w:id="6710" w:name="_Toc9797"/>
      <w:bookmarkStart w:id="6711" w:name="_Toc13121"/>
      <w:bookmarkStart w:id="6712" w:name="_Toc32655"/>
      <w:bookmarkStart w:id="6713" w:name="_Toc5572"/>
      <w:bookmarkStart w:id="6714" w:name="_Toc27900"/>
      <w:bookmarkStart w:id="6715" w:name="_Toc252"/>
      <w:bookmarkStart w:id="6716" w:name="_Toc10582"/>
      <w:bookmarkStart w:id="6717" w:name="_Toc21600"/>
      <w:bookmarkStart w:id="6718" w:name="_Toc30707"/>
      <w:bookmarkStart w:id="6719" w:name="_Toc28811"/>
      <w:bookmarkStart w:id="6720" w:name="_Toc6753"/>
      <w:bookmarkStart w:id="6721" w:name="_Toc21243"/>
      <w:bookmarkStart w:id="6722" w:name="_Toc22450"/>
      <w:bookmarkStart w:id="6723" w:name="_Toc20942"/>
      <w:bookmarkStart w:id="6724" w:name="_Toc29808"/>
      <w:bookmarkStart w:id="6725" w:name="_Toc564"/>
      <w:bookmarkStart w:id="6726" w:name="_Toc9928"/>
      <w:bookmarkStart w:id="6727" w:name="_Toc13200"/>
      <w:bookmarkStart w:id="6728" w:name="_Toc13864"/>
      <w:bookmarkStart w:id="6729" w:name="_Toc10952"/>
      <w:bookmarkStart w:id="6730" w:name="_Toc10800"/>
      <w:bookmarkStart w:id="6731" w:name="_Toc10707"/>
      <w:bookmarkStart w:id="6732" w:name="_Toc8533"/>
      <w:bookmarkStart w:id="6733" w:name="_Toc31527"/>
      <w:bookmarkStart w:id="6734" w:name="_Toc32540"/>
      <w:bookmarkStart w:id="6735" w:name="_Toc15945"/>
      <w:bookmarkStart w:id="6736" w:name="_Toc15393"/>
      <w:bookmarkStart w:id="6737" w:name="_Toc19202"/>
      <w:bookmarkStart w:id="6738" w:name="_Toc31513"/>
      <w:bookmarkStart w:id="6739" w:name="_Toc13983"/>
      <w:bookmarkStart w:id="6740" w:name="_Toc28931"/>
      <w:bookmarkStart w:id="6741" w:name="_Toc16077"/>
      <w:bookmarkStart w:id="6742" w:name="_Toc9532"/>
      <w:bookmarkStart w:id="6743" w:name="_Toc21133"/>
      <w:r>
        <w:rPr>
          <w:rFonts w:hint="eastAsia"/>
        </w:rPr>
        <w:t>三、确保工期的组织架构</w:t>
      </w:r>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p>
    <w:p w14:paraId="6DF8893B">
      <w:pPr>
        <w:pStyle w:val="5"/>
        <w:spacing w:before="31" w:after="31"/>
        <w:ind w:firstLine="562"/>
      </w:pPr>
      <w:bookmarkStart w:id="6744" w:name="_Toc29342"/>
      <w:bookmarkStart w:id="6745" w:name="_Toc8635"/>
      <w:bookmarkStart w:id="6746" w:name="_Toc30050"/>
      <w:bookmarkStart w:id="6747" w:name="_Toc15836"/>
      <w:bookmarkStart w:id="6748" w:name="_Toc8638"/>
      <w:bookmarkStart w:id="6749" w:name="_Toc8487"/>
      <w:bookmarkStart w:id="6750" w:name="_Toc7038"/>
      <w:bookmarkStart w:id="6751" w:name="_Toc14716"/>
      <w:bookmarkStart w:id="6752" w:name="_Toc7909"/>
      <w:bookmarkStart w:id="6753" w:name="_Toc5875"/>
      <w:bookmarkStart w:id="6754" w:name="_Toc25349"/>
      <w:bookmarkStart w:id="6755" w:name="_Toc24958"/>
      <w:bookmarkStart w:id="6756" w:name="_Toc27584"/>
      <w:bookmarkStart w:id="6757" w:name="_Toc30897"/>
      <w:bookmarkStart w:id="6758" w:name="_Toc31039"/>
      <w:bookmarkStart w:id="6759" w:name="_Toc30643"/>
      <w:bookmarkStart w:id="6760" w:name="_Toc6436"/>
      <w:bookmarkStart w:id="6761" w:name="_Toc11527"/>
      <w:bookmarkStart w:id="6762" w:name="_Toc10406"/>
      <w:bookmarkStart w:id="6763" w:name="_Toc9894"/>
      <w:bookmarkStart w:id="6764" w:name="_Toc29492"/>
      <w:bookmarkStart w:id="6765" w:name="_Toc30422"/>
      <w:bookmarkStart w:id="6766" w:name="_Toc7780"/>
      <w:bookmarkStart w:id="6767" w:name="_Toc28117"/>
      <w:bookmarkStart w:id="6768" w:name="_Toc2178"/>
      <w:bookmarkStart w:id="6769" w:name="_Toc25625"/>
      <w:bookmarkStart w:id="6770" w:name="_Toc18980"/>
      <w:bookmarkStart w:id="6771" w:name="_Toc16286"/>
      <w:bookmarkStart w:id="6772" w:name="_Toc2565"/>
      <w:bookmarkStart w:id="6773" w:name="_Toc28528"/>
      <w:bookmarkStart w:id="6774" w:name="_Toc32740"/>
      <w:bookmarkStart w:id="6775" w:name="_Toc20996"/>
      <w:bookmarkStart w:id="6776" w:name="_Toc31423"/>
      <w:bookmarkStart w:id="6777" w:name="_Toc515"/>
      <w:bookmarkStart w:id="6778" w:name="_Toc19342"/>
      <w:bookmarkStart w:id="6779" w:name="_Toc9100"/>
      <w:bookmarkStart w:id="6780" w:name="_Toc11079"/>
      <w:bookmarkStart w:id="6781" w:name="_Toc26437"/>
      <w:bookmarkStart w:id="6782" w:name="_Toc7735"/>
      <w:bookmarkStart w:id="6783" w:name="_Toc16845"/>
      <w:bookmarkStart w:id="6784" w:name="_Toc13631"/>
      <w:bookmarkStart w:id="6785" w:name="_Toc22871"/>
      <w:bookmarkStart w:id="6786" w:name="_Toc5061"/>
      <w:bookmarkStart w:id="6787" w:name="_Toc1885"/>
      <w:bookmarkStart w:id="6788" w:name="_Toc4993"/>
      <w:bookmarkStart w:id="6789" w:name="_Toc2651"/>
      <w:bookmarkStart w:id="6790" w:name="_Toc11868"/>
      <w:bookmarkStart w:id="6791" w:name="_Toc3609"/>
      <w:bookmarkStart w:id="6792" w:name="_Toc17685"/>
      <w:bookmarkStart w:id="6793" w:name="_Toc30123"/>
      <w:bookmarkStart w:id="6794" w:name="_Toc18079"/>
      <w:bookmarkStart w:id="6795" w:name="_Toc25356"/>
      <w:r>
        <w:rPr>
          <w:rFonts w:hint="eastAsia"/>
        </w:rPr>
        <w:t>（一）建立保障工期组织机构</w:t>
      </w:r>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p>
    <w:p w14:paraId="51F40F09">
      <w:pPr>
        <w:ind w:firstLine="560"/>
      </w:pPr>
      <w:r>
        <w:rPr>
          <w:rFonts w:hint="eastAsia"/>
        </w:rPr>
        <w:t>1、在现场项目经理部内，由项目经理挂帅，建立保障工期组织体系，作为本公司在该项目建设施工中保证施工进度按照目标工期顺利进行的组织保证，确保工程按合同工期按期建成。</w:t>
      </w:r>
    </w:p>
    <w:p w14:paraId="0748CDAB">
      <w:pPr>
        <w:ind w:firstLine="560"/>
      </w:pPr>
      <w:r>
        <w:rPr>
          <w:rFonts w:hint="eastAsia"/>
        </w:rPr>
        <w:t>2、保障工期组织体系以公司为核心，依托公司总部的支持，以项目经理为保障工期的第一责任人；以里程碑工期保障为基础；以五大资源保障体系为必须的前提条件，以资源的完全保障来保证工期目标的实现；由此形成一个完整的保障工期的体系，确保本项目工期目标在其合同工期时间完成。</w:t>
      </w:r>
    </w:p>
    <w:p w14:paraId="6085A53F">
      <w:pPr>
        <w:ind w:firstLine="560"/>
      </w:pPr>
      <w:r>
        <w:rPr>
          <w:rFonts w:hint="eastAsia"/>
        </w:rPr>
        <w:t>2.1保障工期组织体系各要素的主要责任</w:t>
      </w:r>
    </w:p>
    <w:p w14:paraId="4947D08C">
      <w:pPr>
        <w:ind w:firstLine="560"/>
      </w:pPr>
      <w:r>
        <w:rPr>
          <w:rFonts w:hint="eastAsia"/>
        </w:rPr>
        <w:t>2.1.1公司总部：授权项目经理对本工程的工期负责，指导项目部制定工期保障计划和措施，在公司范围内对资源进行调配，公司职能部门为项目部提供技术、管理上的支持、服务和保障。</w:t>
      </w:r>
    </w:p>
    <w:p w14:paraId="28DAA2BA">
      <w:pPr>
        <w:ind w:firstLine="560"/>
      </w:pPr>
      <w:r>
        <w:rPr>
          <w:rFonts w:hint="eastAsia"/>
        </w:rPr>
        <w:t>2.1.2项目经理：本工程工期保障计划与措施的制定者、决策者和领导实施者，对整个工程工期保障计划、措施和网络计划节点、总工期目标的组织、实施负全责，是实现总工期目标的第一责任人。对项目投入的全部资源进行有效调配、平衡，提高资源的有效利用，加快资源的流转，发挥资源的最大效率，保障合同工期目标的实现；监督和调控分区对项目资源的使用，领导各资源保障体系和工程项目管理保障体系有效运行。</w:t>
      </w:r>
    </w:p>
    <w:p w14:paraId="248D0646">
      <w:pPr>
        <w:ind w:firstLine="560"/>
      </w:pPr>
      <w:r>
        <w:rPr>
          <w:rFonts w:hint="eastAsia"/>
        </w:rPr>
        <w:t>2.2确保工期的组织架构见下框图：</w:t>
      </w:r>
    </w:p>
    <w:p w14:paraId="64745389">
      <w:pPr>
        <w:pStyle w:val="18"/>
        <w:rPr>
          <w:lang w:val="en-US"/>
        </w:rPr>
      </w:pPr>
      <w:r>
        <w:rPr>
          <w:rFonts w:hint="eastAsia"/>
          <w:lang w:val="en-US" w:bidi="ar-SA"/>
        </w:rPr>
        <w:drawing>
          <wp:inline distT="0" distB="0" distL="114300" distR="114300">
            <wp:extent cx="5270500" cy="3977640"/>
            <wp:effectExtent l="0" t="0" r="0" b="0"/>
            <wp:docPr id="1"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CB019B1-382A-4266-B25C-5B523AA43C14-2" descr="wps"/>
                    <pic:cNvPicPr>
                      <a:picLocks noChangeAspect="1"/>
                    </pic:cNvPicPr>
                  </pic:nvPicPr>
                  <pic:blipFill>
                    <a:blip r:embed="rId70">
                      <a:grayscl/>
                    </a:blip>
                    <a:stretch>
                      <a:fillRect/>
                    </a:stretch>
                  </pic:blipFill>
                  <pic:spPr>
                    <a:xfrm>
                      <a:off x="0" y="0"/>
                      <a:ext cx="5270500" cy="3977640"/>
                    </a:xfrm>
                    <a:prstGeom prst="rect">
                      <a:avLst/>
                    </a:prstGeom>
                  </pic:spPr>
                </pic:pic>
              </a:graphicData>
            </a:graphic>
          </wp:inline>
        </w:drawing>
      </w:r>
    </w:p>
    <w:p w14:paraId="02952A2C">
      <w:pPr>
        <w:pStyle w:val="5"/>
        <w:spacing w:before="31" w:after="31"/>
        <w:ind w:firstLine="562"/>
      </w:pPr>
      <w:bookmarkStart w:id="6796" w:name="_Toc13254"/>
      <w:bookmarkStart w:id="6797" w:name="_Toc28220"/>
      <w:bookmarkStart w:id="6798" w:name="_Toc8336"/>
      <w:bookmarkStart w:id="6799" w:name="_Toc17878"/>
      <w:bookmarkStart w:id="6800" w:name="_Toc5494"/>
      <w:bookmarkStart w:id="6801" w:name="_Toc29756"/>
      <w:bookmarkStart w:id="6802" w:name="_Toc31166"/>
      <w:bookmarkStart w:id="6803" w:name="_Toc8968"/>
      <w:bookmarkStart w:id="6804" w:name="_Toc15093"/>
      <w:bookmarkStart w:id="6805" w:name="_Toc24351"/>
      <w:bookmarkStart w:id="6806" w:name="_Toc11917"/>
      <w:bookmarkStart w:id="6807" w:name="_Toc13265"/>
      <w:bookmarkStart w:id="6808" w:name="_Toc20144"/>
      <w:bookmarkStart w:id="6809" w:name="_Toc91"/>
      <w:bookmarkStart w:id="6810" w:name="_Toc2281"/>
      <w:bookmarkStart w:id="6811" w:name="_Toc5371"/>
      <w:bookmarkStart w:id="6812" w:name="_Toc18600"/>
      <w:bookmarkStart w:id="6813" w:name="_Toc1315"/>
      <w:bookmarkStart w:id="6814" w:name="_Toc18653"/>
      <w:bookmarkStart w:id="6815" w:name="_Toc13460"/>
      <w:bookmarkStart w:id="6816" w:name="_Toc31120"/>
      <w:bookmarkStart w:id="6817" w:name="_Toc20928"/>
      <w:bookmarkStart w:id="6818" w:name="_Toc20890"/>
      <w:bookmarkStart w:id="6819" w:name="_Toc22955"/>
      <w:bookmarkStart w:id="6820" w:name="_Toc25692"/>
      <w:bookmarkStart w:id="6821" w:name="_Toc3907"/>
      <w:bookmarkStart w:id="6822" w:name="_Toc11259"/>
      <w:bookmarkStart w:id="6823" w:name="_Toc10788"/>
      <w:bookmarkStart w:id="6824" w:name="_Toc4117"/>
      <w:bookmarkStart w:id="6825" w:name="_Toc29744"/>
      <w:bookmarkStart w:id="6826" w:name="_Toc15428"/>
      <w:bookmarkStart w:id="6827" w:name="_Toc22830"/>
      <w:bookmarkStart w:id="6828" w:name="_Toc14504"/>
      <w:bookmarkStart w:id="6829" w:name="_Toc7015"/>
      <w:bookmarkStart w:id="6830" w:name="_Toc26413"/>
      <w:bookmarkStart w:id="6831" w:name="_Toc30777"/>
      <w:bookmarkStart w:id="6832" w:name="_Toc11642"/>
      <w:bookmarkStart w:id="6833" w:name="_Toc28789"/>
      <w:bookmarkStart w:id="6834" w:name="_Toc15054"/>
      <w:bookmarkStart w:id="6835" w:name="_Toc29647"/>
      <w:bookmarkStart w:id="6836" w:name="_Toc9683"/>
      <w:bookmarkStart w:id="6837" w:name="_Toc7297"/>
      <w:bookmarkStart w:id="6838" w:name="_Toc7382"/>
      <w:bookmarkStart w:id="6839" w:name="_Toc15801"/>
      <w:bookmarkStart w:id="6840" w:name="_Toc24139"/>
      <w:bookmarkStart w:id="6841" w:name="_Toc18046"/>
      <w:bookmarkStart w:id="6842" w:name="_Toc9265"/>
      <w:bookmarkStart w:id="6843" w:name="_Toc11745"/>
      <w:bookmarkStart w:id="6844" w:name="_Toc7135"/>
      <w:bookmarkStart w:id="6845" w:name="_Toc18404"/>
      <w:bookmarkStart w:id="6846" w:name="_Toc17868"/>
      <w:bookmarkStart w:id="6847" w:name="_Toc27136"/>
      <w:bookmarkStart w:id="6848" w:name="_Toc27460"/>
      <w:bookmarkStart w:id="6849" w:name="_Toc13218"/>
      <w:bookmarkStart w:id="6850" w:name="_Toc16802"/>
      <w:r>
        <w:rPr>
          <w:rFonts w:hint="eastAsia"/>
        </w:rPr>
        <w:t>（二）建立、健全进度计划保证体系</w:t>
      </w:r>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p>
    <w:p w14:paraId="4C9734B6">
      <w:pPr>
        <w:ind w:firstLine="560"/>
      </w:pPr>
      <w:r>
        <w:rPr>
          <w:rFonts w:hint="eastAsia"/>
        </w:rPr>
        <w:t>1、施工进度计划保证体系</w:t>
      </w:r>
    </w:p>
    <w:p w14:paraId="01110ECA">
      <w:pPr>
        <w:ind w:firstLine="560"/>
      </w:pPr>
      <w:r>
        <w:rPr>
          <w:rFonts w:hint="eastAsia"/>
        </w:rPr>
        <w:t>（1）建立完善的计划保证体系是掌握施工管理主动权、控制施工生产局面，保证工程进度的关键一环。本项目的计划体系将以日、周、月、年和总控计划构成工期计划为主线，并由此派生出深化设计进度计划、设备安装交接界面管理计划、技术保障计划、商务保障计划、物资供应计划、质量检验与控制计划、安全防护计划及后勤保障一系列计划，形成分级计划控制。即在进度计划体制上，实行分级计划形式，结合本工程各分项工程量，制定总控进度计划，并指明各专业的配合及施工工期，在这级施工进度计划当中，充分考虑并保证专业系统调试时间必须充足，在总控进度计划的基础上，制定各阶段及各分部分项的详细的二级施工进度计划，相对总控计划，二级进度计划适当提前，即各阶段点相对总控计划有一定的紧缩量，以下级计划保证总控进度计划的实现。三级计划为各专业流水段施工的详细计划。</w:t>
      </w:r>
    </w:p>
    <w:p w14:paraId="6B23954E">
      <w:pPr>
        <w:ind w:firstLine="560"/>
      </w:pPr>
      <w:r>
        <w:rPr>
          <w:rFonts w:hint="eastAsia"/>
        </w:rPr>
        <w:t>（2）在各项工作中做到未雨绸缪，使进度计划管理形成层次分明、深入全面、贯彻始终的特色。</w:t>
      </w:r>
    </w:p>
    <w:p w14:paraId="36F17870">
      <w:pPr>
        <w:ind w:firstLine="560"/>
      </w:pPr>
      <w:r>
        <w:rPr>
          <w:rFonts w:hint="eastAsia"/>
        </w:rPr>
        <w:t>2、施工进度计划编制</w:t>
      </w:r>
    </w:p>
    <w:p w14:paraId="54E52E73">
      <w:pPr>
        <w:ind w:firstLine="560"/>
      </w:pPr>
      <w:r>
        <w:rPr>
          <w:rFonts w:hint="eastAsia"/>
        </w:rPr>
        <w:t>（1）本工程施工进度安排的主要思路是：</w:t>
      </w:r>
    </w:p>
    <w:p w14:paraId="5139390B">
      <w:pPr>
        <w:ind w:firstLine="560"/>
      </w:pPr>
      <w:r>
        <w:rPr>
          <w:rFonts w:hint="eastAsia"/>
        </w:rPr>
        <w:t>1）根据施工区段划分情况，本工程划分为一个工区，分阶段进行组织施工。施工组织时，各作业队可以在各自的区内进行平行与流水施工，充分发挥现场人员的能动性，做到均衡生产，避免窝工现象的发生。</w:t>
      </w:r>
    </w:p>
    <w:p w14:paraId="02950D31">
      <w:pPr>
        <w:ind w:firstLine="560"/>
      </w:pPr>
      <w:r>
        <w:rPr>
          <w:rFonts w:hint="eastAsia"/>
        </w:rPr>
        <w:t>2）在施工进度的组织安排上，整个施工管理分现场施工、图纸设计方案等准备、招投标设备及场外加工定货三条线同时进行。</w:t>
      </w:r>
    </w:p>
    <w:p w14:paraId="08C8B152">
      <w:pPr>
        <w:pStyle w:val="5"/>
        <w:spacing w:before="31" w:after="31"/>
        <w:ind w:firstLine="562"/>
      </w:pPr>
      <w:bookmarkStart w:id="6851" w:name="_Toc13592"/>
      <w:bookmarkStart w:id="6852" w:name="_Toc738"/>
      <w:bookmarkStart w:id="6853" w:name="_Toc19846"/>
      <w:bookmarkStart w:id="6854" w:name="_Toc26924"/>
      <w:bookmarkStart w:id="6855" w:name="_Toc14937"/>
      <w:bookmarkStart w:id="6856" w:name="_Toc6472"/>
      <w:bookmarkStart w:id="6857" w:name="_Toc26331"/>
      <w:bookmarkStart w:id="6858" w:name="_Toc17215"/>
      <w:bookmarkStart w:id="6859" w:name="_Toc26205"/>
      <w:bookmarkStart w:id="6860" w:name="_Toc32259"/>
      <w:bookmarkStart w:id="6861" w:name="_Toc3072"/>
      <w:bookmarkStart w:id="6862" w:name="_Toc4054"/>
      <w:bookmarkStart w:id="6863" w:name="_Toc16289"/>
      <w:bookmarkStart w:id="6864" w:name="_Toc20229"/>
      <w:bookmarkStart w:id="6865" w:name="_Toc22799"/>
      <w:bookmarkStart w:id="6866" w:name="_Toc5538"/>
      <w:bookmarkStart w:id="6867" w:name="_Toc29274"/>
      <w:bookmarkStart w:id="6868" w:name="_Toc3415"/>
      <w:bookmarkStart w:id="6869" w:name="_Toc3480"/>
      <w:bookmarkStart w:id="6870" w:name="_Toc24706"/>
      <w:bookmarkStart w:id="6871" w:name="_Toc20772"/>
      <w:bookmarkStart w:id="6872" w:name="_Toc27807"/>
      <w:bookmarkStart w:id="6873" w:name="_Toc4197"/>
      <w:bookmarkStart w:id="6874" w:name="_Toc67"/>
      <w:bookmarkStart w:id="6875" w:name="_Toc27759"/>
      <w:bookmarkStart w:id="6876" w:name="_Toc18868"/>
      <w:bookmarkStart w:id="6877" w:name="_Toc15015"/>
      <w:bookmarkStart w:id="6878" w:name="_Toc22519"/>
      <w:bookmarkStart w:id="6879" w:name="_Toc1432"/>
      <w:bookmarkStart w:id="6880" w:name="_Toc21696"/>
      <w:bookmarkStart w:id="6881" w:name="_Toc8957"/>
      <w:bookmarkStart w:id="6882" w:name="_Toc25628"/>
      <w:bookmarkStart w:id="6883" w:name="_Toc8250"/>
      <w:bookmarkStart w:id="6884" w:name="_Toc25413"/>
      <w:bookmarkStart w:id="6885" w:name="_Toc13835"/>
      <w:bookmarkStart w:id="6886" w:name="_Toc6980"/>
      <w:bookmarkStart w:id="6887" w:name="_Toc3651"/>
      <w:bookmarkStart w:id="6888" w:name="_Toc6344"/>
      <w:bookmarkStart w:id="6889" w:name="_Toc24598"/>
      <w:bookmarkStart w:id="6890" w:name="_Toc31272"/>
      <w:bookmarkStart w:id="6891" w:name="_Toc22283"/>
      <w:bookmarkStart w:id="6892" w:name="_Toc89"/>
      <w:bookmarkStart w:id="6893" w:name="_Toc14110"/>
      <w:bookmarkStart w:id="6894" w:name="_Toc6156"/>
      <w:bookmarkStart w:id="6895" w:name="_Toc28979"/>
      <w:bookmarkStart w:id="6896" w:name="_Toc30790"/>
      <w:bookmarkStart w:id="6897" w:name="_Toc26023"/>
      <w:bookmarkStart w:id="6898" w:name="_Toc25792"/>
      <w:bookmarkStart w:id="6899" w:name="_Toc5409"/>
      <w:bookmarkStart w:id="6900" w:name="_Toc3868"/>
      <w:bookmarkStart w:id="6901" w:name="_Toc7778"/>
      <w:bookmarkStart w:id="6902" w:name="_Toc19870"/>
      <w:bookmarkStart w:id="6903" w:name="_Toc4327"/>
      <w:bookmarkStart w:id="6904" w:name="_Toc4445"/>
      <w:r>
        <w:rPr>
          <w:rFonts w:hint="eastAsia"/>
        </w:rPr>
        <w:t>（三）分级计划控制</w:t>
      </w:r>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p>
    <w:p w14:paraId="3D9100BA">
      <w:pPr>
        <w:ind w:firstLine="560"/>
      </w:pPr>
      <w:r>
        <w:rPr>
          <w:rFonts w:hint="eastAsia"/>
        </w:rPr>
        <w:t>（1）在进度计划体制上，实行分级计划形式，结合本工程各分项工程量，制定总控进度计划，并指明各专业的配合及施工工期，在这级施工进度计划当中，充分考虑并保证专业系统调试时间必须充足，在总控进度计划的基础上，制定各单位工程各分部分项详细的二级施工进度计划，相对总控计划，二级进度计划适当提前，即各阶段点相对总控计划有一定的紧缩量，以下一级计划保证总控进度计划的实现。</w:t>
      </w:r>
    </w:p>
    <w:p w14:paraId="7249DA04">
      <w:pPr>
        <w:ind w:firstLine="560"/>
      </w:pPr>
      <w:r>
        <w:rPr>
          <w:rFonts w:hint="eastAsia"/>
        </w:rPr>
        <w:t>（2）制定派生计划。工程的进度管理是一个综合的系统工程，涵盖了技术、资源、商务、质量检验、安全检查等多方面的因素，因此根据总控工期、阶段工期和分项工程的工程量制定的各种派生计划，是进度管理的重要组成部分，按照最迟完成或最迟准备的插入时间原则，制定各类派生保障计划，做到施工有条不紊、有章可循。为保证施工总体进度计划有操作性，编制各项施工保障计划见下表。</w:t>
      </w:r>
    </w:p>
    <w:p w14:paraId="7567E1DF">
      <w:pPr>
        <w:pStyle w:val="18"/>
        <w:rPr>
          <w:lang w:val="en-US"/>
        </w:rPr>
      </w:pPr>
      <w:r>
        <w:rPr>
          <w:rFonts w:hint="eastAsia"/>
          <w:lang w:val="en-US"/>
        </w:rPr>
        <w:t>各项施工保障计划表</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2"/>
        <w:gridCol w:w="1876"/>
        <w:gridCol w:w="7482"/>
      </w:tblGrid>
      <w:tr w14:paraId="388FD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shd w:val="clear" w:color="auto" w:fill="auto"/>
          </w:tcPr>
          <w:p w14:paraId="5D2FA9E9">
            <w:pPr>
              <w:pStyle w:val="18"/>
              <w:rPr>
                <w:lang w:val="en-US"/>
              </w:rPr>
            </w:pPr>
            <w:r>
              <w:rPr>
                <w:rFonts w:hint="eastAsia"/>
                <w:lang w:val="en-US"/>
              </w:rPr>
              <w:t>序号</w:t>
            </w:r>
          </w:p>
        </w:tc>
        <w:tc>
          <w:tcPr>
            <w:tcW w:w="878" w:type="pct"/>
            <w:shd w:val="clear" w:color="auto" w:fill="auto"/>
          </w:tcPr>
          <w:p w14:paraId="63E15A92">
            <w:pPr>
              <w:pStyle w:val="18"/>
              <w:rPr>
                <w:lang w:val="en-US"/>
              </w:rPr>
            </w:pPr>
            <w:r>
              <w:rPr>
                <w:rFonts w:hint="eastAsia"/>
                <w:lang w:val="en-US"/>
              </w:rPr>
              <w:t>计划</w:t>
            </w:r>
          </w:p>
        </w:tc>
        <w:tc>
          <w:tcPr>
            <w:tcW w:w="3502" w:type="pct"/>
            <w:shd w:val="clear" w:color="auto" w:fill="auto"/>
          </w:tcPr>
          <w:p w14:paraId="0409F864">
            <w:pPr>
              <w:pStyle w:val="18"/>
              <w:rPr>
                <w:lang w:val="en-US"/>
              </w:rPr>
            </w:pPr>
            <w:r>
              <w:rPr>
                <w:rFonts w:hint="eastAsia"/>
                <w:lang w:val="en-US"/>
              </w:rPr>
              <w:t>内容</w:t>
            </w:r>
          </w:p>
        </w:tc>
      </w:tr>
      <w:tr w14:paraId="7BCCD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shd w:val="clear" w:color="auto" w:fill="auto"/>
            <w:vAlign w:val="center"/>
          </w:tcPr>
          <w:p w14:paraId="5D8CECE6">
            <w:pPr>
              <w:pStyle w:val="18"/>
              <w:rPr>
                <w:lang w:val="en-US"/>
              </w:rPr>
            </w:pPr>
            <w:r>
              <w:rPr>
                <w:rFonts w:hint="eastAsia"/>
                <w:lang w:val="en-US"/>
              </w:rPr>
              <w:t>1</w:t>
            </w:r>
          </w:p>
        </w:tc>
        <w:tc>
          <w:tcPr>
            <w:tcW w:w="878" w:type="pct"/>
            <w:shd w:val="clear" w:color="auto" w:fill="auto"/>
            <w:vAlign w:val="center"/>
          </w:tcPr>
          <w:p w14:paraId="6D6CF2FA">
            <w:pPr>
              <w:pStyle w:val="18"/>
              <w:rPr>
                <w:lang w:val="en-US"/>
              </w:rPr>
            </w:pPr>
            <w:r>
              <w:rPr>
                <w:rFonts w:hint="eastAsia"/>
                <w:lang w:val="en-US"/>
              </w:rPr>
              <w:t>施工准备工作计划</w:t>
            </w:r>
          </w:p>
        </w:tc>
        <w:tc>
          <w:tcPr>
            <w:tcW w:w="3502" w:type="pct"/>
            <w:shd w:val="clear" w:color="auto" w:fill="auto"/>
          </w:tcPr>
          <w:p w14:paraId="30D175BC">
            <w:pPr>
              <w:pStyle w:val="18"/>
              <w:ind w:firstLine="560" w:firstLineChars="200"/>
              <w:jc w:val="left"/>
              <w:rPr>
                <w:lang w:val="en-US"/>
              </w:rPr>
            </w:pPr>
            <w:r>
              <w:rPr>
                <w:rFonts w:hint="eastAsia"/>
                <w:lang w:val="en-US"/>
              </w:rPr>
              <w:t>施工准备工作是正式施工前的必要工作，是正式施工的前提，因此必须作好施工准备工作，施工准备的临时设施搭设可以与正式施工同时进行，确保工程的正常顺利进行。</w:t>
            </w:r>
          </w:p>
          <w:p w14:paraId="778DD91A">
            <w:pPr>
              <w:pStyle w:val="18"/>
              <w:jc w:val="left"/>
              <w:rPr>
                <w:lang w:val="en-US"/>
              </w:rPr>
            </w:pPr>
            <w:r>
              <w:rPr>
                <w:rFonts w:hint="eastAsia"/>
                <w:lang w:val="en-US"/>
              </w:rPr>
              <w:t>施工准备工作计划内容包括：</w:t>
            </w:r>
          </w:p>
          <w:p w14:paraId="218944A1">
            <w:pPr>
              <w:pStyle w:val="18"/>
              <w:jc w:val="left"/>
              <w:rPr>
                <w:lang w:val="en-US"/>
              </w:rPr>
            </w:pPr>
            <w:r>
              <w:rPr>
                <w:rFonts w:hint="eastAsia"/>
                <w:lang w:val="en-US"/>
              </w:rPr>
              <w:t>1)进场初期准备工作；</w:t>
            </w:r>
          </w:p>
          <w:p w14:paraId="39854CA0">
            <w:pPr>
              <w:pStyle w:val="18"/>
              <w:jc w:val="left"/>
              <w:rPr>
                <w:lang w:val="en-US"/>
              </w:rPr>
            </w:pPr>
            <w:r>
              <w:rPr>
                <w:rFonts w:hint="eastAsia"/>
                <w:lang w:val="en-US"/>
              </w:rPr>
              <w:t>2)施工人员进场、培训；</w:t>
            </w:r>
          </w:p>
          <w:p w14:paraId="52CDF0A2">
            <w:pPr>
              <w:pStyle w:val="18"/>
              <w:jc w:val="left"/>
              <w:rPr>
                <w:lang w:val="en-US"/>
              </w:rPr>
            </w:pPr>
            <w:r>
              <w:rPr>
                <w:rFonts w:hint="eastAsia"/>
                <w:lang w:val="en-US"/>
              </w:rPr>
              <w:t>3)临建搭设；</w:t>
            </w:r>
          </w:p>
          <w:p w14:paraId="30FEADCB">
            <w:pPr>
              <w:pStyle w:val="18"/>
              <w:jc w:val="left"/>
              <w:rPr>
                <w:lang w:val="en-US"/>
              </w:rPr>
            </w:pPr>
            <w:r>
              <w:rPr>
                <w:rFonts w:hint="eastAsia"/>
                <w:lang w:val="en-US"/>
              </w:rPr>
              <w:t>4)编制相关施工方案；</w:t>
            </w:r>
          </w:p>
          <w:p w14:paraId="5A96AFDD">
            <w:pPr>
              <w:pStyle w:val="18"/>
              <w:jc w:val="left"/>
              <w:rPr>
                <w:lang w:val="en-US"/>
              </w:rPr>
            </w:pPr>
            <w:r>
              <w:rPr>
                <w:rFonts w:hint="eastAsia"/>
                <w:lang w:val="en-US"/>
              </w:rPr>
              <w:t>5)测量放线；</w:t>
            </w:r>
          </w:p>
          <w:p w14:paraId="1FC14066">
            <w:pPr>
              <w:pStyle w:val="18"/>
              <w:jc w:val="left"/>
              <w:rPr>
                <w:lang w:val="en-US"/>
              </w:rPr>
            </w:pPr>
            <w:r>
              <w:rPr>
                <w:rFonts w:hint="eastAsia"/>
                <w:lang w:val="en-US"/>
              </w:rPr>
              <w:t>6）物资准备。</w:t>
            </w:r>
          </w:p>
        </w:tc>
      </w:tr>
      <w:tr w14:paraId="71062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shd w:val="clear" w:color="auto" w:fill="auto"/>
            <w:vAlign w:val="center"/>
          </w:tcPr>
          <w:p w14:paraId="5A2A1B99">
            <w:pPr>
              <w:pStyle w:val="18"/>
              <w:rPr>
                <w:lang w:val="en-US"/>
              </w:rPr>
            </w:pPr>
            <w:r>
              <w:rPr>
                <w:rFonts w:hint="eastAsia"/>
                <w:lang w:val="en-US"/>
              </w:rPr>
              <w:t>2</w:t>
            </w:r>
          </w:p>
        </w:tc>
        <w:tc>
          <w:tcPr>
            <w:tcW w:w="878" w:type="pct"/>
            <w:shd w:val="clear" w:color="auto" w:fill="auto"/>
            <w:vAlign w:val="center"/>
          </w:tcPr>
          <w:p w14:paraId="7EADEDCB">
            <w:pPr>
              <w:pStyle w:val="18"/>
              <w:rPr>
                <w:lang w:val="en-US"/>
              </w:rPr>
            </w:pPr>
            <w:r>
              <w:rPr>
                <w:rFonts w:hint="eastAsia"/>
                <w:lang w:val="en-US"/>
              </w:rPr>
              <w:t>图纸发放计划</w:t>
            </w:r>
          </w:p>
        </w:tc>
        <w:tc>
          <w:tcPr>
            <w:tcW w:w="3502" w:type="pct"/>
            <w:shd w:val="clear" w:color="auto" w:fill="auto"/>
          </w:tcPr>
          <w:p w14:paraId="00764ABD">
            <w:pPr>
              <w:pStyle w:val="18"/>
              <w:ind w:firstLine="560" w:firstLineChars="200"/>
              <w:jc w:val="left"/>
              <w:rPr>
                <w:lang w:val="en-US"/>
              </w:rPr>
            </w:pPr>
            <w:r>
              <w:rPr>
                <w:rFonts w:hint="eastAsia"/>
                <w:lang w:val="en-US"/>
              </w:rPr>
              <w:t>此计划要求的是分项工程所必须的图纸的最迟提供期限，这些图纸包括：工艺、结构施工图，安装施工图，施工安装节点详图，安装预留预埋详图等。</w:t>
            </w:r>
          </w:p>
        </w:tc>
      </w:tr>
      <w:tr w14:paraId="1DE50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shd w:val="clear" w:color="auto" w:fill="auto"/>
            <w:vAlign w:val="center"/>
          </w:tcPr>
          <w:p w14:paraId="12075BBE">
            <w:pPr>
              <w:pStyle w:val="18"/>
              <w:rPr>
                <w:lang w:val="en-US"/>
              </w:rPr>
            </w:pPr>
            <w:r>
              <w:rPr>
                <w:rFonts w:hint="eastAsia"/>
                <w:lang w:val="en-US"/>
              </w:rPr>
              <w:t>3</w:t>
            </w:r>
          </w:p>
        </w:tc>
        <w:tc>
          <w:tcPr>
            <w:tcW w:w="878" w:type="pct"/>
            <w:shd w:val="clear" w:color="auto" w:fill="auto"/>
            <w:vAlign w:val="center"/>
          </w:tcPr>
          <w:p w14:paraId="6B9BF899">
            <w:pPr>
              <w:pStyle w:val="18"/>
              <w:rPr>
                <w:lang w:val="en-US"/>
              </w:rPr>
            </w:pPr>
            <w:r>
              <w:rPr>
                <w:rFonts w:hint="eastAsia"/>
                <w:lang w:val="en-US"/>
              </w:rPr>
              <w:t>施工方案编制计划</w:t>
            </w:r>
          </w:p>
        </w:tc>
        <w:tc>
          <w:tcPr>
            <w:tcW w:w="3502" w:type="pct"/>
            <w:shd w:val="clear" w:color="auto" w:fill="auto"/>
          </w:tcPr>
          <w:p w14:paraId="08C61837">
            <w:pPr>
              <w:pStyle w:val="18"/>
              <w:ind w:firstLine="560" w:firstLineChars="200"/>
              <w:jc w:val="left"/>
              <w:rPr>
                <w:lang w:val="en-US"/>
              </w:rPr>
            </w:pPr>
            <w:r>
              <w:rPr>
                <w:rFonts w:hint="eastAsia"/>
                <w:lang w:val="en-US"/>
              </w:rPr>
              <w:t>此计划要求的是拟编制的施工组织设计或施工方案的最迟提供期限。保证工期和质量的法宝，通过方案和样板制订出合理的工序、有效的施工方法和质量控制标准。</w:t>
            </w:r>
          </w:p>
        </w:tc>
      </w:tr>
      <w:tr w14:paraId="3D0F1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shd w:val="clear" w:color="auto" w:fill="auto"/>
            <w:vAlign w:val="center"/>
          </w:tcPr>
          <w:p w14:paraId="1F1F1113">
            <w:pPr>
              <w:pStyle w:val="18"/>
              <w:rPr>
                <w:lang w:val="en-US"/>
              </w:rPr>
            </w:pPr>
            <w:r>
              <w:rPr>
                <w:rFonts w:hint="eastAsia"/>
                <w:lang w:val="en-US"/>
              </w:rPr>
              <w:t>4</w:t>
            </w:r>
          </w:p>
        </w:tc>
        <w:tc>
          <w:tcPr>
            <w:tcW w:w="878" w:type="pct"/>
            <w:shd w:val="clear" w:color="auto" w:fill="auto"/>
            <w:vAlign w:val="center"/>
          </w:tcPr>
          <w:p w14:paraId="774AEDFE">
            <w:pPr>
              <w:pStyle w:val="18"/>
              <w:rPr>
                <w:lang w:val="en-US"/>
              </w:rPr>
            </w:pPr>
            <w:r>
              <w:rPr>
                <w:rFonts w:hint="eastAsia"/>
                <w:lang w:val="en-US"/>
              </w:rPr>
              <w:t>业方指定施工开工计划</w:t>
            </w:r>
          </w:p>
        </w:tc>
        <w:tc>
          <w:tcPr>
            <w:tcW w:w="3502" w:type="pct"/>
            <w:shd w:val="clear" w:color="auto" w:fill="auto"/>
          </w:tcPr>
          <w:p w14:paraId="7AAAE39C">
            <w:pPr>
              <w:pStyle w:val="18"/>
              <w:ind w:firstLine="560" w:firstLineChars="200"/>
              <w:jc w:val="left"/>
              <w:rPr>
                <w:lang w:val="en-US"/>
              </w:rPr>
            </w:pPr>
            <w:r>
              <w:rPr>
                <w:rFonts w:hint="eastAsia"/>
                <w:lang w:val="en-US"/>
              </w:rPr>
              <w:t>此计划要求的是发包人指定施工队进场最迟期限，确保不因施工队进场过迟而影响工程总体进度。</w:t>
            </w:r>
          </w:p>
        </w:tc>
      </w:tr>
      <w:tr w14:paraId="26E56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shd w:val="clear" w:color="auto" w:fill="auto"/>
            <w:vAlign w:val="center"/>
          </w:tcPr>
          <w:p w14:paraId="353DF9FF">
            <w:pPr>
              <w:pStyle w:val="18"/>
              <w:rPr>
                <w:lang w:val="en-US"/>
              </w:rPr>
            </w:pPr>
            <w:r>
              <w:rPr>
                <w:rFonts w:hint="eastAsia"/>
                <w:lang w:val="en-US"/>
              </w:rPr>
              <w:t>5</w:t>
            </w:r>
          </w:p>
        </w:tc>
        <w:tc>
          <w:tcPr>
            <w:tcW w:w="878" w:type="pct"/>
            <w:shd w:val="clear" w:color="auto" w:fill="auto"/>
            <w:vAlign w:val="center"/>
          </w:tcPr>
          <w:p w14:paraId="707D2350">
            <w:pPr>
              <w:pStyle w:val="18"/>
              <w:rPr>
                <w:lang w:val="en-US"/>
              </w:rPr>
            </w:pPr>
            <w:r>
              <w:rPr>
                <w:rFonts w:hint="eastAsia"/>
                <w:lang w:val="en-US"/>
              </w:rPr>
              <w:t>主要施工机械设备进场计划</w:t>
            </w:r>
          </w:p>
        </w:tc>
        <w:tc>
          <w:tcPr>
            <w:tcW w:w="3502" w:type="pct"/>
            <w:shd w:val="clear" w:color="auto" w:fill="auto"/>
          </w:tcPr>
          <w:p w14:paraId="5E38CF44">
            <w:pPr>
              <w:pStyle w:val="18"/>
              <w:ind w:firstLine="560" w:firstLineChars="200"/>
              <w:jc w:val="left"/>
              <w:rPr>
                <w:lang w:val="en-US"/>
              </w:rPr>
            </w:pPr>
            <w:r>
              <w:rPr>
                <w:rFonts w:hint="eastAsia"/>
                <w:lang w:val="en-US"/>
              </w:rPr>
              <w:t>此计划要求的是分项工程施工所必须的加工生产设备所需的最迟进场期限，各种施工主要设备机具必须在要求的时间前进场，不得影响正常的施工进度，机械设备在使用完毕后及时组织</w:t>
            </w:r>
          </w:p>
          <w:p w14:paraId="6D59E299">
            <w:pPr>
              <w:pStyle w:val="18"/>
              <w:jc w:val="left"/>
              <w:rPr>
                <w:lang w:val="en-US"/>
              </w:rPr>
            </w:pPr>
            <w:r>
              <w:rPr>
                <w:rFonts w:hint="eastAsia"/>
                <w:lang w:val="en-US"/>
              </w:rPr>
              <w:t>退场。</w:t>
            </w:r>
          </w:p>
        </w:tc>
      </w:tr>
      <w:tr w14:paraId="48F7F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shd w:val="clear" w:color="auto" w:fill="auto"/>
            <w:vAlign w:val="center"/>
          </w:tcPr>
          <w:p w14:paraId="6FD5DC03">
            <w:pPr>
              <w:pStyle w:val="18"/>
              <w:rPr>
                <w:lang w:val="en-US"/>
              </w:rPr>
            </w:pPr>
            <w:r>
              <w:rPr>
                <w:rFonts w:hint="eastAsia"/>
                <w:lang w:val="en-US"/>
              </w:rPr>
              <w:t>6</w:t>
            </w:r>
          </w:p>
        </w:tc>
        <w:tc>
          <w:tcPr>
            <w:tcW w:w="878" w:type="pct"/>
            <w:shd w:val="clear" w:color="auto" w:fill="auto"/>
            <w:vAlign w:val="center"/>
          </w:tcPr>
          <w:p w14:paraId="278D80F1">
            <w:pPr>
              <w:pStyle w:val="18"/>
              <w:rPr>
                <w:lang w:val="en-US"/>
              </w:rPr>
            </w:pPr>
            <w:r>
              <w:rPr>
                <w:rFonts w:hint="eastAsia"/>
                <w:lang w:val="en-US"/>
              </w:rPr>
              <w:t>主要安装设备、材料进场计划</w:t>
            </w:r>
          </w:p>
        </w:tc>
        <w:tc>
          <w:tcPr>
            <w:tcW w:w="3502" w:type="pct"/>
            <w:shd w:val="clear" w:color="auto" w:fill="auto"/>
          </w:tcPr>
          <w:p w14:paraId="3727E894">
            <w:pPr>
              <w:pStyle w:val="18"/>
              <w:ind w:firstLine="560" w:firstLineChars="200"/>
              <w:jc w:val="left"/>
              <w:rPr>
                <w:lang w:val="en-US"/>
              </w:rPr>
            </w:pPr>
            <w:r>
              <w:rPr>
                <w:rFonts w:hint="eastAsia"/>
                <w:lang w:val="en-US"/>
              </w:rPr>
              <w:t>此计划要求的是分项工程开工所必须的主要材料、设备最迟进场期限。物资部门将根据此计划进行物资供应的各项准备工作，包括询价、报批、定货加工等。同时，该计划也是发包人供</w:t>
            </w:r>
          </w:p>
          <w:p w14:paraId="0C4EC735">
            <w:pPr>
              <w:pStyle w:val="18"/>
              <w:jc w:val="left"/>
              <w:rPr>
                <w:lang w:val="en-US"/>
              </w:rPr>
            </w:pPr>
            <w:r>
              <w:rPr>
                <w:rFonts w:hint="eastAsia"/>
                <w:lang w:val="en-US"/>
              </w:rPr>
              <w:t>货的主要依据。</w:t>
            </w:r>
          </w:p>
        </w:tc>
      </w:tr>
      <w:tr w14:paraId="4896E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shd w:val="clear" w:color="auto" w:fill="auto"/>
            <w:vAlign w:val="center"/>
          </w:tcPr>
          <w:p w14:paraId="0472FF5A">
            <w:pPr>
              <w:pStyle w:val="18"/>
              <w:rPr>
                <w:lang w:val="en-US"/>
              </w:rPr>
            </w:pPr>
            <w:r>
              <w:rPr>
                <w:rFonts w:hint="eastAsia"/>
                <w:lang w:val="en-US"/>
              </w:rPr>
              <w:t>7</w:t>
            </w:r>
          </w:p>
        </w:tc>
        <w:tc>
          <w:tcPr>
            <w:tcW w:w="878" w:type="pct"/>
            <w:shd w:val="clear" w:color="auto" w:fill="auto"/>
            <w:vAlign w:val="center"/>
          </w:tcPr>
          <w:p w14:paraId="78F2ACCE">
            <w:pPr>
              <w:pStyle w:val="18"/>
              <w:rPr>
                <w:lang w:val="en-US"/>
              </w:rPr>
            </w:pPr>
            <w:r>
              <w:rPr>
                <w:rFonts w:hint="eastAsia"/>
                <w:lang w:val="en-US"/>
              </w:rPr>
              <w:t>验收计划</w:t>
            </w:r>
          </w:p>
        </w:tc>
        <w:tc>
          <w:tcPr>
            <w:tcW w:w="3502" w:type="pct"/>
            <w:shd w:val="clear" w:color="auto" w:fill="auto"/>
          </w:tcPr>
          <w:p w14:paraId="75F60377">
            <w:pPr>
              <w:pStyle w:val="18"/>
              <w:ind w:firstLine="560" w:firstLineChars="200"/>
              <w:jc w:val="left"/>
              <w:rPr>
                <w:lang w:val="en-US"/>
              </w:rPr>
            </w:pPr>
            <w:r>
              <w:rPr>
                <w:rFonts w:hint="eastAsia"/>
                <w:lang w:val="en-US"/>
              </w:rPr>
              <w:t>本工程由于工期紧张，分部分项验收必须及时，结构验收必须分段进行，保证施工的连续高效。同时工程完工验收必须在各单项验收后进行，因此在工程施工完毕后应及时联系相关验收单位，尽快组织单项验收，为工程最终的完工验收作准备。</w:t>
            </w:r>
          </w:p>
        </w:tc>
      </w:tr>
    </w:tbl>
    <w:p w14:paraId="79358934">
      <w:pPr>
        <w:pStyle w:val="5"/>
        <w:spacing w:before="31" w:after="31"/>
        <w:ind w:firstLine="562"/>
      </w:pPr>
      <w:bookmarkStart w:id="6905" w:name="_Toc26932"/>
      <w:bookmarkStart w:id="6906" w:name="_Toc1890"/>
      <w:bookmarkStart w:id="6907" w:name="_Toc8473"/>
      <w:bookmarkStart w:id="6908" w:name="_Toc19601"/>
      <w:bookmarkStart w:id="6909" w:name="_Toc26918"/>
      <w:bookmarkStart w:id="6910" w:name="_Toc16457"/>
      <w:bookmarkStart w:id="6911" w:name="_Toc17673"/>
      <w:bookmarkStart w:id="6912" w:name="_Toc16578"/>
      <w:bookmarkStart w:id="6913" w:name="_Toc8664"/>
      <w:bookmarkStart w:id="6914" w:name="_Toc19347"/>
      <w:bookmarkStart w:id="6915" w:name="_Toc21724"/>
      <w:bookmarkStart w:id="6916" w:name="_Toc4525"/>
      <w:bookmarkStart w:id="6917" w:name="_Toc30731"/>
      <w:bookmarkStart w:id="6918" w:name="_Toc5093"/>
      <w:bookmarkStart w:id="6919" w:name="_Toc20441"/>
      <w:bookmarkStart w:id="6920" w:name="_Toc1602"/>
      <w:bookmarkStart w:id="6921" w:name="_Toc29910"/>
      <w:bookmarkStart w:id="6922" w:name="_Toc12364"/>
      <w:bookmarkStart w:id="6923" w:name="_Toc9523"/>
      <w:bookmarkStart w:id="6924" w:name="_Toc1488"/>
      <w:bookmarkStart w:id="6925" w:name="_Toc9370"/>
      <w:bookmarkStart w:id="6926" w:name="_Toc5459"/>
      <w:bookmarkStart w:id="6927" w:name="_Toc9228"/>
      <w:bookmarkStart w:id="6928" w:name="_Toc8415"/>
      <w:bookmarkStart w:id="6929" w:name="_Toc16152"/>
      <w:bookmarkStart w:id="6930" w:name="_Toc18225"/>
      <w:bookmarkStart w:id="6931" w:name="_Toc31702"/>
      <w:bookmarkStart w:id="6932" w:name="_Toc2084"/>
      <w:bookmarkStart w:id="6933" w:name="_Toc18362"/>
      <w:bookmarkStart w:id="6934" w:name="_Toc25586"/>
      <w:bookmarkStart w:id="6935" w:name="_Toc24164"/>
      <w:bookmarkStart w:id="6936" w:name="_Toc9419"/>
      <w:bookmarkStart w:id="6937" w:name="_Toc30527"/>
      <w:bookmarkStart w:id="6938" w:name="_Toc29662"/>
      <w:bookmarkStart w:id="6939" w:name="_Toc23057"/>
      <w:bookmarkStart w:id="6940" w:name="_Toc23972"/>
      <w:bookmarkStart w:id="6941" w:name="_Toc23150"/>
      <w:bookmarkStart w:id="6942" w:name="_Toc208"/>
      <w:bookmarkStart w:id="6943" w:name="_Toc13725"/>
      <w:bookmarkStart w:id="6944" w:name="_Toc19588"/>
      <w:bookmarkStart w:id="6945" w:name="_Toc10375"/>
      <w:bookmarkStart w:id="6946" w:name="_Toc25670"/>
      <w:bookmarkStart w:id="6947" w:name="_Toc14967"/>
      <w:bookmarkStart w:id="6948" w:name="_Toc11135"/>
      <w:bookmarkStart w:id="6949" w:name="_Toc18547"/>
      <w:bookmarkStart w:id="6950" w:name="_Toc20702"/>
      <w:bookmarkStart w:id="6951" w:name="_Toc18713"/>
      <w:bookmarkStart w:id="6952" w:name="_Toc31217"/>
      <w:bookmarkStart w:id="6953" w:name="_Toc1971"/>
      <w:bookmarkStart w:id="6954" w:name="_Toc2615"/>
      <w:bookmarkStart w:id="6955" w:name="_Toc15682"/>
      <w:bookmarkStart w:id="6956" w:name="_Toc18210"/>
      <w:bookmarkStart w:id="6957" w:name="_Toc2298"/>
      <w:bookmarkStart w:id="6958" w:name="_Toc2215"/>
      <w:bookmarkStart w:id="6959" w:name="_Toc5709"/>
      <w:r>
        <w:rPr>
          <w:rFonts w:hint="eastAsia"/>
        </w:rPr>
        <w:t>（四）施工进度监测</w:t>
      </w:r>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p>
    <w:p w14:paraId="6F7851B6">
      <w:pPr>
        <w:ind w:firstLine="560"/>
      </w:pPr>
      <w:r>
        <w:rPr>
          <w:rFonts w:hint="eastAsia"/>
        </w:rPr>
        <w:t>（1）各责任工程师每天对现场的施工情况进行检查，汇总记录，及时反映施工计划的执行情况。</w:t>
      </w:r>
    </w:p>
    <w:p w14:paraId="3132190F">
      <w:pPr>
        <w:ind w:firstLine="560"/>
      </w:pPr>
      <w:r>
        <w:rPr>
          <w:rFonts w:hint="eastAsia"/>
        </w:rPr>
        <w:t>（2）施工进度的检查与进度计划的执行是融会在一起的。计划检查是计划执行信息的主要来源，是施工进度调整和分析的依据，是进度计划控制的关键步骤。</w:t>
      </w:r>
    </w:p>
    <w:p w14:paraId="5B87BF52">
      <w:pPr>
        <w:ind w:firstLine="560"/>
      </w:pPr>
      <w:r>
        <w:rPr>
          <w:rFonts w:hint="eastAsia"/>
        </w:rPr>
        <w:t>（3）进度计划的检查方法主要是对比法，即实际进度与计划进度进行对比，从而发现偏差，以便调整或修改计划。主要是在图上对比。按计划图形的不同采用不同的检查方法，包括：横道计划检查法、网络计划检查法、实际进度前锋线法等。</w:t>
      </w:r>
    </w:p>
    <w:p w14:paraId="553C7B80">
      <w:pPr>
        <w:ind w:firstLine="560"/>
      </w:pPr>
      <w:r>
        <w:rPr>
          <w:rFonts w:hint="eastAsia"/>
        </w:rPr>
        <w:t>（4）跟踪检查施工实际进度，专业计划工程师监督检查工程进展。根据对比实际进度与计划进度，采用图表比较法，得出实际与计划进度相一致、超前或拖后的情况。</w:t>
      </w:r>
    </w:p>
    <w:p w14:paraId="57935B65">
      <w:pPr>
        <w:pStyle w:val="5"/>
        <w:spacing w:before="31" w:after="31"/>
        <w:ind w:firstLine="562"/>
      </w:pPr>
      <w:bookmarkStart w:id="6960" w:name="_Toc9487"/>
      <w:bookmarkStart w:id="6961" w:name="_Toc17530"/>
      <w:bookmarkStart w:id="6962" w:name="_Toc24853"/>
      <w:bookmarkStart w:id="6963" w:name="_Toc9548"/>
      <w:bookmarkStart w:id="6964" w:name="_Toc25578"/>
      <w:bookmarkStart w:id="6965" w:name="_Toc18080"/>
      <w:bookmarkStart w:id="6966" w:name="_Toc31717"/>
      <w:bookmarkStart w:id="6967" w:name="_Toc24392"/>
      <w:bookmarkStart w:id="6968" w:name="_Toc27793"/>
      <w:bookmarkStart w:id="6969" w:name="_Toc32605"/>
      <w:bookmarkStart w:id="6970" w:name="_Toc19402"/>
      <w:bookmarkStart w:id="6971" w:name="_Toc16568"/>
      <w:bookmarkStart w:id="6972" w:name="_Toc5641"/>
      <w:bookmarkStart w:id="6973" w:name="_Toc8148"/>
      <w:bookmarkStart w:id="6974" w:name="_Toc7531"/>
      <w:bookmarkStart w:id="6975" w:name="_Toc1108"/>
      <w:bookmarkStart w:id="6976" w:name="_Toc31208"/>
      <w:bookmarkStart w:id="6977" w:name="_Toc22360"/>
      <w:bookmarkStart w:id="6978" w:name="_Toc30885"/>
      <w:bookmarkStart w:id="6979" w:name="_Toc8043"/>
      <w:bookmarkStart w:id="6980" w:name="_Toc24789"/>
      <w:bookmarkStart w:id="6981" w:name="_Toc117"/>
      <w:bookmarkStart w:id="6982" w:name="_Toc18978"/>
      <w:bookmarkStart w:id="6983" w:name="_Toc22803"/>
      <w:bookmarkStart w:id="6984" w:name="_Toc18138"/>
      <w:bookmarkStart w:id="6985" w:name="_Toc29628"/>
      <w:bookmarkStart w:id="6986" w:name="_Toc2467"/>
      <w:bookmarkStart w:id="6987" w:name="_Toc28914"/>
      <w:bookmarkStart w:id="6988" w:name="_Toc31190"/>
      <w:bookmarkStart w:id="6989" w:name="_Toc10377"/>
      <w:bookmarkStart w:id="6990" w:name="_Toc32062"/>
      <w:bookmarkStart w:id="6991" w:name="_Toc3515"/>
      <w:bookmarkStart w:id="6992" w:name="_Toc27534"/>
      <w:bookmarkStart w:id="6993" w:name="_Toc9210"/>
      <w:bookmarkStart w:id="6994" w:name="_Toc866"/>
      <w:bookmarkStart w:id="6995" w:name="_Toc16208"/>
      <w:bookmarkStart w:id="6996" w:name="_Toc29227"/>
      <w:bookmarkStart w:id="6997" w:name="_Toc2608"/>
      <w:bookmarkStart w:id="6998" w:name="_Toc19966"/>
      <w:bookmarkStart w:id="6999" w:name="_Toc8155"/>
      <w:bookmarkStart w:id="7000" w:name="_Toc24431"/>
      <w:bookmarkStart w:id="7001" w:name="_Toc18541"/>
      <w:bookmarkStart w:id="7002" w:name="_Toc27508"/>
      <w:bookmarkStart w:id="7003" w:name="_Toc23630"/>
      <w:bookmarkStart w:id="7004" w:name="_Toc31199"/>
      <w:bookmarkStart w:id="7005" w:name="_Toc26391"/>
      <w:bookmarkStart w:id="7006" w:name="_Toc11356"/>
      <w:bookmarkStart w:id="7007" w:name="_Toc6191"/>
      <w:bookmarkStart w:id="7008" w:name="_Toc18229"/>
      <w:bookmarkStart w:id="7009" w:name="_Toc6347"/>
      <w:bookmarkStart w:id="7010" w:name="_Toc28814"/>
      <w:r>
        <w:rPr>
          <w:rFonts w:hint="eastAsia"/>
        </w:rPr>
        <w:t>（五）进度计划调整</w:t>
      </w:r>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p>
    <w:p w14:paraId="66887C42">
      <w:pPr>
        <w:ind w:firstLine="560"/>
      </w:pPr>
      <w:r>
        <w:rPr>
          <w:rFonts w:hint="eastAsia"/>
        </w:rPr>
        <w:t>（1）进度计划调整的最有效方法是利用网络计划。调整的内容包括：关键线路长度的调整、非关键工作时差的调整、增减工作项目、调整逻辑关系、重新估计某些工作的持续时间、对资源的投入作局部调整等。进度计划调整方法见下表。</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8"/>
        <w:gridCol w:w="1859"/>
        <w:gridCol w:w="7733"/>
      </w:tblGrid>
      <w:tr w14:paraId="2AC02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509" w:type="pct"/>
            <w:shd w:val="clear" w:color="auto" w:fill="auto"/>
          </w:tcPr>
          <w:p w14:paraId="3FAC2F09">
            <w:pPr>
              <w:pStyle w:val="18"/>
              <w:rPr>
                <w:lang w:val="en-US"/>
              </w:rPr>
            </w:pPr>
            <w:r>
              <w:rPr>
                <w:rFonts w:hint="eastAsia"/>
                <w:lang w:val="en-US"/>
              </w:rPr>
              <w:t>序号</w:t>
            </w:r>
          </w:p>
        </w:tc>
        <w:tc>
          <w:tcPr>
            <w:tcW w:w="870" w:type="pct"/>
            <w:shd w:val="clear" w:color="auto" w:fill="auto"/>
          </w:tcPr>
          <w:p w14:paraId="3BB9EC61">
            <w:pPr>
              <w:pStyle w:val="18"/>
              <w:rPr>
                <w:lang w:val="en-US"/>
              </w:rPr>
            </w:pPr>
            <w:r>
              <w:rPr>
                <w:rFonts w:hint="eastAsia"/>
                <w:lang w:val="en-US"/>
              </w:rPr>
              <w:t>制度</w:t>
            </w:r>
          </w:p>
        </w:tc>
        <w:tc>
          <w:tcPr>
            <w:tcW w:w="3619" w:type="pct"/>
            <w:shd w:val="clear" w:color="auto" w:fill="auto"/>
          </w:tcPr>
          <w:p w14:paraId="1DA44337">
            <w:pPr>
              <w:pStyle w:val="18"/>
              <w:rPr>
                <w:lang w:val="en-US"/>
              </w:rPr>
            </w:pPr>
            <w:r>
              <w:rPr>
                <w:rFonts w:hint="eastAsia"/>
                <w:lang w:val="en-US"/>
              </w:rPr>
              <w:t>内容</w:t>
            </w:r>
          </w:p>
        </w:tc>
      </w:tr>
      <w:tr w14:paraId="7E6E3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61CD9540">
            <w:pPr>
              <w:pStyle w:val="18"/>
              <w:rPr>
                <w:lang w:val="en-US"/>
              </w:rPr>
            </w:pPr>
            <w:r>
              <w:rPr>
                <w:rFonts w:hint="eastAsia"/>
                <w:lang w:val="en-US"/>
              </w:rPr>
              <w:t>1</w:t>
            </w:r>
          </w:p>
        </w:tc>
        <w:tc>
          <w:tcPr>
            <w:tcW w:w="870" w:type="pct"/>
            <w:shd w:val="clear" w:color="auto" w:fill="auto"/>
            <w:vAlign w:val="center"/>
          </w:tcPr>
          <w:p w14:paraId="4180E9EB">
            <w:pPr>
              <w:pStyle w:val="18"/>
              <w:rPr>
                <w:lang w:val="en-US"/>
              </w:rPr>
            </w:pPr>
            <w:r>
              <w:rPr>
                <w:rFonts w:hint="eastAsia"/>
                <w:lang w:val="en-US"/>
              </w:rPr>
              <w:t>关键线路长度的</w:t>
            </w:r>
          </w:p>
          <w:p w14:paraId="5197298E">
            <w:pPr>
              <w:pStyle w:val="18"/>
              <w:rPr>
                <w:lang w:val="en-US"/>
              </w:rPr>
            </w:pPr>
            <w:r>
              <w:rPr>
                <w:rFonts w:hint="eastAsia"/>
                <w:lang w:val="en-US"/>
              </w:rPr>
              <w:t>调整</w:t>
            </w:r>
          </w:p>
        </w:tc>
        <w:tc>
          <w:tcPr>
            <w:tcW w:w="3619" w:type="pct"/>
            <w:shd w:val="clear" w:color="auto" w:fill="auto"/>
          </w:tcPr>
          <w:p w14:paraId="033EEDE4">
            <w:pPr>
              <w:pStyle w:val="18"/>
              <w:ind w:firstLine="560" w:firstLineChars="200"/>
              <w:jc w:val="left"/>
            </w:pPr>
            <w:r>
              <w:t>当关键线路的实际进度比计划进度提前时，若不拟缩短工期，选择资源占用量大、或直接费用高的关键工作，适当延长其持续时间以降低资源强度或费用；若要提前完成计划，则将计划的未完成部分作为一个新计划，重新调整，按新计划实施。</w:t>
            </w:r>
          </w:p>
          <w:p w14:paraId="3DCD0894">
            <w:pPr>
              <w:pStyle w:val="18"/>
              <w:ind w:firstLine="560" w:firstLineChars="200"/>
              <w:jc w:val="left"/>
              <w:rPr>
                <w:lang w:val="en-US"/>
              </w:rPr>
            </w:pPr>
            <w:r>
              <w:t>当关键线路的实际计划比计划进度落后时，在未完成线路中选择资源强度小或费用率低的关键工作，缩短其持续时间，并把计划的</w:t>
            </w:r>
            <w:r>
              <w:rPr>
                <w:rFonts w:hint="eastAsia"/>
              </w:rPr>
              <w:t>未完部分作为一个新计划，按工期优化方法进行调整。</w:t>
            </w:r>
          </w:p>
        </w:tc>
      </w:tr>
      <w:tr w14:paraId="046BF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5C6746D1">
            <w:pPr>
              <w:pStyle w:val="18"/>
              <w:rPr>
                <w:lang w:val="en-US"/>
              </w:rPr>
            </w:pPr>
            <w:r>
              <w:rPr>
                <w:rFonts w:hint="eastAsia"/>
                <w:lang w:val="en-US"/>
              </w:rPr>
              <w:t>2</w:t>
            </w:r>
          </w:p>
        </w:tc>
        <w:tc>
          <w:tcPr>
            <w:tcW w:w="870" w:type="pct"/>
            <w:shd w:val="clear" w:color="auto" w:fill="auto"/>
            <w:vAlign w:val="center"/>
          </w:tcPr>
          <w:p w14:paraId="7A5A961C">
            <w:pPr>
              <w:pStyle w:val="18"/>
              <w:rPr>
                <w:lang w:val="en-US"/>
              </w:rPr>
            </w:pPr>
            <w:r>
              <w:rPr>
                <w:rFonts w:hint="eastAsia"/>
                <w:lang w:val="en-US"/>
              </w:rPr>
              <w:t>非关键工作时差的调整</w:t>
            </w:r>
          </w:p>
        </w:tc>
        <w:tc>
          <w:tcPr>
            <w:tcW w:w="3619" w:type="pct"/>
            <w:shd w:val="clear" w:color="auto" w:fill="auto"/>
          </w:tcPr>
          <w:p w14:paraId="28545B38">
            <w:pPr>
              <w:pStyle w:val="18"/>
              <w:ind w:firstLine="560" w:firstLineChars="200"/>
              <w:jc w:val="left"/>
              <w:rPr>
                <w:lang w:val="en-US"/>
              </w:rPr>
            </w:pPr>
            <w:r>
              <w:rPr>
                <w:rFonts w:hint="eastAsia"/>
                <w:lang w:val="en-US"/>
              </w:rPr>
              <w:t>非关键工作时差的调整，在时差长度范围内进行。途径有三：一是延长工作持续时间以降低资源强度；二是缩短工作持续时间以填充资源低谷；三是移动工作的始末时间以使资源均衡。</w:t>
            </w:r>
          </w:p>
        </w:tc>
      </w:tr>
      <w:tr w14:paraId="0BB92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5842062F">
            <w:pPr>
              <w:pStyle w:val="18"/>
              <w:rPr>
                <w:lang w:val="en-US"/>
              </w:rPr>
            </w:pPr>
            <w:r>
              <w:rPr>
                <w:rFonts w:hint="eastAsia"/>
                <w:lang w:val="en-US"/>
              </w:rPr>
              <w:t>3</w:t>
            </w:r>
          </w:p>
        </w:tc>
        <w:tc>
          <w:tcPr>
            <w:tcW w:w="870" w:type="pct"/>
            <w:shd w:val="clear" w:color="auto" w:fill="auto"/>
            <w:vAlign w:val="center"/>
          </w:tcPr>
          <w:p w14:paraId="44C5688B">
            <w:pPr>
              <w:pStyle w:val="18"/>
              <w:rPr>
                <w:lang w:val="en-US"/>
              </w:rPr>
            </w:pPr>
            <w:r>
              <w:rPr>
                <w:rFonts w:hint="eastAsia"/>
                <w:lang w:val="en-US"/>
              </w:rPr>
              <w:t>增减工</w:t>
            </w:r>
          </w:p>
          <w:p w14:paraId="4D1357C6">
            <w:pPr>
              <w:pStyle w:val="18"/>
              <w:rPr>
                <w:lang w:val="en-US"/>
              </w:rPr>
            </w:pPr>
            <w:r>
              <w:rPr>
                <w:rFonts w:hint="eastAsia"/>
                <w:lang w:val="en-US"/>
              </w:rPr>
              <w:t>作项目</w:t>
            </w:r>
          </w:p>
        </w:tc>
        <w:tc>
          <w:tcPr>
            <w:tcW w:w="3619" w:type="pct"/>
            <w:shd w:val="clear" w:color="auto" w:fill="auto"/>
          </w:tcPr>
          <w:p w14:paraId="08050030">
            <w:pPr>
              <w:pStyle w:val="18"/>
              <w:ind w:firstLine="560" w:firstLineChars="200"/>
              <w:jc w:val="left"/>
              <w:rPr>
                <w:lang w:val="en-US"/>
              </w:rPr>
            </w:pPr>
            <w:r>
              <w:rPr>
                <w:rFonts w:hint="eastAsia"/>
                <w:lang w:val="en-US"/>
              </w:rPr>
              <w:t>增减工作项目时不打乱原网络计划的逻辑关系，并重新计算时间参数，分析其对原网络计划的影响。</w:t>
            </w:r>
          </w:p>
        </w:tc>
      </w:tr>
      <w:tr w14:paraId="17A28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60C19229">
            <w:pPr>
              <w:pStyle w:val="18"/>
              <w:rPr>
                <w:lang w:val="en-US"/>
              </w:rPr>
            </w:pPr>
            <w:r>
              <w:rPr>
                <w:rFonts w:hint="eastAsia"/>
                <w:lang w:val="en-US"/>
              </w:rPr>
              <w:t>4</w:t>
            </w:r>
          </w:p>
        </w:tc>
        <w:tc>
          <w:tcPr>
            <w:tcW w:w="870" w:type="pct"/>
            <w:shd w:val="clear" w:color="auto" w:fill="auto"/>
            <w:vAlign w:val="center"/>
          </w:tcPr>
          <w:p w14:paraId="5CB07F8B">
            <w:pPr>
              <w:pStyle w:val="18"/>
              <w:rPr>
                <w:lang w:val="en-US"/>
              </w:rPr>
            </w:pPr>
            <w:r>
              <w:rPr>
                <w:rFonts w:hint="eastAsia"/>
                <w:lang w:val="en-US"/>
              </w:rPr>
              <w:t>调整逻辑关系</w:t>
            </w:r>
          </w:p>
        </w:tc>
        <w:tc>
          <w:tcPr>
            <w:tcW w:w="3619" w:type="pct"/>
            <w:shd w:val="clear" w:color="auto" w:fill="auto"/>
          </w:tcPr>
          <w:p w14:paraId="3434D355">
            <w:pPr>
              <w:pStyle w:val="18"/>
              <w:ind w:firstLine="560" w:firstLineChars="200"/>
              <w:jc w:val="left"/>
              <w:rPr>
                <w:lang w:val="en-US"/>
              </w:rPr>
            </w:pPr>
            <w:r>
              <w:rPr>
                <w:rFonts w:hint="eastAsia"/>
                <w:lang w:val="en-US"/>
              </w:rPr>
              <w:t>若检查的实际施工进度产生的偏差影响了总工期，在工作之间的逻辑关系允许改变的条件下，改变关键线路和超过计划工期的非关键线路上的有关工作之间的逻辑关系，达到缩短工期的目的。只有当实际情况要求改变施工方法或组织方法时，才可进行逻辑关系调整，且不应影响原计划工期。</w:t>
            </w:r>
          </w:p>
        </w:tc>
      </w:tr>
      <w:tr w14:paraId="26FCA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09F9115C">
            <w:pPr>
              <w:pStyle w:val="18"/>
              <w:rPr>
                <w:lang w:val="en-US"/>
              </w:rPr>
            </w:pPr>
            <w:r>
              <w:rPr>
                <w:rFonts w:hint="eastAsia"/>
                <w:lang w:val="en-US"/>
              </w:rPr>
              <w:t>5</w:t>
            </w:r>
          </w:p>
        </w:tc>
        <w:tc>
          <w:tcPr>
            <w:tcW w:w="870" w:type="pct"/>
            <w:shd w:val="clear" w:color="auto" w:fill="auto"/>
            <w:vAlign w:val="center"/>
          </w:tcPr>
          <w:p w14:paraId="1B7C9096">
            <w:pPr>
              <w:pStyle w:val="18"/>
              <w:rPr>
                <w:lang w:val="en-US"/>
              </w:rPr>
            </w:pPr>
            <w:r>
              <w:rPr>
                <w:rFonts w:hint="eastAsia"/>
                <w:lang w:val="en-US"/>
              </w:rPr>
              <w:t>重新估计某些工作的持续</w:t>
            </w:r>
          </w:p>
          <w:p w14:paraId="3E4B9C70">
            <w:pPr>
              <w:pStyle w:val="18"/>
              <w:rPr>
                <w:lang w:val="en-US"/>
              </w:rPr>
            </w:pPr>
            <w:r>
              <w:rPr>
                <w:rFonts w:hint="eastAsia"/>
                <w:lang w:val="en-US"/>
              </w:rPr>
              <w:t>时间</w:t>
            </w:r>
          </w:p>
        </w:tc>
        <w:tc>
          <w:tcPr>
            <w:tcW w:w="3619" w:type="pct"/>
            <w:shd w:val="clear" w:color="auto" w:fill="auto"/>
          </w:tcPr>
          <w:p w14:paraId="7B6A3AE7">
            <w:pPr>
              <w:pStyle w:val="18"/>
              <w:ind w:firstLine="560" w:firstLineChars="200"/>
              <w:jc w:val="left"/>
              <w:rPr>
                <w:lang w:val="en-US"/>
              </w:rPr>
            </w:pPr>
            <w:r>
              <w:rPr>
                <w:rFonts w:hint="eastAsia"/>
                <w:lang w:val="en-US"/>
              </w:rPr>
              <w:t>当发现某些工作的原计划持续时间有误或实现条件不充分时，可重新估算持续时间，并计算时间参数。这种方法是不改变工作之间的逻辑关系，而是缩短某些工作的持续时间，而使施工迸度加快，并保证实现计划工期的方法。这些被压缩持续时间的工作是位于由于实际施工进度的拖延而引起总工期增长的关键线路和某些非关键线路上的工作。同时，这些工作又是可压缩持续时间的工作。</w:t>
            </w:r>
          </w:p>
        </w:tc>
      </w:tr>
      <w:tr w14:paraId="7B197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01EE4E64">
            <w:pPr>
              <w:pStyle w:val="18"/>
              <w:rPr>
                <w:lang w:val="en-US"/>
              </w:rPr>
            </w:pPr>
            <w:r>
              <w:rPr>
                <w:rFonts w:hint="eastAsia"/>
                <w:lang w:val="en-US"/>
              </w:rPr>
              <w:t>6</w:t>
            </w:r>
          </w:p>
        </w:tc>
        <w:tc>
          <w:tcPr>
            <w:tcW w:w="870" w:type="pct"/>
            <w:shd w:val="clear" w:color="auto" w:fill="auto"/>
            <w:vAlign w:val="center"/>
          </w:tcPr>
          <w:p w14:paraId="68EA4AF3">
            <w:pPr>
              <w:pStyle w:val="18"/>
              <w:rPr>
                <w:lang w:val="en-US"/>
              </w:rPr>
            </w:pPr>
            <w:r>
              <w:rPr>
                <w:rFonts w:hint="eastAsia"/>
                <w:lang w:val="en-US"/>
              </w:rPr>
              <w:t>对资源的投入作局部调整</w:t>
            </w:r>
          </w:p>
        </w:tc>
        <w:tc>
          <w:tcPr>
            <w:tcW w:w="3619" w:type="pct"/>
            <w:shd w:val="clear" w:color="auto" w:fill="auto"/>
          </w:tcPr>
          <w:p w14:paraId="4D958402">
            <w:pPr>
              <w:pStyle w:val="18"/>
              <w:ind w:firstLine="560" w:firstLineChars="200"/>
              <w:jc w:val="left"/>
              <w:rPr>
                <w:lang w:val="en-US"/>
              </w:rPr>
            </w:pPr>
            <w:r>
              <w:rPr>
                <w:rFonts w:hint="eastAsia"/>
                <w:lang w:val="en-US"/>
              </w:rPr>
              <w:t>当资源供应发生异常时，采用资源优化方法对原计划进行调整或采取应急措施，使其对工期影响最小。</w:t>
            </w:r>
          </w:p>
        </w:tc>
      </w:tr>
    </w:tbl>
    <w:p w14:paraId="307A8ACF">
      <w:pPr>
        <w:ind w:firstLine="560"/>
      </w:pPr>
      <w:r>
        <w:rPr>
          <w:rFonts w:hint="eastAsia"/>
        </w:rPr>
        <w:t>（2）当产生潜在延误的突发事件发生时，项目部将即时作出延误预期评估，发出延误通知，知会发包人、监理。同时与发包人、监理工程师联络是否要更改施工计划，以便抢回损失之工期。</w:t>
      </w:r>
    </w:p>
    <w:p w14:paraId="24DAA734">
      <w:pPr>
        <w:pStyle w:val="5"/>
        <w:spacing w:before="31" w:after="31"/>
        <w:ind w:firstLine="562"/>
      </w:pPr>
      <w:bookmarkStart w:id="7011" w:name="_Toc18666"/>
      <w:bookmarkStart w:id="7012" w:name="_Toc22067"/>
      <w:bookmarkStart w:id="7013" w:name="_Toc15329"/>
      <w:bookmarkStart w:id="7014" w:name="_Toc10091"/>
      <w:bookmarkStart w:id="7015" w:name="_Toc14613"/>
      <w:bookmarkStart w:id="7016" w:name="_Toc27088"/>
      <w:bookmarkStart w:id="7017" w:name="_Toc4870"/>
      <w:bookmarkStart w:id="7018" w:name="_Toc31643"/>
      <w:bookmarkStart w:id="7019" w:name="_Toc27575"/>
      <w:bookmarkStart w:id="7020" w:name="_Toc9478"/>
      <w:bookmarkStart w:id="7021" w:name="_Toc30696"/>
      <w:bookmarkStart w:id="7022" w:name="_Toc28273"/>
      <w:bookmarkStart w:id="7023" w:name="_Toc12736"/>
      <w:bookmarkStart w:id="7024" w:name="_Toc30199"/>
      <w:bookmarkStart w:id="7025" w:name="_Toc16453"/>
      <w:bookmarkStart w:id="7026" w:name="_Toc5018"/>
      <w:bookmarkStart w:id="7027" w:name="_Toc31097"/>
      <w:bookmarkStart w:id="7028" w:name="_Toc13674"/>
      <w:bookmarkStart w:id="7029" w:name="_Toc17595"/>
      <w:bookmarkStart w:id="7030" w:name="_Toc16710"/>
      <w:bookmarkStart w:id="7031" w:name="_Toc22971"/>
      <w:bookmarkStart w:id="7032" w:name="_Toc19606"/>
      <w:bookmarkStart w:id="7033" w:name="_Toc8000"/>
      <w:bookmarkStart w:id="7034" w:name="_Toc8269"/>
      <w:bookmarkStart w:id="7035" w:name="_Toc497"/>
      <w:bookmarkStart w:id="7036" w:name="_Toc27972"/>
      <w:bookmarkStart w:id="7037" w:name="_Toc26253"/>
      <w:bookmarkStart w:id="7038" w:name="_Toc15875"/>
      <w:bookmarkStart w:id="7039" w:name="_Toc7877"/>
      <w:bookmarkStart w:id="7040" w:name="_Toc16716"/>
      <w:bookmarkStart w:id="7041" w:name="_Toc8673"/>
      <w:bookmarkStart w:id="7042" w:name="_Toc2116"/>
      <w:bookmarkStart w:id="7043" w:name="_Toc31285"/>
      <w:bookmarkStart w:id="7044" w:name="_Toc11684"/>
      <w:bookmarkStart w:id="7045" w:name="_Toc12515"/>
      <w:bookmarkStart w:id="7046" w:name="_Toc725"/>
      <w:bookmarkStart w:id="7047" w:name="_Toc15581"/>
      <w:bookmarkStart w:id="7048" w:name="_Toc9628"/>
      <w:bookmarkStart w:id="7049" w:name="_Toc9448"/>
      <w:bookmarkStart w:id="7050" w:name="_Toc27344"/>
      <w:bookmarkStart w:id="7051" w:name="_Toc909"/>
      <w:bookmarkStart w:id="7052" w:name="_Toc12259"/>
      <w:bookmarkStart w:id="7053" w:name="_Toc31674"/>
      <w:bookmarkStart w:id="7054" w:name="_Toc29142"/>
      <w:bookmarkStart w:id="7055" w:name="_Toc10302"/>
      <w:bookmarkStart w:id="7056" w:name="_Toc21704"/>
      <w:bookmarkStart w:id="7057" w:name="_Toc15966"/>
      <w:bookmarkStart w:id="7058" w:name="_Toc21253"/>
      <w:bookmarkStart w:id="7059" w:name="_Toc12199"/>
      <w:bookmarkStart w:id="7060" w:name="_Toc26018"/>
      <w:bookmarkStart w:id="7061" w:name="_Toc21637"/>
      <w:bookmarkStart w:id="7062" w:name="_Toc22344"/>
      <w:bookmarkStart w:id="7063" w:name="_Toc5434"/>
      <w:bookmarkStart w:id="7064" w:name="_Toc20882"/>
      <w:bookmarkStart w:id="7065" w:name="_Toc11320"/>
      <w:bookmarkStart w:id="7066" w:name="_Toc12562"/>
      <w:r>
        <w:rPr>
          <w:rFonts w:hint="eastAsia"/>
        </w:rPr>
        <w:t>（六）现场协调管理</w:t>
      </w:r>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p>
    <w:p w14:paraId="387202EE">
      <w:pPr>
        <w:ind w:firstLine="560"/>
      </w:pPr>
      <w:r>
        <w:rPr>
          <w:rFonts w:hint="eastAsia"/>
        </w:rPr>
        <w:t>协调工作主要对进度控制起协调作用。协调配合关系，解决施工中出现的各种矛盾，克服薄弱环节，实现动态平衡。协调工作的内容包括：检查作业计划执行中的问题，找出原因，并采取措施解决；督促供应单位按进度要求供应资源；控制施工现场临时设施的使用；按计划进行作业条件准备；传达决策人员的决策意图；发布协调令等。要求协调工作做的及时、灵活、准确、果断。</w:t>
      </w:r>
    </w:p>
    <w:p w14:paraId="68E68711">
      <w:pPr>
        <w:pStyle w:val="4"/>
        <w:spacing w:before="93" w:after="31"/>
      </w:pPr>
      <w:bookmarkStart w:id="7067" w:name="_Toc4965"/>
      <w:bookmarkStart w:id="7068" w:name="_Toc19157"/>
      <w:bookmarkStart w:id="7069" w:name="_Toc6335"/>
      <w:bookmarkStart w:id="7070" w:name="_Toc15023"/>
      <w:bookmarkStart w:id="7071" w:name="_Toc22202"/>
      <w:bookmarkStart w:id="7072" w:name="_Toc21835"/>
      <w:bookmarkStart w:id="7073" w:name="_Toc18252"/>
      <w:bookmarkStart w:id="7074" w:name="_Toc24161"/>
      <w:bookmarkStart w:id="7075" w:name="_Toc20779"/>
      <w:bookmarkStart w:id="7076" w:name="_Toc30528"/>
      <w:bookmarkStart w:id="7077" w:name="_Toc22502"/>
      <w:bookmarkStart w:id="7078" w:name="_Toc1821"/>
      <w:bookmarkStart w:id="7079" w:name="_Toc32666"/>
      <w:bookmarkStart w:id="7080" w:name="_Toc31106"/>
      <w:bookmarkStart w:id="7081" w:name="_Toc16806"/>
      <w:bookmarkStart w:id="7082" w:name="_Toc10095"/>
      <w:bookmarkStart w:id="7083" w:name="_Toc14384"/>
      <w:bookmarkStart w:id="7084" w:name="_Toc14414"/>
      <w:bookmarkStart w:id="7085" w:name="_Toc4660"/>
      <w:bookmarkStart w:id="7086" w:name="_Toc23021"/>
      <w:bookmarkStart w:id="7087" w:name="_Toc11511"/>
      <w:bookmarkStart w:id="7088" w:name="_Toc27043"/>
      <w:bookmarkStart w:id="7089" w:name="_Toc22205"/>
      <w:bookmarkStart w:id="7090" w:name="_Toc4705"/>
      <w:bookmarkStart w:id="7091" w:name="_Toc23853"/>
      <w:bookmarkStart w:id="7092" w:name="_Toc9671"/>
      <w:bookmarkStart w:id="7093" w:name="_Toc30159"/>
      <w:bookmarkStart w:id="7094" w:name="_Toc1988"/>
      <w:bookmarkStart w:id="7095" w:name="_Toc30288"/>
      <w:bookmarkStart w:id="7096" w:name="_Toc12607"/>
      <w:bookmarkStart w:id="7097" w:name="_Toc20474"/>
      <w:bookmarkStart w:id="7098" w:name="_Toc4523"/>
      <w:bookmarkStart w:id="7099" w:name="_Toc25159"/>
      <w:bookmarkStart w:id="7100" w:name="_Toc1280"/>
      <w:bookmarkStart w:id="7101" w:name="_Toc30188"/>
      <w:bookmarkStart w:id="7102" w:name="_Toc740"/>
      <w:bookmarkStart w:id="7103" w:name="_Toc17306"/>
      <w:bookmarkStart w:id="7104" w:name="_Toc17736"/>
      <w:bookmarkStart w:id="7105" w:name="_Toc26593"/>
      <w:bookmarkStart w:id="7106" w:name="_Toc19902"/>
      <w:bookmarkStart w:id="7107" w:name="_Toc29766"/>
      <w:bookmarkStart w:id="7108" w:name="_Toc31408"/>
      <w:bookmarkStart w:id="7109" w:name="_Toc26799"/>
      <w:bookmarkStart w:id="7110" w:name="_Toc2139"/>
      <w:bookmarkStart w:id="7111" w:name="_Toc31213"/>
      <w:bookmarkStart w:id="7112" w:name="_Toc15431"/>
      <w:bookmarkStart w:id="7113" w:name="_Toc8886"/>
      <w:bookmarkStart w:id="7114" w:name="_Toc31548"/>
      <w:bookmarkStart w:id="7115" w:name="_Toc30845"/>
      <w:bookmarkStart w:id="7116" w:name="_Toc12875"/>
      <w:bookmarkStart w:id="7117" w:name="_Toc9149"/>
      <w:bookmarkStart w:id="7118" w:name="_Toc950"/>
      <w:bookmarkStart w:id="7119" w:name="_Toc9052"/>
      <w:bookmarkStart w:id="7120" w:name="_Toc3260"/>
      <w:bookmarkStart w:id="7121" w:name="_Toc22307"/>
      <w:bookmarkStart w:id="7122" w:name="_Toc23031"/>
      <w:bookmarkStart w:id="7123" w:name="_Toc32031"/>
      <w:bookmarkStart w:id="7124" w:name="_Toc23151"/>
      <w:bookmarkStart w:id="7125" w:name="_Toc31067"/>
      <w:r>
        <w:rPr>
          <w:rFonts w:hint="eastAsia"/>
        </w:rPr>
        <w:t>四、确保工期的措施</w:t>
      </w:r>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p>
    <w:p w14:paraId="6D1B5029">
      <w:pPr>
        <w:pStyle w:val="5"/>
        <w:spacing w:before="31" w:after="31"/>
        <w:ind w:firstLine="562"/>
      </w:pPr>
      <w:bookmarkStart w:id="7126" w:name="_Toc25916"/>
      <w:bookmarkStart w:id="7127" w:name="_Toc1666"/>
      <w:bookmarkStart w:id="7128" w:name="_Toc26287"/>
      <w:bookmarkStart w:id="7129" w:name="_Toc25761"/>
      <w:bookmarkStart w:id="7130" w:name="_Toc31083"/>
      <w:bookmarkStart w:id="7131" w:name="_Toc20150"/>
      <w:bookmarkStart w:id="7132" w:name="_Toc24793"/>
      <w:bookmarkStart w:id="7133" w:name="_Toc3199"/>
      <w:bookmarkStart w:id="7134" w:name="_Toc12385"/>
      <w:bookmarkStart w:id="7135" w:name="_Toc2144"/>
      <w:bookmarkStart w:id="7136" w:name="_Toc32232"/>
      <w:bookmarkStart w:id="7137" w:name="_Toc7903"/>
      <w:bookmarkStart w:id="7138" w:name="_Toc10756"/>
      <w:bookmarkStart w:id="7139" w:name="_Toc14269"/>
      <w:bookmarkStart w:id="7140" w:name="_Toc20065"/>
      <w:bookmarkStart w:id="7141" w:name="_Toc26289"/>
      <w:bookmarkStart w:id="7142" w:name="_Toc27359"/>
      <w:bookmarkStart w:id="7143" w:name="_Toc9614"/>
      <w:bookmarkStart w:id="7144" w:name="_Toc6862"/>
      <w:bookmarkStart w:id="7145" w:name="_Toc3720"/>
      <w:bookmarkStart w:id="7146" w:name="_Toc7892"/>
      <w:bookmarkStart w:id="7147" w:name="_Toc22415"/>
      <w:bookmarkStart w:id="7148" w:name="_Toc3663"/>
      <w:bookmarkStart w:id="7149" w:name="_Toc13385"/>
      <w:bookmarkStart w:id="7150" w:name="_Toc18329"/>
      <w:bookmarkStart w:id="7151" w:name="_Toc26693"/>
      <w:bookmarkStart w:id="7152" w:name="_Toc27372"/>
      <w:bookmarkStart w:id="7153" w:name="_Toc12802"/>
      <w:bookmarkStart w:id="7154" w:name="_Toc12886"/>
      <w:bookmarkStart w:id="7155" w:name="_Toc1542"/>
      <w:bookmarkStart w:id="7156" w:name="_Toc27200"/>
      <w:bookmarkStart w:id="7157" w:name="_Toc4975"/>
      <w:bookmarkStart w:id="7158" w:name="_Toc565"/>
      <w:bookmarkStart w:id="7159" w:name="_Toc6114"/>
      <w:bookmarkStart w:id="7160" w:name="_Toc29417"/>
      <w:bookmarkStart w:id="7161" w:name="_Toc16424"/>
      <w:bookmarkStart w:id="7162" w:name="_Toc19806"/>
      <w:bookmarkStart w:id="7163" w:name="_Toc31147"/>
      <w:bookmarkStart w:id="7164" w:name="_Toc3473"/>
      <w:bookmarkStart w:id="7165" w:name="_Toc10974"/>
      <w:bookmarkStart w:id="7166" w:name="_Toc10890"/>
      <w:bookmarkStart w:id="7167" w:name="_Toc3146"/>
      <w:bookmarkStart w:id="7168" w:name="_Toc12332"/>
      <w:bookmarkStart w:id="7169" w:name="_Toc31944"/>
      <w:bookmarkStart w:id="7170" w:name="_Toc17432"/>
      <w:bookmarkStart w:id="7171" w:name="_Toc10248"/>
      <w:bookmarkStart w:id="7172" w:name="_Toc32608"/>
      <w:bookmarkStart w:id="7173" w:name="_Toc14303"/>
      <w:bookmarkStart w:id="7174" w:name="_Toc16553"/>
      <w:bookmarkStart w:id="7175" w:name="_Toc6309"/>
      <w:bookmarkStart w:id="7176" w:name="_Toc21842"/>
      <w:bookmarkStart w:id="7177" w:name="_Toc2430"/>
      <w:bookmarkStart w:id="7178" w:name="_Toc23173"/>
      <w:r>
        <w:rPr>
          <w:rFonts w:hint="eastAsia"/>
        </w:rPr>
        <w:t>（一）确保工期的管理措施</w:t>
      </w:r>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p>
    <w:p w14:paraId="730C3BAA">
      <w:pPr>
        <w:ind w:firstLine="560"/>
      </w:pPr>
      <w:r>
        <w:rPr>
          <w:rFonts w:hint="eastAsia"/>
        </w:rPr>
        <w:t>1、编制总进度计划或子进度计划时，我单位将进行多方案比较并选一个优秀、合理的方案，应体现资源的合理使用、工作面的合理安排、有利于提高建设质量、有利于文明施工和有利于合理地缩短建设工期。</w:t>
      </w:r>
    </w:p>
    <w:p w14:paraId="66CC538B">
      <w:pPr>
        <w:ind w:firstLine="560"/>
      </w:pPr>
      <w:r>
        <w:rPr>
          <w:rFonts w:hint="eastAsia"/>
        </w:rPr>
        <w:t>2、在编制总进度计划时使其系统化，所编制的各种计划独立但又相互联系、统一，使其形成计划系统。</w:t>
      </w:r>
    </w:p>
    <w:p w14:paraId="25486233">
      <w:pPr>
        <w:ind w:firstLine="560"/>
      </w:pPr>
      <w:r>
        <w:rPr>
          <w:rFonts w:hint="eastAsia"/>
        </w:rPr>
        <w:t>3、我单位将对进度实施动态控制，计划编制后，根据现场实际情况对计划进行及时的动态调整，工期管理措施见下表。</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8"/>
        <w:gridCol w:w="1169"/>
        <w:gridCol w:w="8423"/>
      </w:tblGrid>
      <w:tr w14:paraId="53CE3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9" w:type="pct"/>
            <w:shd w:val="clear" w:color="auto" w:fill="auto"/>
          </w:tcPr>
          <w:p w14:paraId="34FB6462">
            <w:pPr>
              <w:pStyle w:val="18"/>
              <w:rPr>
                <w:lang w:val="en-US"/>
              </w:rPr>
            </w:pPr>
            <w:r>
              <w:rPr>
                <w:rFonts w:hint="eastAsia"/>
                <w:lang w:val="en-US"/>
              </w:rPr>
              <w:t>序号</w:t>
            </w:r>
          </w:p>
        </w:tc>
        <w:tc>
          <w:tcPr>
            <w:tcW w:w="547" w:type="pct"/>
            <w:shd w:val="clear" w:color="auto" w:fill="auto"/>
          </w:tcPr>
          <w:p w14:paraId="54420FEE">
            <w:pPr>
              <w:pStyle w:val="18"/>
              <w:rPr>
                <w:lang w:val="en-US"/>
              </w:rPr>
            </w:pPr>
            <w:r>
              <w:rPr>
                <w:rFonts w:hint="eastAsia"/>
                <w:lang w:val="en-US"/>
              </w:rPr>
              <w:t>措施</w:t>
            </w:r>
          </w:p>
        </w:tc>
        <w:tc>
          <w:tcPr>
            <w:tcW w:w="3942" w:type="pct"/>
            <w:shd w:val="clear" w:color="auto" w:fill="auto"/>
          </w:tcPr>
          <w:p w14:paraId="37572A05">
            <w:pPr>
              <w:pStyle w:val="18"/>
              <w:rPr>
                <w:lang w:val="en-US"/>
              </w:rPr>
            </w:pPr>
            <w:r>
              <w:rPr>
                <w:rFonts w:hint="eastAsia"/>
                <w:lang w:val="en-US"/>
              </w:rPr>
              <w:t>具体内容</w:t>
            </w:r>
          </w:p>
        </w:tc>
      </w:tr>
      <w:tr w14:paraId="678F1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1E3C0EC1">
            <w:pPr>
              <w:pStyle w:val="18"/>
              <w:rPr>
                <w:lang w:val="en-US"/>
              </w:rPr>
            </w:pPr>
            <w:r>
              <w:rPr>
                <w:rFonts w:hint="eastAsia"/>
                <w:lang w:val="en-US"/>
              </w:rPr>
              <w:t>1</w:t>
            </w:r>
          </w:p>
        </w:tc>
        <w:tc>
          <w:tcPr>
            <w:tcW w:w="547" w:type="pct"/>
            <w:shd w:val="clear" w:color="auto" w:fill="auto"/>
            <w:vAlign w:val="center"/>
          </w:tcPr>
          <w:p w14:paraId="4650F9F4">
            <w:pPr>
              <w:pStyle w:val="18"/>
              <w:rPr>
                <w:lang w:val="en-US"/>
              </w:rPr>
            </w:pPr>
            <w:r>
              <w:rPr>
                <w:rFonts w:hint="eastAsia"/>
                <w:lang w:val="en-US"/>
              </w:rPr>
              <w:t>项目施工</w:t>
            </w:r>
          </w:p>
        </w:tc>
        <w:tc>
          <w:tcPr>
            <w:tcW w:w="3942" w:type="pct"/>
            <w:shd w:val="clear" w:color="auto" w:fill="auto"/>
          </w:tcPr>
          <w:p w14:paraId="0398580B">
            <w:pPr>
              <w:pStyle w:val="18"/>
              <w:jc w:val="left"/>
              <w:rPr>
                <w:lang w:val="en-US"/>
              </w:rPr>
            </w:pPr>
            <w:r>
              <w:rPr>
                <w:rFonts w:hint="eastAsia"/>
                <w:lang w:val="en-US"/>
              </w:rPr>
              <w:t>1)严格按照项目法施工管理，实行项目施工负责制，对本工程行使计划、组织、指挥、协调、控制、监督六项基本职能，对本工程实行全方位全过程的有效管理。</w:t>
            </w:r>
          </w:p>
          <w:p w14:paraId="1C4A39CD">
            <w:pPr>
              <w:pStyle w:val="18"/>
              <w:jc w:val="left"/>
              <w:rPr>
                <w:lang w:val="en-US"/>
              </w:rPr>
            </w:pPr>
            <w:r>
              <w:rPr>
                <w:rFonts w:hint="eastAsia"/>
                <w:lang w:val="en-US"/>
              </w:rPr>
              <w:t>2)立足于项目部地位，发挥综合协调管理的优势。本公司将立足于项目部的地位，以合约为控制手段，以总控计划为准绳，调动各发包人指定作业队的积极性，发挥综合协调管理的优势，确保各项目标的实现。</w:t>
            </w:r>
          </w:p>
        </w:tc>
      </w:tr>
      <w:tr w14:paraId="65414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10A8808C">
            <w:pPr>
              <w:pStyle w:val="18"/>
              <w:rPr>
                <w:lang w:val="en-US"/>
              </w:rPr>
            </w:pPr>
            <w:r>
              <w:rPr>
                <w:rFonts w:hint="eastAsia"/>
                <w:lang w:val="en-US"/>
              </w:rPr>
              <w:t>2</w:t>
            </w:r>
          </w:p>
        </w:tc>
        <w:tc>
          <w:tcPr>
            <w:tcW w:w="547" w:type="pct"/>
            <w:shd w:val="clear" w:color="auto" w:fill="auto"/>
            <w:vAlign w:val="center"/>
          </w:tcPr>
          <w:p w14:paraId="6E5B0BD7">
            <w:pPr>
              <w:pStyle w:val="18"/>
              <w:rPr>
                <w:lang w:val="en-US"/>
              </w:rPr>
            </w:pPr>
            <w:r>
              <w:rPr>
                <w:rFonts w:hint="eastAsia"/>
                <w:lang w:val="en-US"/>
              </w:rPr>
              <w:t>计划编制</w:t>
            </w:r>
          </w:p>
        </w:tc>
        <w:tc>
          <w:tcPr>
            <w:tcW w:w="3942" w:type="pct"/>
            <w:shd w:val="clear" w:color="auto" w:fill="auto"/>
          </w:tcPr>
          <w:p w14:paraId="7B7AC71A">
            <w:pPr>
              <w:pStyle w:val="18"/>
              <w:jc w:val="left"/>
              <w:rPr>
                <w:lang w:val="en-US"/>
              </w:rPr>
            </w:pPr>
            <w:r>
              <w:rPr>
                <w:rFonts w:hint="eastAsia"/>
                <w:lang w:val="en-US"/>
              </w:rPr>
              <w:t>1)本工程所有进度计划全部采用先进的计划编制软件进行编制。</w:t>
            </w:r>
          </w:p>
          <w:p w14:paraId="3CE74F5D">
            <w:pPr>
              <w:pStyle w:val="18"/>
              <w:jc w:val="left"/>
              <w:rPr>
                <w:lang w:val="en-US"/>
              </w:rPr>
            </w:pPr>
            <w:r>
              <w:rPr>
                <w:rFonts w:hint="eastAsia"/>
                <w:lang w:val="en-US"/>
              </w:rPr>
              <w:t>2)编制进度计划时必须很严谨地分析和考虑工作之间的逻辑关系，网络计划的关键线路清晰、明了。</w:t>
            </w:r>
          </w:p>
          <w:p w14:paraId="476EC908">
            <w:pPr>
              <w:pStyle w:val="18"/>
              <w:jc w:val="left"/>
              <w:rPr>
                <w:lang w:val="en-US"/>
              </w:rPr>
            </w:pPr>
            <w:r>
              <w:rPr>
                <w:rFonts w:hint="eastAsia"/>
                <w:lang w:val="en-US"/>
              </w:rPr>
              <w:t>3)每周，每旬，每月编制横道图对比实际进度与计划进度的偏差，并认真分析偏差产生的原因，及时调整进度计划。</w:t>
            </w:r>
          </w:p>
        </w:tc>
      </w:tr>
      <w:tr w14:paraId="237B3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659DED8A">
            <w:pPr>
              <w:pStyle w:val="18"/>
              <w:rPr>
                <w:lang w:val="en-US"/>
              </w:rPr>
            </w:pPr>
            <w:r>
              <w:rPr>
                <w:rFonts w:hint="eastAsia"/>
                <w:lang w:val="en-US"/>
              </w:rPr>
              <w:t>3</w:t>
            </w:r>
          </w:p>
        </w:tc>
        <w:tc>
          <w:tcPr>
            <w:tcW w:w="547" w:type="pct"/>
            <w:shd w:val="clear" w:color="auto" w:fill="auto"/>
            <w:vAlign w:val="center"/>
          </w:tcPr>
          <w:p w14:paraId="5189CF67">
            <w:pPr>
              <w:pStyle w:val="18"/>
              <w:rPr>
                <w:lang w:val="en-US"/>
              </w:rPr>
            </w:pPr>
            <w:r>
              <w:rPr>
                <w:rFonts w:hint="eastAsia"/>
                <w:lang w:val="en-US"/>
              </w:rPr>
              <w:t>进度控制</w:t>
            </w:r>
          </w:p>
        </w:tc>
        <w:tc>
          <w:tcPr>
            <w:tcW w:w="3942" w:type="pct"/>
            <w:shd w:val="clear" w:color="auto" w:fill="auto"/>
          </w:tcPr>
          <w:p w14:paraId="1CDEFEFC">
            <w:pPr>
              <w:pStyle w:val="18"/>
              <w:jc w:val="left"/>
              <w:rPr>
                <w:lang w:val="en-US"/>
              </w:rPr>
            </w:pPr>
            <w:r>
              <w:rPr>
                <w:rFonts w:hint="eastAsia"/>
                <w:lang w:val="en-US"/>
              </w:rPr>
              <w:t>1)利用微机，推行全面计划管理，控制工程进度，建立主要形象进度控制点，运用网络计划跟踪技术和动态管理方法。做到周保旬，旬保月，坚持月平衡、周调度、工期倒排，确保总进度计划实施。</w:t>
            </w:r>
          </w:p>
          <w:p w14:paraId="345AA2F0">
            <w:pPr>
              <w:pStyle w:val="18"/>
              <w:jc w:val="left"/>
              <w:rPr>
                <w:lang w:val="en-US"/>
              </w:rPr>
            </w:pPr>
            <w:r>
              <w:rPr>
                <w:rFonts w:hint="eastAsia"/>
                <w:lang w:val="en-US"/>
              </w:rPr>
              <w:t>2)认真做好施工中的计划统筹、协助与控制。严格坚持落实每周工地施工协调会制度，作好每日工程进度安排，确保各项计划落实。编制详细的工程施工总进度计划，并采用微机管理技术，对施工计划实行动态管理；建立主要的工程形象进度控制点，围绕总进度计划，编制月、周施工进度计划，作到各分部分项工程的实际进度按计划要求进行；每期根据前期完成情况和其他预测变化情况，对当期计划和后期计划、总计划进行重新调整和部署，确保按原定或因非施工原因调整了的期限交工。</w:t>
            </w:r>
          </w:p>
        </w:tc>
      </w:tr>
      <w:tr w14:paraId="4317B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3D88F77D">
            <w:pPr>
              <w:pStyle w:val="18"/>
              <w:rPr>
                <w:lang w:val="en-US"/>
              </w:rPr>
            </w:pPr>
            <w:r>
              <w:rPr>
                <w:rFonts w:hint="eastAsia"/>
                <w:lang w:val="en-US"/>
              </w:rPr>
              <w:t>4</w:t>
            </w:r>
          </w:p>
        </w:tc>
        <w:tc>
          <w:tcPr>
            <w:tcW w:w="547" w:type="pct"/>
            <w:shd w:val="clear" w:color="auto" w:fill="auto"/>
            <w:vAlign w:val="center"/>
          </w:tcPr>
          <w:p w14:paraId="463270C9">
            <w:pPr>
              <w:pStyle w:val="18"/>
              <w:rPr>
                <w:lang w:val="en-US"/>
              </w:rPr>
            </w:pPr>
            <w:r>
              <w:rPr>
                <w:rFonts w:hint="eastAsia"/>
                <w:lang w:val="en-US"/>
              </w:rPr>
              <w:t>进度考核</w:t>
            </w:r>
          </w:p>
        </w:tc>
        <w:tc>
          <w:tcPr>
            <w:tcW w:w="3942" w:type="pct"/>
            <w:shd w:val="clear" w:color="auto" w:fill="auto"/>
          </w:tcPr>
          <w:p w14:paraId="5CF72827">
            <w:pPr>
              <w:pStyle w:val="18"/>
              <w:jc w:val="left"/>
              <w:rPr>
                <w:lang w:val="en-US"/>
              </w:rPr>
            </w:pPr>
            <w:r>
              <w:rPr>
                <w:rFonts w:hint="eastAsia"/>
                <w:lang w:val="en-US"/>
              </w:rPr>
              <w:t>严格对各作业队进行考核，实行奖惩罚制度。</w:t>
            </w:r>
          </w:p>
        </w:tc>
      </w:tr>
      <w:tr w14:paraId="6DD47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6327E9C8">
            <w:pPr>
              <w:pStyle w:val="18"/>
              <w:rPr>
                <w:lang w:val="en-US"/>
              </w:rPr>
            </w:pPr>
          </w:p>
          <w:p w14:paraId="2F29EBE4">
            <w:pPr>
              <w:pStyle w:val="18"/>
              <w:rPr>
                <w:lang w:val="en-US"/>
              </w:rPr>
            </w:pPr>
          </w:p>
          <w:p w14:paraId="3A6E57E7">
            <w:pPr>
              <w:pStyle w:val="18"/>
              <w:rPr>
                <w:lang w:val="en-US"/>
              </w:rPr>
            </w:pPr>
            <w:r>
              <w:rPr>
                <w:rFonts w:hint="eastAsia"/>
                <w:lang w:val="en-US"/>
              </w:rPr>
              <w:t>5</w:t>
            </w:r>
          </w:p>
        </w:tc>
        <w:tc>
          <w:tcPr>
            <w:tcW w:w="547" w:type="pct"/>
            <w:shd w:val="clear" w:color="auto" w:fill="auto"/>
            <w:vAlign w:val="center"/>
          </w:tcPr>
          <w:p w14:paraId="6939DC4D">
            <w:pPr>
              <w:pStyle w:val="18"/>
              <w:rPr>
                <w:lang w:val="en-US"/>
              </w:rPr>
            </w:pPr>
          </w:p>
          <w:p w14:paraId="58C5AEEF">
            <w:pPr>
              <w:pStyle w:val="18"/>
              <w:rPr>
                <w:lang w:val="en-US"/>
              </w:rPr>
            </w:pPr>
            <w:r>
              <w:rPr>
                <w:rFonts w:hint="eastAsia"/>
                <w:lang w:val="en-US"/>
              </w:rPr>
              <w:t>开展工期竞赛</w:t>
            </w:r>
          </w:p>
        </w:tc>
        <w:tc>
          <w:tcPr>
            <w:tcW w:w="3942" w:type="pct"/>
            <w:shd w:val="clear" w:color="auto" w:fill="auto"/>
          </w:tcPr>
          <w:p w14:paraId="19DDCFE7">
            <w:pPr>
              <w:pStyle w:val="18"/>
              <w:ind w:firstLine="560" w:firstLineChars="200"/>
              <w:jc w:val="left"/>
              <w:rPr>
                <w:lang w:val="en-US"/>
              </w:rPr>
            </w:pPr>
            <w:r>
              <w:rPr>
                <w:rFonts w:hint="eastAsia"/>
                <w:lang w:val="en-US"/>
              </w:rPr>
              <w:t>拿出一定资金作为工期竞赛奖励基金，引入经济奖励机制，结合质量管理情况，奖优罚劣，充分调动全体施工人员的积极性，力保各项工期目标顺利实现。</w:t>
            </w:r>
          </w:p>
          <w:p w14:paraId="255C8E25">
            <w:pPr>
              <w:pStyle w:val="18"/>
              <w:jc w:val="left"/>
              <w:rPr>
                <w:lang w:val="en-US"/>
              </w:rPr>
            </w:pPr>
            <w:r>
              <w:rPr>
                <w:rFonts w:hint="eastAsia"/>
                <w:lang w:val="en-US"/>
              </w:rPr>
              <w:t>根据本工程特点，在施工期间，组织进行全方位的劳动竞赛，比工期、比质量、比安全、比文明施工，根据竞赛结果奖优罚劣，互相促进。</w:t>
            </w:r>
          </w:p>
        </w:tc>
      </w:tr>
      <w:tr w14:paraId="3636A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7A2FE7B1">
            <w:pPr>
              <w:pStyle w:val="18"/>
              <w:rPr>
                <w:lang w:val="en-US"/>
              </w:rPr>
            </w:pPr>
            <w:r>
              <w:rPr>
                <w:rFonts w:hint="eastAsia"/>
                <w:lang w:val="en-US"/>
              </w:rPr>
              <w:t>6</w:t>
            </w:r>
          </w:p>
        </w:tc>
        <w:tc>
          <w:tcPr>
            <w:tcW w:w="547" w:type="pct"/>
            <w:shd w:val="clear" w:color="auto" w:fill="auto"/>
            <w:vAlign w:val="center"/>
          </w:tcPr>
          <w:p w14:paraId="784E3032">
            <w:pPr>
              <w:pStyle w:val="18"/>
              <w:rPr>
                <w:lang w:val="en-US"/>
              </w:rPr>
            </w:pPr>
            <w:r>
              <w:rPr>
                <w:rFonts w:hint="eastAsia"/>
                <w:lang w:val="en-US"/>
              </w:rPr>
              <w:t>流水施工技术</w:t>
            </w:r>
          </w:p>
        </w:tc>
        <w:tc>
          <w:tcPr>
            <w:tcW w:w="3942" w:type="pct"/>
            <w:shd w:val="clear" w:color="auto" w:fill="auto"/>
          </w:tcPr>
          <w:p w14:paraId="7D928233">
            <w:pPr>
              <w:pStyle w:val="18"/>
              <w:ind w:firstLine="560" w:firstLineChars="200"/>
              <w:jc w:val="left"/>
              <w:rPr>
                <w:lang w:val="en-US"/>
              </w:rPr>
            </w:pPr>
            <w:r>
              <w:rPr>
                <w:rFonts w:hint="eastAsia"/>
                <w:lang w:val="en-US"/>
              </w:rPr>
              <w:t>根据工程特点，结合现场条件，科学划分流水段，合理进行工序穿插，缩短工期。</w:t>
            </w:r>
          </w:p>
          <w:p w14:paraId="594662FE">
            <w:pPr>
              <w:pStyle w:val="18"/>
              <w:ind w:firstLine="560" w:firstLineChars="200"/>
              <w:jc w:val="left"/>
              <w:rPr>
                <w:lang w:val="en-US"/>
              </w:rPr>
            </w:pPr>
            <w:r>
              <w:rPr>
                <w:rFonts w:hint="eastAsia"/>
                <w:lang w:val="en-US"/>
              </w:rPr>
              <w:t>将各施工阶段划分为若个施工段，组织段与段之间流水施工。在满足进度要求的情况下，配备足够的人力、机械、物资等资源，提高计划的可实施性。在保证上道工序质量的前提下，下道工序提前插入施工。</w:t>
            </w:r>
          </w:p>
        </w:tc>
      </w:tr>
      <w:tr w14:paraId="21611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3D0BA2FD">
            <w:pPr>
              <w:pStyle w:val="18"/>
              <w:rPr>
                <w:lang w:val="en-US"/>
              </w:rPr>
            </w:pPr>
            <w:r>
              <w:rPr>
                <w:rFonts w:hint="eastAsia"/>
                <w:lang w:val="en-US"/>
              </w:rPr>
              <w:t>7</w:t>
            </w:r>
          </w:p>
        </w:tc>
        <w:tc>
          <w:tcPr>
            <w:tcW w:w="547" w:type="pct"/>
            <w:shd w:val="clear" w:color="auto" w:fill="auto"/>
            <w:vAlign w:val="center"/>
          </w:tcPr>
          <w:p w14:paraId="56376CB8">
            <w:pPr>
              <w:pStyle w:val="18"/>
              <w:rPr>
                <w:lang w:val="en-US"/>
              </w:rPr>
            </w:pPr>
            <w:r>
              <w:rPr>
                <w:rFonts w:hint="eastAsia"/>
                <w:lang w:val="en-US"/>
              </w:rPr>
              <w:t>交叉施工</w:t>
            </w:r>
          </w:p>
          <w:p w14:paraId="6581ACAB">
            <w:pPr>
              <w:pStyle w:val="18"/>
              <w:rPr>
                <w:lang w:val="en-US"/>
              </w:rPr>
            </w:pPr>
            <w:r>
              <w:rPr>
                <w:rFonts w:hint="eastAsia"/>
                <w:lang w:val="en-US"/>
              </w:rPr>
              <w:t>管理</w:t>
            </w:r>
          </w:p>
        </w:tc>
        <w:tc>
          <w:tcPr>
            <w:tcW w:w="3942" w:type="pct"/>
            <w:shd w:val="clear" w:color="auto" w:fill="auto"/>
          </w:tcPr>
          <w:p w14:paraId="5DDDE37B">
            <w:pPr>
              <w:pStyle w:val="18"/>
              <w:ind w:firstLine="560" w:firstLineChars="200"/>
              <w:jc w:val="left"/>
              <w:rPr>
                <w:lang w:val="en-US"/>
              </w:rPr>
            </w:pPr>
            <w:r>
              <w:rPr>
                <w:rFonts w:hint="eastAsia"/>
                <w:lang w:val="en-US"/>
              </w:rPr>
              <w:t>项目经理部由专职人员负责对现场工作环境进行时时跟踪现场，预见与现场观察相结合，一旦发现具备交叉施工条件，立即在最短时间内安排资源组织施工。</w:t>
            </w:r>
          </w:p>
        </w:tc>
      </w:tr>
      <w:tr w14:paraId="7A918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50E13CBD">
            <w:pPr>
              <w:pStyle w:val="18"/>
              <w:rPr>
                <w:lang w:val="en-US"/>
              </w:rPr>
            </w:pPr>
            <w:r>
              <w:rPr>
                <w:rFonts w:hint="eastAsia"/>
                <w:lang w:val="en-US"/>
              </w:rPr>
              <w:t>8</w:t>
            </w:r>
          </w:p>
        </w:tc>
        <w:tc>
          <w:tcPr>
            <w:tcW w:w="547" w:type="pct"/>
            <w:shd w:val="clear" w:color="auto" w:fill="auto"/>
            <w:vAlign w:val="center"/>
          </w:tcPr>
          <w:p w14:paraId="65E43135">
            <w:pPr>
              <w:pStyle w:val="18"/>
              <w:rPr>
                <w:lang w:val="en-US"/>
              </w:rPr>
            </w:pPr>
            <w:r>
              <w:rPr>
                <w:rFonts w:hint="eastAsia"/>
                <w:lang w:val="en-US"/>
              </w:rPr>
              <w:t>提前确定样板</w:t>
            </w:r>
          </w:p>
        </w:tc>
        <w:tc>
          <w:tcPr>
            <w:tcW w:w="3942" w:type="pct"/>
            <w:shd w:val="clear" w:color="auto" w:fill="auto"/>
          </w:tcPr>
          <w:p w14:paraId="166698E1">
            <w:pPr>
              <w:pStyle w:val="18"/>
              <w:ind w:firstLine="560" w:firstLineChars="200"/>
              <w:jc w:val="left"/>
              <w:rPr>
                <w:lang w:val="en-US"/>
              </w:rPr>
            </w:pPr>
            <w:r>
              <w:rPr>
                <w:rFonts w:hint="eastAsia"/>
                <w:lang w:val="en-US"/>
              </w:rPr>
              <w:t>每道工序施工之前，先进行样板施工。提前确定样板，细化设计，减少施工期间技术问题的影响。</w:t>
            </w:r>
          </w:p>
        </w:tc>
      </w:tr>
      <w:tr w14:paraId="6B0AE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1EDA604D">
            <w:pPr>
              <w:pStyle w:val="18"/>
              <w:rPr>
                <w:lang w:val="en-US"/>
              </w:rPr>
            </w:pPr>
            <w:r>
              <w:rPr>
                <w:rFonts w:hint="eastAsia"/>
                <w:lang w:val="en-US"/>
              </w:rPr>
              <w:t>9</w:t>
            </w:r>
          </w:p>
        </w:tc>
        <w:tc>
          <w:tcPr>
            <w:tcW w:w="547" w:type="pct"/>
            <w:shd w:val="clear" w:color="auto" w:fill="auto"/>
            <w:vAlign w:val="center"/>
          </w:tcPr>
          <w:p w14:paraId="32F8497B">
            <w:pPr>
              <w:pStyle w:val="18"/>
              <w:rPr>
                <w:lang w:val="en-US"/>
              </w:rPr>
            </w:pPr>
            <w:r>
              <w:rPr>
                <w:rFonts w:hint="eastAsia"/>
                <w:lang w:val="en-US"/>
              </w:rPr>
              <w:t>协调管理</w:t>
            </w:r>
          </w:p>
        </w:tc>
        <w:tc>
          <w:tcPr>
            <w:tcW w:w="3942" w:type="pct"/>
            <w:shd w:val="clear" w:color="auto" w:fill="auto"/>
          </w:tcPr>
          <w:p w14:paraId="48497EBC">
            <w:pPr>
              <w:pStyle w:val="18"/>
              <w:ind w:firstLine="560" w:firstLineChars="200"/>
              <w:jc w:val="left"/>
              <w:rPr>
                <w:lang w:val="en-US"/>
              </w:rPr>
            </w:pPr>
            <w:r>
              <w:rPr>
                <w:rFonts w:hint="eastAsia"/>
                <w:lang w:val="en-US"/>
              </w:rPr>
              <w:t>强化项目部内部管理人员效率与协调，增强与发包人、监理、设计方的联系，加强与各供货厂商的协作，并明确各方及个人的职责分工，减少扯皮现象，争取将围绕本工程建设的各方面人员充分调动起来，共同完成工期总目标。</w:t>
            </w:r>
          </w:p>
          <w:p w14:paraId="1D723644">
            <w:pPr>
              <w:pStyle w:val="18"/>
              <w:ind w:firstLine="560" w:firstLineChars="200"/>
              <w:jc w:val="left"/>
              <w:rPr>
                <w:lang w:val="en-US"/>
              </w:rPr>
            </w:pPr>
            <w:r>
              <w:rPr>
                <w:rFonts w:hint="eastAsia"/>
                <w:lang w:val="en-US"/>
              </w:rPr>
              <w:t>创造和保持施工现场各方面各专业之间的良好的人际关系，使现场各方认清其间的相互依赖和相互制约的关系。</w:t>
            </w:r>
          </w:p>
          <w:p w14:paraId="065EF2D2">
            <w:pPr>
              <w:pStyle w:val="18"/>
              <w:ind w:firstLine="560" w:firstLineChars="200"/>
              <w:jc w:val="left"/>
              <w:rPr>
                <w:lang w:val="en-US"/>
              </w:rPr>
            </w:pPr>
            <w:r>
              <w:rPr>
                <w:rFonts w:hint="eastAsia"/>
                <w:lang w:val="en-US"/>
              </w:rPr>
              <w:t>加强对设计的配合工作。本公司将密切配合一切设计工作，并提供合理化建议，共同消除设计对施工进度的影响。</w:t>
            </w:r>
          </w:p>
        </w:tc>
      </w:tr>
      <w:tr w14:paraId="132C9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shd w:val="clear" w:color="auto" w:fill="auto"/>
            <w:vAlign w:val="center"/>
          </w:tcPr>
          <w:p w14:paraId="35979C1B">
            <w:pPr>
              <w:pStyle w:val="18"/>
              <w:rPr>
                <w:lang w:val="en-US"/>
              </w:rPr>
            </w:pPr>
            <w:r>
              <w:rPr>
                <w:rFonts w:hint="eastAsia"/>
                <w:lang w:val="en-US"/>
              </w:rPr>
              <w:t>10</w:t>
            </w:r>
          </w:p>
        </w:tc>
        <w:tc>
          <w:tcPr>
            <w:tcW w:w="547" w:type="pct"/>
            <w:shd w:val="clear" w:color="auto" w:fill="auto"/>
            <w:vAlign w:val="center"/>
          </w:tcPr>
          <w:p w14:paraId="0FED062C">
            <w:pPr>
              <w:pStyle w:val="18"/>
              <w:rPr>
                <w:lang w:val="en-US"/>
              </w:rPr>
            </w:pPr>
            <w:r>
              <w:rPr>
                <w:rFonts w:hint="eastAsia"/>
                <w:lang w:val="en-US"/>
              </w:rPr>
              <w:t>后勤服务</w:t>
            </w:r>
          </w:p>
        </w:tc>
        <w:tc>
          <w:tcPr>
            <w:tcW w:w="3942" w:type="pct"/>
            <w:shd w:val="clear" w:color="auto" w:fill="auto"/>
          </w:tcPr>
          <w:p w14:paraId="55342EC9">
            <w:pPr>
              <w:pStyle w:val="18"/>
              <w:ind w:firstLine="560" w:firstLineChars="200"/>
              <w:jc w:val="left"/>
              <w:rPr>
                <w:lang w:val="en-US"/>
              </w:rPr>
            </w:pPr>
            <w:r>
              <w:rPr>
                <w:rFonts w:hint="eastAsia"/>
                <w:lang w:val="en-US"/>
              </w:rPr>
              <w:t>组织专人负责做好各项后勤服务工作，解除后顾之忧，激发和调动职工的积极性。</w:t>
            </w:r>
          </w:p>
        </w:tc>
      </w:tr>
    </w:tbl>
    <w:p w14:paraId="5E922249">
      <w:pPr>
        <w:pStyle w:val="5"/>
        <w:spacing w:before="31" w:after="31"/>
        <w:ind w:firstLine="562"/>
      </w:pPr>
      <w:bookmarkStart w:id="7179" w:name="_Toc9251"/>
      <w:bookmarkStart w:id="7180" w:name="_Toc12748"/>
      <w:bookmarkStart w:id="7181" w:name="_Toc15214"/>
      <w:bookmarkStart w:id="7182" w:name="_Toc3161"/>
      <w:bookmarkStart w:id="7183" w:name="_Toc10922"/>
      <w:bookmarkStart w:id="7184" w:name="_Toc32299"/>
      <w:bookmarkStart w:id="7185" w:name="_Toc13336"/>
      <w:bookmarkStart w:id="7186" w:name="_Toc12666"/>
      <w:bookmarkStart w:id="7187" w:name="_Toc32247"/>
      <w:bookmarkStart w:id="7188" w:name="_Toc18697"/>
      <w:bookmarkStart w:id="7189" w:name="_Toc4941"/>
      <w:bookmarkStart w:id="7190" w:name="_Toc30313"/>
      <w:bookmarkStart w:id="7191" w:name="_Toc28862"/>
      <w:bookmarkStart w:id="7192" w:name="_Toc4779"/>
      <w:bookmarkStart w:id="7193" w:name="_Toc30765"/>
      <w:bookmarkStart w:id="7194" w:name="_Toc26267"/>
      <w:bookmarkStart w:id="7195" w:name="_Toc29006"/>
      <w:bookmarkStart w:id="7196" w:name="_Toc24546"/>
      <w:bookmarkStart w:id="7197" w:name="_Toc17857"/>
      <w:bookmarkStart w:id="7198" w:name="_Toc22321"/>
      <w:bookmarkStart w:id="7199" w:name="_Toc29184"/>
      <w:bookmarkStart w:id="7200" w:name="_Toc19188"/>
      <w:bookmarkStart w:id="7201" w:name="_Toc9796"/>
      <w:bookmarkStart w:id="7202" w:name="_Toc9501"/>
      <w:bookmarkStart w:id="7203" w:name="_Toc8235"/>
      <w:bookmarkStart w:id="7204" w:name="_Toc17186"/>
      <w:bookmarkStart w:id="7205" w:name="_Toc13849"/>
      <w:bookmarkStart w:id="7206" w:name="_Toc19565"/>
      <w:bookmarkStart w:id="7207" w:name="_Toc3718"/>
      <w:bookmarkStart w:id="7208" w:name="_Toc28645"/>
      <w:bookmarkStart w:id="7209" w:name="_Toc7079"/>
      <w:bookmarkStart w:id="7210" w:name="_Toc21767"/>
      <w:bookmarkStart w:id="7211" w:name="_Toc23300"/>
      <w:bookmarkStart w:id="7212" w:name="_Toc1580"/>
      <w:bookmarkStart w:id="7213" w:name="_Toc32362"/>
      <w:bookmarkStart w:id="7214" w:name="_Toc13088"/>
      <w:bookmarkStart w:id="7215" w:name="_Toc32758"/>
      <w:bookmarkStart w:id="7216" w:name="_Toc7095"/>
      <w:bookmarkStart w:id="7217" w:name="_Toc14969"/>
      <w:bookmarkStart w:id="7218" w:name="_Toc3181"/>
      <w:bookmarkStart w:id="7219" w:name="_Toc30866"/>
      <w:bookmarkStart w:id="7220" w:name="_Toc1478"/>
      <w:bookmarkStart w:id="7221" w:name="_Toc21384"/>
      <w:bookmarkStart w:id="7222" w:name="_Toc30385"/>
      <w:bookmarkStart w:id="7223" w:name="_Toc15964"/>
      <w:bookmarkStart w:id="7224" w:name="_Toc19661"/>
      <w:bookmarkStart w:id="7225" w:name="_Toc14503"/>
      <w:bookmarkStart w:id="7226" w:name="_Toc22532"/>
      <w:bookmarkStart w:id="7227" w:name="_Toc17044"/>
      <w:bookmarkStart w:id="7228" w:name="_Toc6911"/>
      <w:bookmarkStart w:id="7229" w:name="_Toc17680"/>
      <w:bookmarkStart w:id="7230" w:name="_Toc16757"/>
      <w:bookmarkStart w:id="7231" w:name="_Toc25728"/>
      <w:bookmarkStart w:id="7232" w:name="_Toc32549"/>
      <w:bookmarkStart w:id="7233" w:name="_Toc1078"/>
      <w:bookmarkStart w:id="7234" w:name="_Toc30257"/>
      <w:r>
        <w:rPr>
          <w:rFonts w:hint="eastAsia"/>
        </w:rPr>
        <w:t>（二）确保工期的资源保障措施</w:t>
      </w:r>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p>
    <w:p w14:paraId="21978176">
      <w:pPr>
        <w:ind w:firstLine="560"/>
      </w:pPr>
      <w:r>
        <w:rPr>
          <w:rFonts w:hint="eastAsia"/>
        </w:rPr>
        <w:t>资源的投入包括劳动力、施工机械及设备器具、周转材料、资金等，如何保障资源投入是确保工期的关键所在。</w:t>
      </w:r>
    </w:p>
    <w:p w14:paraId="4A3727EF">
      <w:pPr>
        <w:ind w:firstLine="560"/>
      </w:pPr>
      <w:r>
        <w:rPr>
          <w:rFonts w:hint="eastAsia"/>
        </w:rPr>
        <w:t>1、劳动力投入的保障措施</w:t>
      </w:r>
    </w:p>
    <w:p w14:paraId="27B86C01">
      <w:pPr>
        <w:ind w:firstLine="560"/>
      </w:pPr>
      <w:r>
        <w:rPr>
          <w:rFonts w:hint="eastAsia"/>
        </w:rPr>
        <w:t>本工程的劳动力投入计划详见相关内容。保障措施见下表：</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1336"/>
        <w:gridCol w:w="8297"/>
      </w:tblGrid>
      <w:tr w14:paraId="262CB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0" w:type="pct"/>
            <w:shd w:val="clear" w:color="auto" w:fill="auto"/>
          </w:tcPr>
          <w:p w14:paraId="0B735D9E">
            <w:pPr>
              <w:pStyle w:val="18"/>
              <w:rPr>
                <w:lang w:val="en-US"/>
              </w:rPr>
            </w:pPr>
            <w:r>
              <w:rPr>
                <w:rFonts w:hint="eastAsia"/>
                <w:lang w:val="en-US"/>
              </w:rPr>
              <w:t>序号</w:t>
            </w:r>
          </w:p>
        </w:tc>
        <w:tc>
          <w:tcPr>
            <w:tcW w:w="625" w:type="pct"/>
            <w:shd w:val="clear" w:color="auto" w:fill="auto"/>
          </w:tcPr>
          <w:p w14:paraId="71E957A8">
            <w:pPr>
              <w:pStyle w:val="18"/>
              <w:rPr>
                <w:lang w:val="en-US"/>
              </w:rPr>
            </w:pPr>
            <w:r>
              <w:rPr>
                <w:rFonts w:hint="eastAsia"/>
                <w:lang w:val="en-US"/>
              </w:rPr>
              <w:t>类别</w:t>
            </w:r>
          </w:p>
        </w:tc>
        <w:tc>
          <w:tcPr>
            <w:tcW w:w="3883" w:type="pct"/>
            <w:shd w:val="clear" w:color="auto" w:fill="auto"/>
          </w:tcPr>
          <w:p w14:paraId="75C8D1E6">
            <w:pPr>
              <w:pStyle w:val="18"/>
              <w:rPr>
                <w:lang w:val="en-US"/>
              </w:rPr>
            </w:pPr>
            <w:r>
              <w:rPr>
                <w:rFonts w:hint="eastAsia"/>
                <w:lang w:val="en-US"/>
              </w:rPr>
              <w:t>措施内容</w:t>
            </w:r>
          </w:p>
        </w:tc>
      </w:tr>
      <w:tr w14:paraId="05A99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shd w:val="clear" w:color="auto" w:fill="auto"/>
            <w:vAlign w:val="center"/>
          </w:tcPr>
          <w:p w14:paraId="1928A719">
            <w:pPr>
              <w:pStyle w:val="18"/>
              <w:rPr>
                <w:lang w:val="en-US"/>
              </w:rPr>
            </w:pPr>
            <w:r>
              <w:rPr>
                <w:rFonts w:hint="eastAsia"/>
                <w:lang w:val="en-US"/>
              </w:rPr>
              <w:t>1</w:t>
            </w:r>
          </w:p>
        </w:tc>
        <w:tc>
          <w:tcPr>
            <w:tcW w:w="625" w:type="pct"/>
            <w:shd w:val="clear" w:color="auto" w:fill="auto"/>
            <w:vAlign w:val="center"/>
          </w:tcPr>
          <w:p w14:paraId="5655F6C0">
            <w:pPr>
              <w:pStyle w:val="18"/>
              <w:rPr>
                <w:lang w:val="en-US"/>
              </w:rPr>
            </w:pPr>
            <w:r>
              <w:rPr>
                <w:rFonts w:hint="eastAsia"/>
                <w:lang w:val="en-US"/>
              </w:rPr>
              <w:t>数量</w:t>
            </w:r>
          </w:p>
          <w:p w14:paraId="37FC5EC4">
            <w:pPr>
              <w:pStyle w:val="18"/>
              <w:rPr>
                <w:lang w:val="en-US"/>
              </w:rPr>
            </w:pPr>
            <w:r>
              <w:rPr>
                <w:rFonts w:hint="eastAsia"/>
                <w:lang w:val="en-US"/>
              </w:rPr>
              <w:t>保障</w:t>
            </w:r>
          </w:p>
        </w:tc>
        <w:tc>
          <w:tcPr>
            <w:tcW w:w="3883" w:type="pct"/>
            <w:shd w:val="clear" w:color="auto" w:fill="auto"/>
          </w:tcPr>
          <w:p w14:paraId="05A5ABE4">
            <w:pPr>
              <w:pStyle w:val="18"/>
              <w:jc w:val="left"/>
            </w:pPr>
            <w:r>
              <w:t>1</w:t>
            </w:r>
            <w:r>
              <w:rPr>
                <w:rFonts w:hint="eastAsia"/>
              </w:rPr>
              <w:t>）</w:t>
            </w:r>
            <w:r>
              <w:t>按照“足够且略有盈余”的原则，以应对施工中的诸多不确定因素；</w:t>
            </w:r>
          </w:p>
          <w:p w14:paraId="2D9F8784">
            <w:pPr>
              <w:pStyle w:val="18"/>
              <w:jc w:val="left"/>
            </w:pPr>
            <w:r>
              <w:rPr>
                <w:rFonts w:hint="eastAsia"/>
                <w:lang w:val="en-US"/>
              </w:rPr>
              <w:t>2）</w:t>
            </w:r>
            <w:r>
              <w:t>不因节假日及季节性影响导致人员流失，确保现场作业人员的长期固定性；</w:t>
            </w:r>
          </w:p>
          <w:p w14:paraId="1158C29D">
            <w:pPr>
              <w:pStyle w:val="18"/>
              <w:jc w:val="left"/>
            </w:pPr>
            <w:r>
              <w:rPr>
                <w:rFonts w:hint="eastAsia"/>
                <w:lang w:val="en-US"/>
              </w:rPr>
              <w:t>3）</w:t>
            </w:r>
            <w:r>
              <w:t>根据总体、分阶段进度计划、劳动力供应计划等，编制各工种劳动力平衡计划，分解细化各阶段的劳动力投入量；</w:t>
            </w:r>
          </w:p>
          <w:p w14:paraId="69D5B8E9">
            <w:pPr>
              <w:pStyle w:val="18"/>
              <w:jc w:val="left"/>
              <w:rPr>
                <w:lang w:val="en-US"/>
              </w:rPr>
            </w:pPr>
            <w:r>
              <w:rPr>
                <w:rFonts w:hint="eastAsia"/>
                <w:lang w:val="en-US"/>
              </w:rPr>
              <w:t>4）</w:t>
            </w:r>
            <w:r>
              <w:t>充分发挥经济杠杆作用，定期开展工期竞赛，进行工期考核，奖优罚劣，激发劳动效率。</w:t>
            </w:r>
          </w:p>
        </w:tc>
      </w:tr>
      <w:tr w14:paraId="2677C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shd w:val="clear" w:color="auto" w:fill="auto"/>
            <w:vAlign w:val="center"/>
          </w:tcPr>
          <w:p w14:paraId="055A575A">
            <w:pPr>
              <w:pStyle w:val="18"/>
              <w:rPr>
                <w:lang w:val="en-US"/>
              </w:rPr>
            </w:pPr>
            <w:r>
              <w:rPr>
                <w:rFonts w:hint="eastAsia"/>
                <w:lang w:val="en-US"/>
              </w:rPr>
              <w:t>2</w:t>
            </w:r>
          </w:p>
        </w:tc>
        <w:tc>
          <w:tcPr>
            <w:tcW w:w="625" w:type="pct"/>
            <w:shd w:val="clear" w:color="auto" w:fill="auto"/>
            <w:vAlign w:val="center"/>
          </w:tcPr>
          <w:p w14:paraId="34B8B2E7">
            <w:pPr>
              <w:pStyle w:val="18"/>
              <w:rPr>
                <w:lang w:val="en-US"/>
              </w:rPr>
            </w:pPr>
            <w:r>
              <w:rPr>
                <w:rFonts w:hint="eastAsia"/>
                <w:lang w:val="en-US"/>
              </w:rPr>
              <w:t>素质</w:t>
            </w:r>
          </w:p>
          <w:p w14:paraId="1A618EF1">
            <w:pPr>
              <w:pStyle w:val="18"/>
              <w:rPr>
                <w:lang w:val="en-US"/>
              </w:rPr>
            </w:pPr>
            <w:r>
              <w:rPr>
                <w:rFonts w:hint="eastAsia"/>
                <w:lang w:val="en-US"/>
              </w:rPr>
              <w:t>保障</w:t>
            </w:r>
          </w:p>
        </w:tc>
        <w:tc>
          <w:tcPr>
            <w:tcW w:w="3883" w:type="pct"/>
            <w:shd w:val="clear" w:color="auto" w:fill="auto"/>
          </w:tcPr>
          <w:p w14:paraId="1A6F2E16">
            <w:pPr>
              <w:pStyle w:val="18"/>
              <w:ind w:firstLine="560" w:firstLineChars="200"/>
              <w:jc w:val="left"/>
              <w:rPr>
                <w:lang w:val="en-US"/>
              </w:rPr>
            </w:pPr>
            <w:r>
              <w:rPr>
                <w:rFonts w:hint="eastAsia"/>
                <w:lang w:val="en-US"/>
              </w:rPr>
              <w:t>进场人员必须持有各类《岗位资格证书》，其中高、中级工所占比例不少于90％；及时组织工期、技术、质量标准交底，进行安全教育培训等；施工中，定期组织工人素质考核、再教育。</w:t>
            </w:r>
          </w:p>
        </w:tc>
      </w:tr>
      <w:tr w14:paraId="1A4DE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shd w:val="clear" w:color="auto" w:fill="auto"/>
            <w:vAlign w:val="center"/>
          </w:tcPr>
          <w:p w14:paraId="26F82017">
            <w:pPr>
              <w:pStyle w:val="18"/>
              <w:rPr>
                <w:lang w:val="en-US"/>
              </w:rPr>
            </w:pPr>
            <w:r>
              <w:rPr>
                <w:rFonts w:hint="eastAsia"/>
                <w:lang w:val="en-US"/>
              </w:rPr>
              <w:t>3</w:t>
            </w:r>
          </w:p>
        </w:tc>
        <w:tc>
          <w:tcPr>
            <w:tcW w:w="625" w:type="pct"/>
            <w:shd w:val="clear" w:color="auto" w:fill="auto"/>
            <w:vAlign w:val="center"/>
          </w:tcPr>
          <w:p w14:paraId="2F3A0F85">
            <w:pPr>
              <w:pStyle w:val="18"/>
              <w:rPr>
                <w:lang w:val="en-US"/>
              </w:rPr>
            </w:pPr>
            <w:r>
              <w:rPr>
                <w:rFonts w:hint="eastAsia"/>
                <w:lang w:val="en-US"/>
              </w:rPr>
              <w:t>劳动力</w:t>
            </w:r>
          </w:p>
          <w:p w14:paraId="497BC090">
            <w:pPr>
              <w:pStyle w:val="18"/>
              <w:rPr>
                <w:lang w:val="en-US"/>
              </w:rPr>
            </w:pPr>
            <w:r>
              <w:rPr>
                <w:rFonts w:hint="eastAsia"/>
                <w:lang w:val="en-US"/>
              </w:rPr>
              <w:t>组织</w:t>
            </w:r>
          </w:p>
          <w:p w14:paraId="48F145BF">
            <w:pPr>
              <w:pStyle w:val="18"/>
              <w:rPr>
                <w:lang w:val="en-US"/>
              </w:rPr>
            </w:pPr>
            <w:r>
              <w:rPr>
                <w:rFonts w:hint="eastAsia"/>
                <w:lang w:val="en-US"/>
              </w:rPr>
              <w:t>安排</w:t>
            </w:r>
          </w:p>
        </w:tc>
        <w:tc>
          <w:tcPr>
            <w:tcW w:w="3883" w:type="pct"/>
            <w:shd w:val="clear" w:color="auto" w:fill="auto"/>
          </w:tcPr>
          <w:p w14:paraId="54B0855D">
            <w:pPr>
              <w:pStyle w:val="18"/>
              <w:ind w:firstLine="560" w:firstLineChars="200"/>
              <w:jc w:val="left"/>
              <w:rPr>
                <w:lang w:val="en-US"/>
              </w:rPr>
            </w:pPr>
            <w:r>
              <w:rPr>
                <w:rFonts w:hint="eastAsia"/>
                <w:lang w:val="en-US"/>
              </w:rPr>
              <w:t>为保证工程进度计划目标及管理生产目标，公司将充分配备项目管理人员，做到岗位设置齐全以形成严格完整的管理层次。</w:t>
            </w:r>
          </w:p>
          <w:p w14:paraId="6A55AA00">
            <w:pPr>
              <w:pStyle w:val="18"/>
              <w:ind w:firstLine="560" w:firstLineChars="200"/>
              <w:jc w:val="left"/>
              <w:rPr>
                <w:lang w:val="en-US"/>
              </w:rPr>
            </w:pPr>
            <w:r>
              <w:rPr>
                <w:rFonts w:hint="eastAsia"/>
                <w:lang w:val="en-US"/>
              </w:rPr>
              <w:t>开工前提前组织好劳动力，挑选技术过硬、操作熟练的作业层，按照施工进度计划的安排，分批进场。分析施工过程中的用人高峰和详细的劳动力需求计划，拟订日程表，劳动力的进场应相应比计划提前，预留进场培训，技术交底时间；做好后勤保障工作，安排好工人生活休息环境和伙食质量，尤其安排好夜班工人的休息环境，休息好才能工作好，保证工人有充沛的体力更好的完成施工任务。</w:t>
            </w:r>
          </w:p>
          <w:p w14:paraId="7A3CAC48">
            <w:pPr>
              <w:pStyle w:val="18"/>
              <w:ind w:firstLine="560" w:firstLineChars="200"/>
              <w:jc w:val="left"/>
              <w:rPr>
                <w:lang w:val="en-US"/>
              </w:rPr>
            </w:pPr>
            <w:r>
              <w:rPr>
                <w:rFonts w:hint="eastAsia"/>
                <w:lang w:val="en-US"/>
              </w:rPr>
              <w:t>在确保现场劳动力前提下，还要计划储备一定数量劳动力，做为资源保障措施。</w:t>
            </w:r>
          </w:p>
        </w:tc>
      </w:tr>
      <w:tr w14:paraId="63C83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shd w:val="clear" w:color="auto" w:fill="auto"/>
            <w:vAlign w:val="center"/>
          </w:tcPr>
          <w:p w14:paraId="4F5F7C82">
            <w:pPr>
              <w:pStyle w:val="18"/>
              <w:rPr>
                <w:lang w:val="en-US"/>
              </w:rPr>
            </w:pPr>
          </w:p>
          <w:p w14:paraId="5F416827">
            <w:pPr>
              <w:pStyle w:val="18"/>
              <w:rPr>
                <w:lang w:val="en-US"/>
              </w:rPr>
            </w:pPr>
          </w:p>
          <w:p w14:paraId="739775BB">
            <w:pPr>
              <w:pStyle w:val="18"/>
              <w:rPr>
                <w:lang w:val="en-US"/>
              </w:rPr>
            </w:pPr>
            <w:r>
              <w:rPr>
                <w:rFonts w:hint="eastAsia"/>
                <w:lang w:val="en-US"/>
              </w:rPr>
              <w:t>4</w:t>
            </w:r>
          </w:p>
        </w:tc>
        <w:tc>
          <w:tcPr>
            <w:tcW w:w="625" w:type="pct"/>
            <w:shd w:val="clear" w:color="auto" w:fill="auto"/>
            <w:vAlign w:val="center"/>
          </w:tcPr>
          <w:p w14:paraId="50F5A3F1">
            <w:pPr>
              <w:pStyle w:val="18"/>
              <w:rPr>
                <w:lang w:val="en-US"/>
              </w:rPr>
            </w:pPr>
          </w:p>
          <w:p w14:paraId="16096293">
            <w:pPr>
              <w:pStyle w:val="18"/>
              <w:rPr>
                <w:lang w:val="en-US"/>
              </w:rPr>
            </w:pPr>
            <w:r>
              <w:rPr>
                <w:rFonts w:hint="eastAsia"/>
                <w:lang w:val="en-US"/>
              </w:rPr>
              <w:t>人员</w:t>
            </w:r>
          </w:p>
          <w:p w14:paraId="6144A8E7">
            <w:pPr>
              <w:pStyle w:val="18"/>
              <w:rPr>
                <w:lang w:val="en-US"/>
              </w:rPr>
            </w:pPr>
            <w:r>
              <w:rPr>
                <w:rFonts w:hint="eastAsia"/>
                <w:lang w:val="en-US"/>
              </w:rPr>
              <w:t>劳动力合理</w:t>
            </w:r>
          </w:p>
          <w:p w14:paraId="0D33905E">
            <w:pPr>
              <w:pStyle w:val="18"/>
              <w:rPr>
                <w:lang w:val="en-US"/>
              </w:rPr>
            </w:pPr>
            <w:r>
              <w:rPr>
                <w:rFonts w:hint="eastAsia"/>
                <w:lang w:val="en-US"/>
              </w:rPr>
              <w:t>调配</w:t>
            </w:r>
          </w:p>
        </w:tc>
        <w:tc>
          <w:tcPr>
            <w:tcW w:w="3883" w:type="pct"/>
            <w:shd w:val="clear" w:color="auto" w:fill="auto"/>
          </w:tcPr>
          <w:p w14:paraId="32CADF96">
            <w:pPr>
              <w:pStyle w:val="18"/>
              <w:ind w:firstLine="560" w:firstLineChars="200"/>
              <w:jc w:val="left"/>
              <w:rPr>
                <w:lang w:val="en-US"/>
              </w:rPr>
            </w:pPr>
            <w:r>
              <w:rPr>
                <w:rFonts w:hint="eastAsia"/>
                <w:lang w:val="en-US"/>
              </w:rPr>
              <w:t>做好劳动力的动态调配工作，抓关键工序，在关键工序延期时，可以抽调精干的人力，集中突击施工，确保关键线路按期完成。</w:t>
            </w:r>
          </w:p>
          <w:p w14:paraId="00892A9A">
            <w:pPr>
              <w:pStyle w:val="18"/>
              <w:ind w:firstLine="560" w:firstLineChars="200"/>
              <w:jc w:val="left"/>
              <w:rPr>
                <w:lang w:val="en-US"/>
              </w:rPr>
            </w:pPr>
            <w:r>
              <w:rPr>
                <w:rFonts w:hint="eastAsia"/>
                <w:lang w:val="en-US"/>
              </w:rPr>
              <w:t>每道工序施工完成后，及时组织工人退场，给下道工序工人操作提供作业面，做到所有工作面均有人施工。</w:t>
            </w:r>
          </w:p>
          <w:p w14:paraId="3CAEF1EF">
            <w:pPr>
              <w:pStyle w:val="18"/>
              <w:ind w:firstLine="560" w:firstLineChars="200"/>
              <w:jc w:val="left"/>
              <w:rPr>
                <w:lang w:val="en-US"/>
              </w:rPr>
            </w:pPr>
            <w:r>
              <w:rPr>
                <w:rFonts w:hint="eastAsia"/>
                <w:lang w:val="en-US"/>
              </w:rPr>
              <w:t>加强班组建设，做到分工和人员搭配合理，提高工效，既要做到不停工待料，又要调整好人员的安排，不出现窝工现象。</w:t>
            </w:r>
          </w:p>
        </w:tc>
      </w:tr>
    </w:tbl>
    <w:p w14:paraId="6B79FC14">
      <w:pPr>
        <w:ind w:firstLine="560"/>
      </w:pPr>
      <w:r>
        <w:rPr>
          <w:rFonts w:hint="eastAsia"/>
        </w:rPr>
        <w:t>2、施工机械、器具投入的保障措施</w:t>
      </w:r>
    </w:p>
    <w:p w14:paraId="75803C4F">
      <w:pPr>
        <w:ind w:firstLine="560"/>
      </w:pPr>
      <w:r>
        <w:rPr>
          <w:rFonts w:hint="eastAsia"/>
        </w:rPr>
        <w:t>本工程的主要施工机械设备投入计划，为确保机械设备投入到位，我单位拟采取如下表所示的保障措施。</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9"/>
        <w:gridCol w:w="1692"/>
        <w:gridCol w:w="7189"/>
      </w:tblGrid>
      <w:tr w14:paraId="4BFF0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pct"/>
            <w:shd w:val="clear" w:color="auto" w:fill="auto"/>
          </w:tcPr>
          <w:p w14:paraId="6825D7EA">
            <w:pPr>
              <w:pStyle w:val="18"/>
              <w:rPr>
                <w:lang w:val="en-US"/>
              </w:rPr>
            </w:pPr>
            <w:r>
              <w:rPr>
                <w:rFonts w:hint="eastAsia"/>
                <w:lang w:val="en-US"/>
              </w:rPr>
              <w:t>序号</w:t>
            </w:r>
          </w:p>
        </w:tc>
        <w:tc>
          <w:tcPr>
            <w:tcW w:w="792" w:type="pct"/>
            <w:shd w:val="clear" w:color="auto" w:fill="auto"/>
          </w:tcPr>
          <w:p w14:paraId="6DF9728F">
            <w:pPr>
              <w:pStyle w:val="18"/>
              <w:rPr>
                <w:lang w:val="en-US"/>
              </w:rPr>
            </w:pPr>
            <w:r>
              <w:rPr>
                <w:rFonts w:hint="eastAsia"/>
                <w:lang w:val="en-US"/>
              </w:rPr>
              <w:t>措施</w:t>
            </w:r>
          </w:p>
        </w:tc>
        <w:tc>
          <w:tcPr>
            <w:tcW w:w="3365" w:type="pct"/>
            <w:shd w:val="clear" w:color="auto" w:fill="auto"/>
          </w:tcPr>
          <w:p w14:paraId="36FD34CE">
            <w:pPr>
              <w:pStyle w:val="18"/>
              <w:rPr>
                <w:lang w:val="en-US"/>
              </w:rPr>
            </w:pPr>
            <w:r>
              <w:rPr>
                <w:rFonts w:hint="eastAsia"/>
                <w:lang w:val="en-US"/>
              </w:rPr>
              <w:t>具体内容</w:t>
            </w:r>
          </w:p>
        </w:tc>
      </w:tr>
      <w:tr w14:paraId="4F23D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pct"/>
            <w:shd w:val="clear" w:color="auto" w:fill="auto"/>
            <w:vAlign w:val="center"/>
          </w:tcPr>
          <w:p w14:paraId="5BA9853C">
            <w:pPr>
              <w:pStyle w:val="18"/>
              <w:rPr>
                <w:lang w:val="en-US"/>
              </w:rPr>
            </w:pPr>
            <w:r>
              <w:rPr>
                <w:rFonts w:hint="eastAsia"/>
                <w:lang w:val="en-US"/>
              </w:rPr>
              <w:t>1</w:t>
            </w:r>
          </w:p>
        </w:tc>
        <w:tc>
          <w:tcPr>
            <w:tcW w:w="792" w:type="pct"/>
            <w:shd w:val="clear" w:color="auto" w:fill="auto"/>
            <w:vAlign w:val="center"/>
          </w:tcPr>
          <w:p w14:paraId="486422AC">
            <w:pPr>
              <w:pStyle w:val="18"/>
              <w:rPr>
                <w:lang w:val="en-US"/>
              </w:rPr>
            </w:pPr>
            <w:r>
              <w:rPr>
                <w:rFonts w:hint="eastAsia"/>
                <w:lang w:val="en-US"/>
              </w:rPr>
              <w:t>数量保障</w:t>
            </w:r>
          </w:p>
        </w:tc>
        <w:tc>
          <w:tcPr>
            <w:tcW w:w="3365" w:type="pct"/>
            <w:shd w:val="clear" w:color="auto" w:fill="auto"/>
          </w:tcPr>
          <w:p w14:paraId="17D690B5">
            <w:pPr>
              <w:pStyle w:val="18"/>
              <w:ind w:firstLine="560" w:firstLineChars="200"/>
              <w:jc w:val="left"/>
              <w:rPr>
                <w:lang w:val="en-US"/>
              </w:rPr>
            </w:pPr>
            <w:r>
              <w:rPr>
                <w:rFonts w:hint="eastAsia"/>
                <w:lang w:val="en-US"/>
              </w:rPr>
              <w:t>发挥企业在经营布局方面的雄厚综合实力优势，迅速在本市内或周边调集能满足施工需要的各类机械设备及器具。</w:t>
            </w:r>
          </w:p>
        </w:tc>
      </w:tr>
      <w:tr w14:paraId="53736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pct"/>
            <w:shd w:val="clear" w:color="auto" w:fill="auto"/>
            <w:vAlign w:val="center"/>
          </w:tcPr>
          <w:p w14:paraId="35BD762E">
            <w:pPr>
              <w:pStyle w:val="18"/>
              <w:rPr>
                <w:lang w:val="en-US"/>
              </w:rPr>
            </w:pPr>
            <w:r>
              <w:rPr>
                <w:rFonts w:hint="eastAsia"/>
                <w:lang w:val="en-US"/>
              </w:rPr>
              <w:t>2</w:t>
            </w:r>
          </w:p>
        </w:tc>
        <w:tc>
          <w:tcPr>
            <w:tcW w:w="792" w:type="pct"/>
            <w:shd w:val="clear" w:color="auto" w:fill="auto"/>
            <w:vAlign w:val="center"/>
          </w:tcPr>
          <w:p w14:paraId="605ACBCA">
            <w:pPr>
              <w:pStyle w:val="18"/>
              <w:rPr>
                <w:lang w:val="en-US"/>
              </w:rPr>
            </w:pPr>
            <w:r>
              <w:rPr>
                <w:rFonts w:hint="eastAsia"/>
                <w:lang w:val="en-US"/>
              </w:rPr>
              <w:t>机械计划</w:t>
            </w:r>
          </w:p>
        </w:tc>
        <w:tc>
          <w:tcPr>
            <w:tcW w:w="3365" w:type="pct"/>
            <w:shd w:val="clear" w:color="auto" w:fill="auto"/>
          </w:tcPr>
          <w:p w14:paraId="45B6E830">
            <w:pPr>
              <w:pStyle w:val="18"/>
              <w:ind w:firstLine="560" w:firstLineChars="200"/>
              <w:jc w:val="left"/>
              <w:rPr>
                <w:lang w:val="en-US"/>
              </w:rPr>
            </w:pPr>
            <w:r>
              <w:rPr>
                <w:rFonts w:hint="eastAsia"/>
                <w:lang w:val="en-US"/>
              </w:rPr>
              <w:t>精心编制详细准确的机械计划，明确机械名称、型号、数量、能力及进场时间等，并严格落实计划。</w:t>
            </w:r>
          </w:p>
        </w:tc>
      </w:tr>
      <w:tr w14:paraId="182BF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pct"/>
            <w:shd w:val="clear" w:color="auto" w:fill="auto"/>
            <w:vAlign w:val="center"/>
          </w:tcPr>
          <w:p w14:paraId="7010D3C0">
            <w:pPr>
              <w:pStyle w:val="18"/>
              <w:rPr>
                <w:lang w:val="en-US"/>
              </w:rPr>
            </w:pPr>
            <w:r>
              <w:rPr>
                <w:rFonts w:hint="eastAsia"/>
                <w:lang w:val="en-US"/>
              </w:rPr>
              <w:t>3</w:t>
            </w:r>
          </w:p>
        </w:tc>
        <w:tc>
          <w:tcPr>
            <w:tcW w:w="792" w:type="pct"/>
            <w:shd w:val="clear" w:color="auto" w:fill="auto"/>
            <w:vAlign w:val="center"/>
          </w:tcPr>
          <w:p w14:paraId="40CB91EE">
            <w:pPr>
              <w:pStyle w:val="18"/>
              <w:rPr>
                <w:lang w:val="en-US"/>
              </w:rPr>
            </w:pPr>
            <w:r>
              <w:rPr>
                <w:rFonts w:hint="eastAsia"/>
                <w:lang w:val="en-US"/>
              </w:rPr>
              <w:t>机械进场</w:t>
            </w:r>
          </w:p>
        </w:tc>
        <w:tc>
          <w:tcPr>
            <w:tcW w:w="3365" w:type="pct"/>
            <w:shd w:val="clear" w:color="auto" w:fill="auto"/>
          </w:tcPr>
          <w:p w14:paraId="65CFE1ED">
            <w:pPr>
              <w:pStyle w:val="18"/>
              <w:ind w:firstLine="560" w:firstLineChars="200"/>
              <w:jc w:val="left"/>
              <w:rPr>
                <w:lang w:val="en-US"/>
              </w:rPr>
            </w:pPr>
            <w:r>
              <w:rPr>
                <w:rFonts w:hint="eastAsia"/>
                <w:lang w:val="en-US"/>
              </w:rPr>
              <w:t>确定后立即进行基础施工和安装，确保在砌体结构施工时即可投入使用</w:t>
            </w:r>
          </w:p>
        </w:tc>
      </w:tr>
      <w:tr w14:paraId="0EEAB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pct"/>
            <w:shd w:val="clear" w:color="auto" w:fill="auto"/>
            <w:vAlign w:val="center"/>
          </w:tcPr>
          <w:p w14:paraId="0CE45390">
            <w:pPr>
              <w:pStyle w:val="18"/>
              <w:rPr>
                <w:lang w:val="en-US"/>
              </w:rPr>
            </w:pPr>
            <w:r>
              <w:rPr>
                <w:rFonts w:hint="eastAsia"/>
                <w:lang w:val="en-US"/>
              </w:rPr>
              <w:t>4</w:t>
            </w:r>
          </w:p>
        </w:tc>
        <w:tc>
          <w:tcPr>
            <w:tcW w:w="792" w:type="pct"/>
            <w:shd w:val="clear" w:color="auto" w:fill="auto"/>
            <w:vAlign w:val="center"/>
          </w:tcPr>
          <w:p w14:paraId="13797F63">
            <w:pPr>
              <w:pStyle w:val="18"/>
              <w:rPr>
                <w:lang w:val="en-US"/>
              </w:rPr>
            </w:pPr>
            <w:r>
              <w:rPr>
                <w:rFonts w:hint="eastAsia"/>
                <w:lang w:val="en-US"/>
              </w:rPr>
              <w:t>性能维护</w:t>
            </w:r>
          </w:p>
        </w:tc>
        <w:tc>
          <w:tcPr>
            <w:tcW w:w="3365" w:type="pct"/>
            <w:shd w:val="clear" w:color="auto" w:fill="auto"/>
          </w:tcPr>
          <w:p w14:paraId="4D84A579">
            <w:pPr>
              <w:pStyle w:val="18"/>
              <w:ind w:firstLine="560" w:firstLineChars="200"/>
              <w:jc w:val="left"/>
              <w:rPr>
                <w:lang w:val="en-US"/>
              </w:rPr>
            </w:pPr>
            <w:r>
              <w:rPr>
                <w:rFonts w:hint="eastAsia"/>
                <w:lang w:val="en-US"/>
              </w:rPr>
              <w:t>施工中维护：根据“专业、专人、专机”的“三专”原则，安排专业维护人员对机械实施全天候跟班维护作业，确保其始终处在最佳性能状态；</w:t>
            </w:r>
          </w:p>
          <w:p w14:paraId="27C26B7D">
            <w:pPr>
              <w:pStyle w:val="18"/>
              <w:ind w:firstLine="560" w:firstLineChars="200"/>
              <w:jc w:val="left"/>
              <w:rPr>
                <w:lang w:val="en-US"/>
              </w:rPr>
            </w:pPr>
            <w:r>
              <w:rPr>
                <w:rFonts w:hint="eastAsia"/>
                <w:lang w:val="en-US"/>
              </w:rPr>
              <w:t>检定：对测量器具等精密仪器，按国家或企业相关规定，定期送检。</w:t>
            </w:r>
          </w:p>
        </w:tc>
      </w:tr>
    </w:tbl>
    <w:p w14:paraId="26FEA9A2">
      <w:pPr>
        <w:ind w:firstLine="560"/>
      </w:pPr>
      <w:r>
        <w:rPr>
          <w:rFonts w:hint="eastAsia"/>
        </w:rPr>
        <w:t>3、材料、设备供应的保障措施</w:t>
      </w:r>
    </w:p>
    <w:p w14:paraId="649C0CC4">
      <w:pPr>
        <w:ind w:firstLine="560"/>
      </w:pPr>
      <w:r>
        <w:rPr>
          <w:rFonts w:hint="eastAsia"/>
        </w:rPr>
        <w:t>本工程的材料分为周转材料和非周转材料两类，其供应保障措施见下表：</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0"/>
        <w:gridCol w:w="1692"/>
        <w:gridCol w:w="7858"/>
      </w:tblGrid>
      <w:tr w14:paraId="0A7C9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29" w:type="pct"/>
            <w:shd w:val="clear" w:color="auto" w:fill="auto"/>
          </w:tcPr>
          <w:p w14:paraId="2E5C6756">
            <w:pPr>
              <w:pStyle w:val="18"/>
              <w:rPr>
                <w:lang w:val="en-US"/>
              </w:rPr>
            </w:pPr>
            <w:r>
              <w:t>序号</w:t>
            </w:r>
          </w:p>
        </w:tc>
        <w:tc>
          <w:tcPr>
            <w:tcW w:w="792" w:type="pct"/>
            <w:shd w:val="clear" w:color="auto" w:fill="auto"/>
          </w:tcPr>
          <w:p w14:paraId="727855F3">
            <w:pPr>
              <w:pStyle w:val="18"/>
              <w:rPr>
                <w:lang w:val="en-US"/>
              </w:rPr>
            </w:pPr>
            <w:r>
              <w:t>材料类别</w:t>
            </w:r>
          </w:p>
        </w:tc>
        <w:tc>
          <w:tcPr>
            <w:tcW w:w="3678" w:type="pct"/>
            <w:shd w:val="clear" w:color="auto" w:fill="auto"/>
          </w:tcPr>
          <w:p w14:paraId="1D51280C">
            <w:pPr>
              <w:pStyle w:val="18"/>
              <w:rPr>
                <w:lang w:val="en-US"/>
              </w:rPr>
            </w:pPr>
            <w:r>
              <w:t>供应保障措施</w:t>
            </w:r>
          </w:p>
        </w:tc>
      </w:tr>
      <w:tr w14:paraId="2FC15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pct"/>
            <w:shd w:val="clear" w:color="auto" w:fill="auto"/>
            <w:vAlign w:val="center"/>
          </w:tcPr>
          <w:p w14:paraId="658F9E0C">
            <w:pPr>
              <w:pStyle w:val="18"/>
              <w:rPr>
                <w:lang w:val="en-US"/>
              </w:rPr>
            </w:pPr>
            <w:r>
              <w:rPr>
                <w:rFonts w:hint="eastAsia"/>
                <w:lang w:val="en-US"/>
              </w:rPr>
              <w:t>1</w:t>
            </w:r>
          </w:p>
        </w:tc>
        <w:tc>
          <w:tcPr>
            <w:tcW w:w="792" w:type="pct"/>
            <w:shd w:val="clear" w:color="auto" w:fill="auto"/>
            <w:vAlign w:val="center"/>
          </w:tcPr>
          <w:p w14:paraId="76114642">
            <w:pPr>
              <w:pStyle w:val="18"/>
            </w:pPr>
            <w:r>
              <w:t>周转</w:t>
            </w:r>
          </w:p>
          <w:p w14:paraId="0DC6ED2D">
            <w:pPr>
              <w:pStyle w:val="18"/>
              <w:rPr>
                <w:lang w:val="en-US"/>
              </w:rPr>
            </w:pPr>
            <w:r>
              <w:t>材料</w:t>
            </w:r>
          </w:p>
        </w:tc>
        <w:tc>
          <w:tcPr>
            <w:tcW w:w="3678" w:type="pct"/>
            <w:shd w:val="clear" w:color="auto" w:fill="auto"/>
          </w:tcPr>
          <w:p w14:paraId="748774C1">
            <w:pPr>
              <w:pStyle w:val="18"/>
              <w:ind w:firstLine="560" w:firstLineChars="200"/>
              <w:jc w:val="left"/>
            </w:pPr>
            <w:r>
              <w:t>根据项目生产进度对各项材料需求，选择几家交通便利的周转材料租赁公司作为储备，在周转材料出现问题时及时进行租赁调配，保证不耽误施工生产需求。</w:t>
            </w:r>
          </w:p>
          <w:p w14:paraId="0B1D6C64">
            <w:pPr>
              <w:pStyle w:val="18"/>
              <w:jc w:val="left"/>
              <w:rPr>
                <w:lang w:val="en-US"/>
              </w:rPr>
            </w:pPr>
            <w:r>
              <w:t>根据周转材料投入总计划和工程进度计划，结合工程实际情况，编制切实可行的周转材料供应计划，按计划组织分批进场，确保周转材料供应及时、适量。</w:t>
            </w:r>
          </w:p>
        </w:tc>
      </w:tr>
      <w:tr w14:paraId="10F91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pct"/>
            <w:shd w:val="clear" w:color="auto" w:fill="auto"/>
            <w:vAlign w:val="center"/>
          </w:tcPr>
          <w:p w14:paraId="032396C5">
            <w:pPr>
              <w:pStyle w:val="18"/>
              <w:rPr>
                <w:lang w:val="en-US"/>
              </w:rPr>
            </w:pPr>
            <w:r>
              <w:rPr>
                <w:rFonts w:hint="eastAsia"/>
                <w:lang w:val="en-US"/>
              </w:rPr>
              <w:t>2</w:t>
            </w:r>
          </w:p>
        </w:tc>
        <w:tc>
          <w:tcPr>
            <w:tcW w:w="792" w:type="pct"/>
            <w:shd w:val="clear" w:color="auto" w:fill="auto"/>
            <w:vAlign w:val="center"/>
          </w:tcPr>
          <w:p w14:paraId="2CA8BC08">
            <w:pPr>
              <w:pStyle w:val="18"/>
              <w:rPr>
                <w:lang w:val="en-US"/>
              </w:rPr>
            </w:pPr>
            <w:r>
              <w:rPr>
                <w:rFonts w:hint="eastAsia"/>
                <w:lang w:val="en-US"/>
              </w:rPr>
              <w:t>非周转</w:t>
            </w:r>
          </w:p>
          <w:p w14:paraId="273CA831">
            <w:pPr>
              <w:pStyle w:val="18"/>
              <w:rPr>
                <w:lang w:val="en-US"/>
              </w:rPr>
            </w:pPr>
            <w:r>
              <w:rPr>
                <w:rFonts w:hint="eastAsia"/>
                <w:lang w:val="en-US"/>
              </w:rPr>
              <w:t>材料</w:t>
            </w:r>
          </w:p>
        </w:tc>
        <w:tc>
          <w:tcPr>
            <w:tcW w:w="3678" w:type="pct"/>
            <w:shd w:val="clear" w:color="auto" w:fill="auto"/>
          </w:tcPr>
          <w:p w14:paraId="2578455E">
            <w:pPr>
              <w:pStyle w:val="18"/>
              <w:jc w:val="left"/>
              <w:rPr>
                <w:lang w:val="en-US"/>
              </w:rPr>
            </w:pPr>
            <w:r>
              <w:rPr>
                <w:rFonts w:hint="eastAsia"/>
                <w:lang w:val="en-US"/>
              </w:rPr>
              <w:t>1)项目自购材料</w:t>
            </w:r>
          </w:p>
          <w:p w14:paraId="00400B95">
            <w:pPr>
              <w:pStyle w:val="18"/>
              <w:ind w:firstLine="560" w:firstLineChars="200"/>
              <w:jc w:val="left"/>
              <w:rPr>
                <w:lang w:val="en-US"/>
              </w:rPr>
            </w:pPr>
            <w:r>
              <w:rPr>
                <w:rFonts w:hint="eastAsia"/>
                <w:lang w:val="en-US"/>
              </w:rPr>
              <w:t>在全国各地建立大宗材料信息网络，不断充实更新材料供应商档案；随施工进度不断完善材料需用计划；</w:t>
            </w:r>
          </w:p>
          <w:p w14:paraId="3B0A3D77">
            <w:pPr>
              <w:pStyle w:val="18"/>
              <w:ind w:firstLine="560" w:firstLineChars="200"/>
              <w:jc w:val="left"/>
              <w:rPr>
                <w:lang w:val="en-US"/>
              </w:rPr>
            </w:pPr>
            <w:r>
              <w:rPr>
                <w:rFonts w:hint="eastAsia"/>
                <w:lang w:val="en-US"/>
              </w:rPr>
              <w:t>在保证质量的前提下，按照“就近采购”的原则选择供应商，尽量缩短运输时间，确保短期内完成大宗材料的采购进场；</w:t>
            </w:r>
          </w:p>
          <w:p w14:paraId="23136087">
            <w:pPr>
              <w:pStyle w:val="18"/>
              <w:jc w:val="left"/>
              <w:rPr>
                <w:lang w:val="en-US"/>
              </w:rPr>
            </w:pPr>
            <w:r>
              <w:rPr>
                <w:rFonts w:hint="eastAsia"/>
                <w:lang w:val="en-US"/>
              </w:rPr>
              <w:t>2)发包人提供材料</w:t>
            </w:r>
          </w:p>
          <w:p w14:paraId="669151C9">
            <w:pPr>
              <w:pStyle w:val="18"/>
              <w:ind w:firstLine="560" w:firstLineChars="200"/>
              <w:jc w:val="left"/>
              <w:rPr>
                <w:lang w:val="en-US"/>
              </w:rPr>
            </w:pPr>
            <w:r>
              <w:rPr>
                <w:rFonts w:hint="eastAsia"/>
                <w:lang w:val="en-US"/>
              </w:rPr>
              <w:t>协助发包人超前编制准确的甲供材料、设备计划，明确细化进场时间、质量标准等，必要时提供供货厂家和价格供发包人参考。</w:t>
            </w:r>
          </w:p>
          <w:p w14:paraId="3E64BC52">
            <w:pPr>
              <w:pStyle w:val="18"/>
              <w:ind w:firstLine="560" w:firstLineChars="200"/>
              <w:jc w:val="left"/>
              <w:rPr>
                <w:lang w:val="en-US"/>
              </w:rPr>
            </w:pPr>
            <w:r>
              <w:rPr>
                <w:rFonts w:hint="eastAsia"/>
                <w:lang w:val="en-US"/>
              </w:rPr>
              <w:t>做好甲供材料、设备的保管工作，对于露天堆放的材料、设备采取遮盖、搭棚等保护措施。</w:t>
            </w:r>
          </w:p>
        </w:tc>
      </w:tr>
    </w:tbl>
    <w:p w14:paraId="0E68D146">
      <w:pPr>
        <w:pStyle w:val="5"/>
        <w:spacing w:before="31" w:after="31"/>
        <w:ind w:firstLine="562"/>
      </w:pPr>
      <w:bookmarkStart w:id="7235" w:name="_Toc19030"/>
      <w:bookmarkStart w:id="7236" w:name="_Toc18247"/>
      <w:bookmarkStart w:id="7237" w:name="_Toc31964"/>
      <w:bookmarkStart w:id="7238" w:name="_Toc15901"/>
      <w:bookmarkStart w:id="7239" w:name="_Toc1563"/>
      <w:bookmarkStart w:id="7240" w:name="_Toc7939"/>
      <w:bookmarkStart w:id="7241" w:name="_Toc15599"/>
      <w:bookmarkStart w:id="7242" w:name="_Toc15079"/>
      <w:bookmarkStart w:id="7243" w:name="_Toc6005"/>
      <w:bookmarkStart w:id="7244" w:name="_Toc18959"/>
      <w:bookmarkStart w:id="7245" w:name="_Toc28728"/>
      <w:bookmarkStart w:id="7246" w:name="_Toc13439"/>
      <w:bookmarkStart w:id="7247" w:name="_Toc14893"/>
      <w:bookmarkStart w:id="7248" w:name="_Toc27039"/>
      <w:bookmarkStart w:id="7249" w:name="_Toc21423"/>
      <w:bookmarkStart w:id="7250" w:name="_Toc26238"/>
      <w:bookmarkStart w:id="7251" w:name="_Toc8670"/>
      <w:bookmarkStart w:id="7252" w:name="_Toc9670"/>
      <w:bookmarkStart w:id="7253" w:name="_Toc16934"/>
      <w:bookmarkStart w:id="7254" w:name="_Toc6280"/>
      <w:bookmarkStart w:id="7255" w:name="_Toc26623"/>
      <w:bookmarkStart w:id="7256" w:name="_Toc28697"/>
      <w:bookmarkStart w:id="7257" w:name="_Toc6667"/>
      <w:bookmarkStart w:id="7258" w:name="_Toc24608"/>
      <w:bookmarkStart w:id="7259" w:name="_Toc17042"/>
      <w:bookmarkStart w:id="7260" w:name="_Toc10736"/>
      <w:bookmarkStart w:id="7261" w:name="_Toc16295"/>
      <w:bookmarkStart w:id="7262" w:name="_Toc12272"/>
      <w:bookmarkStart w:id="7263" w:name="_Toc21213"/>
      <w:bookmarkStart w:id="7264" w:name="_Toc18047"/>
      <w:bookmarkStart w:id="7265" w:name="_Toc22073"/>
      <w:bookmarkStart w:id="7266" w:name="_Toc25958"/>
      <w:bookmarkStart w:id="7267" w:name="_Toc10026"/>
      <w:bookmarkStart w:id="7268" w:name="_Toc26547"/>
      <w:bookmarkStart w:id="7269" w:name="_Toc6194"/>
      <w:bookmarkStart w:id="7270" w:name="_Toc15230"/>
      <w:bookmarkStart w:id="7271" w:name="_Toc4218"/>
      <w:bookmarkStart w:id="7272" w:name="_Toc4378"/>
      <w:bookmarkStart w:id="7273" w:name="_Toc15584"/>
      <w:bookmarkStart w:id="7274" w:name="_Toc19781"/>
      <w:bookmarkStart w:id="7275" w:name="_Toc10918"/>
      <w:bookmarkStart w:id="7276" w:name="_Toc19523"/>
      <w:bookmarkStart w:id="7277" w:name="_Toc10719"/>
      <w:bookmarkStart w:id="7278" w:name="_Toc12460"/>
      <w:bookmarkStart w:id="7279" w:name="_Toc14330"/>
      <w:bookmarkStart w:id="7280" w:name="_Toc22887"/>
      <w:bookmarkStart w:id="7281" w:name="_Toc11852"/>
      <w:bookmarkStart w:id="7282" w:name="_Toc12546"/>
      <w:bookmarkStart w:id="7283" w:name="_Toc25922"/>
      <w:bookmarkStart w:id="7284" w:name="_Toc28421"/>
      <w:bookmarkStart w:id="7285" w:name="_Toc23526"/>
      <w:bookmarkStart w:id="7286" w:name="_Toc10611"/>
      <w:bookmarkStart w:id="7287" w:name="_Toc27750"/>
      <w:bookmarkStart w:id="7288" w:name="_Toc6994"/>
      <w:r>
        <w:rPr>
          <w:rFonts w:hint="eastAsia"/>
        </w:rPr>
        <w:t>（三）保证进度的组织措施</w:t>
      </w:r>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p>
    <w:p w14:paraId="34ACA869">
      <w:pPr>
        <w:ind w:firstLine="560"/>
      </w:pPr>
      <w:r>
        <w:rPr>
          <w:rFonts w:hint="eastAsia"/>
        </w:rPr>
        <w:t>1、我公司充分认识该工程时间紧迫，特组建具有丰富现场管理经验的、强有力的项目经理部。在项目经理的统一领导下，精心组织、精心安排。提倡前道工序为后道工序服务、与其他施工方互相协调的思想，在保证工程质量的前提下，用下列措施来保证投标工期的实现。</w:t>
      </w:r>
    </w:p>
    <w:p w14:paraId="23BD8323">
      <w:pPr>
        <w:ind w:firstLine="560"/>
      </w:pPr>
      <w:r>
        <w:rPr>
          <w:rFonts w:hint="eastAsia"/>
        </w:rPr>
        <w:t>2、劳动力的投入是保证工期关键，因此当本工程的工作面一旦形成，立即按序调集劳动力，并按总进度的控制，做好后备劳动力的调集工作。在施工高峰时，视具体情况统一调度机械设备与劳动力。</w:t>
      </w:r>
    </w:p>
    <w:p w14:paraId="0444EA05">
      <w:pPr>
        <w:ind w:firstLine="560"/>
      </w:pPr>
      <w:r>
        <w:rPr>
          <w:rFonts w:hint="eastAsia"/>
        </w:rPr>
        <w:t>3、根据工程特点及工作面的部署，强化材料设备部门人员结构，材料提前配齐配足，便于加快施工进度。</w:t>
      </w:r>
    </w:p>
    <w:p w14:paraId="15753010">
      <w:pPr>
        <w:ind w:firstLine="560"/>
      </w:pPr>
      <w:r>
        <w:rPr>
          <w:rFonts w:hint="eastAsia"/>
        </w:rPr>
        <w:t>4、为有效地缩短工期，原则上应经常加班作业，根据工程进度安排，全体施工人员与管理人员取消节假日、休息日。</w:t>
      </w:r>
    </w:p>
    <w:p w14:paraId="7A670B46">
      <w:pPr>
        <w:ind w:firstLine="560"/>
      </w:pPr>
      <w:r>
        <w:rPr>
          <w:rFonts w:hint="eastAsia"/>
        </w:rPr>
        <w:t>5、各类机械设备必须专人操作、精心维修，确保正常使用，以满足施工进度的实际需要，这是保证工期的必备条件。</w:t>
      </w:r>
    </w:p>
    <w:p w14:paraId="21CCD64D">
      <w:pPr>
        <w:ind w:firstLine="560"/>
      </w:pPr>
      <w:r>
        <w:rPr>
          <w:rFonts w:hint="eastAsia"/>
        </w:rPr>
        <w:t>6、充分利用经济规律及其杠杆作用，有效地调动工人生产积极性，所有施工人员的经济利益按实际进度的完成情况进行分段兑现奖罚。</w:t>
      </w:r>
    </w:p>
    <w:p w14:paraId="3A55B455">
      <w:pPr>
        <w:ind w:firstLine="560"/>
      </w:pPr>
      <w:r>
        <w:rPr>
          <w:rFonts w:hint="eastAsia"/>
        </w:rPr>
        <w:t>7、组织公司内部的技术力量，开展以质量为中心的劳动竞赛，即提高工程质量同时加快施工进度。</w:t>
      </w:r>
    </w:p>
    <w:p w14:paraId="00F595BF">
      <w:pPr>
        <w:pStyle w:val="5"/>
        <w:spacing w:before="31" w:after="31"/>
        <w:ind w:firstLine="562"/>
      </w:pPr>
      <w:bookmarkStart w:id="7289" w:name="_Toc26014"/>
      <w:bookmarkStart w:id="7290" w:name="_Toc19275"/>
      <w:bookmarkStart w:id="7291" w:name="_Toc20190"/>
      <w:bookmarkStart w:id="7292" w:name="_Toc18481"/>
      <w:bookmarkStart w:id="7293" w:name="_Toc3118"/>
      <w:bookmarkStart w:id="7294" w:name="_Toc18191"/>
      <w:bookmarkStart w:id="7295" w:name="_Toc9902"/>
      <w:bookmarkStart w:id="7296" w:name="_Toc22326"/>
      <w:bookmarkStart w:id="7297" w:name="_Toc31471"/>
      <w:bookmarkStart w:id="7298" w:name="_Toc24734"/>
      <w:bookmarkStart w:id="7299" w:name="_Toc10219"/>
      <w:bookmarkStart w:id="7300" w:name="_Toc15438"/>
      <w:bookmarkStart w:id="7301" w:name="_Toc32212"/>
      <w:bookmarkStart w:id="7302" w:name="_Toc6474"/>
      <w:bookmarkStart w:id="7303" w:name="_Toc13183"/>
      <w:bookmarkStart w:id="7304" w:name="_Toc308"/>
      <w:bookmarkStart w:id="7305" w:name="_Toc1995"/>
      <w:bookmarkStart w:id="7306" w:name="_Toc16284"/>
      <w:bookmarkStart w:id="7307" w:name="_Toc18193"/>
      <w:bookmarkStart w:id="7308" w:name="_Toc21625"/>
      <w:bookmarkStart w:id="7309" w:name="_Toc8754"/>
      <w:bookmarkStart w:id="7310" w:name="_Toc1919"/>
      <w:bookmarkStart w:id="7311" w:name="_Toc7185"/>
      <w:bookmarkStart w:id="7312" w:name="_Toc4102"/>
      <w:bookmarkStart w:id="7313" w:name="_Toc23044"/>
      <w:bookmarkStart w:id="7314" w:name="_Toc7107"/>
      <w:bookmarkStart w:id="7315" w:name="_Toc10420"/>
      <w:bookmarkStart w:id="7316" w:name="_Toc9181"/>
      <w:bookmarkStart w:id="7317" w:name="_Toc4372"/>
      <w:bookmarkStart w:id="7318" w:name="_Toc32585"/>
      <w:bookmarkStart w:id="7319" w:name="_Toc26180"/>
      <w:bookmarkStart w:id="7320" w:name="_Toc14334"/>
      <w:bookmarkStart w:id="7321" w:name="_Toc7753"/>
      <w:bookmarkStart w:id="7322" w:name="_Toc16399"/>
      <w:bookmarkStart w:id="7323" w:name="_Toc12908"/>
      <w:bookmarkStart w:id="7324" w:name="_Toc28499"/>
      <w:bookmarkStart w:id="7325" w:name="_Toc13472"/>
      <w:bookmarkStart w:id="7326" w:name="_Toc1173"/>
      <w:bookmarkStart w:id="7327" w:name="_Toc27613"/>
      <w:bookmarkStart w:id="7328" w:name="_Toc20482"/>
      <w:bookmarkStart w:id="7329" w:name="_Toc19087"/>
      <w:bookmarkStart w:id="7330" w:name="_Toc7628"/>
      <w:bookmarkStart w:id="7331" w:name="_Toc29046"/>
      <w:bookmarkStart w:id="7332" w:name="_Toc32230"/>
      <w:bookmarkStart w:id="7333" w:name="_Toc28142"/>
      <w:bookmarkStart w:id="7334" w:name="_Toc19069"/>
      <w:bookmarkStart w:id="7335" w:name="_Toc711"/>
      <w:bookmarkStart w:id="7336" w:name="_Toc14810"/>
      <w:bookmarkStart w:id="7337" w:name="_Toc4194"/>
      <w:bookmarkStart w:id="7338" w:name="_Toc16033"/>
      <w:bookmarkStart w:id="7339" w:name="_Toc28095"/>
      <w:bookmarkStart w:id="7340" w:name="_Toc6875"/>
      <w:bookmarkStart w:id="7341" w:name="_Toc22936"/>
      <w:bookmarkStart w:id="7342" w:name="_Toc1117"/>
      <w:r>
        <w:rPr>
          <w:rFonts w:hint="eastAsia"/>
        </w:rPr>
        <w:t>（四）保证进度的管理措施</w:t>
      </w:r>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p>
    <w:p w14:paraId="5F584CB9">
      <w:pPr>
        <w:ind w:firstLine="560"/>
      </w:pPr>
      <w:r>
        <w:rPr>
          <w:rFonts w:hint="eastAsia"/>
        </w:rPr>
        <w:t>1、项目部管理人员认真学习项目部与业主签订的合同文本，全面理解和掌握合同文本规定的要求。在工程实施中，以合同为依据，自始至终贯彻执行到施工管理全过程，确保工程优质如期完成。</w:t>
      </w:r>
    </w:p>
    <w:p w14:paraId="7CED028C">
      <w:pPr>
        <w:ind w:firstLine="560"/>
      </w:pPr>
      <w:r>
        <w:rPr>
          <w:rFonts w:hint="eastAsia"/>
        </w:rPr>
        <w:t>2、以合同规定的承包施工范围的工程质量、工期、安全、文明施工等要求为原则，项目部编制详细、完善的施工组织设计，经业主、监理单位审核后，进行实施。</w:t>
      </w:r>
    </w:p>
    <w:p w14:paraId="6B3AB12D">
      <w:pPr>
        <w:ind w:firstLine="560"/>
      </w:pPr>
      <w:r>
        <w:rPr>
          <w:rFonts w:hint="eastAsia"/>
        </w:rPr>
        <w:t>3、以合同规定的总工期要求，项目部根据现场实际情况编制本工程施工总进度网络计划，以此有效地对工程进度进行总控制。</w:t>
      </w:r>
    </w:p>
    <w:p w14:paraId="0C476329">
      <w:pPr>
        <w:ind w:firstLine="560"/>
      </w:pPr>
      <w:r>
        <w:rPr>
          <w:rFonts w:hint="eastAsia"/>
        </w:rPr>
        <w:t>4、以总工期为依据，项目部根据现场实际情况编制分阶段实施计划（施工准备计划；劳动力进场计划；施工材料、设备、机具进场计划、分项分部施工进度计划等）。</w:t>
      </w:r>
    </w:p>
    <w:p w14:paraId="036731F2">
      <w:pPr>
        <w:ind w:firstLine="560"/>
      </w:pPr>
      <w:r>
        <w:rPr>
          <w:rFonts w:hint="eastAsia"/>
        </w:rPr>
        <w:t>5、将合同的条款要求，分解纳入相对的施工合同中，对质量、工期、安全、文明施工等安全处于承包控制范围之中，确保工程如期完成。</w:t>
      </w:r>
    </w:p>
    <w:p w14:paraId="2767C31C">
      <w:pPr>
        <w:ind w:firstLine="560"/>
      </w:pPr>
      <w:r>
        <w:rPr>
          <w:rFonts w:hint="eastAsia"/>
        </w:rPr>
        <w:t>6、施工过程中各类工作联系，除必要口头通知外，项目部一律以书面指示，及时发给各工作班组执行。</w:t>
      </w:r>
    </w:p>
    <w:p w14:paraId="7FE24F20">
      <w:pPr>
        <w:ind w:firstLine="560"/>
      </w:pPr>
      <w:r>
        <w:rPr>
          <w:rFonts w:hint="eastAsia"/>
        </w:rPr>
        <w:t>7、项目部诚恳接受业主、监理单位和当地主管部门对管理工作的指导和要求，相互紧密合作，确保工程顺利进行。</w:t>
      </w:r>
    </w:p>
    <w:p w14:paraId="0376B8BE">
      <w:pPr>
        <w:pStyle w:val="5"/>
        <w:spacing w:before="31" w:after="31"/>
        <w:ind w:firstLine="562"/>
      </w:pPr>
      <w:bookmarkStart w:id="7343" w:name="_Toc31375"/>
      <w:bookmarkStart w:id="7344" w:name="_Toc25884"/>
      <w:bookmarkStart w:id="7345" w:name="_Toc7728"/>
      <w:bookmarkStart w:id="7346" w:name="_Toc5090"/>
      <w:bookmarkStart w:id="7347" w:name="_Toc15525"/>
      <w:bookmarkStart w:id="7348" w:name="_Toc1923"/>
      <w:bookmarkStart w:id="7349" w:name="_Toc32134"/>
      <w:bookmarkStart w:id="7350" w:name="_Toc17927"/>
      <w:bookmarkStart w:id="7351" w:name="_Toc23479"/>
      <w:bookmarkStart w:id="7352" w:name="_Toc1329"/>
      <w:bookmarkStart w:id="7353" w:name="_Toc28072"/>
      <w:bookmarkStart w:id="7354" w:name="_Toc3777"/>
      <w:bookmarkStart w:id="7355" w:name="_Toc6811"/>
      <w:bookmarkStart w:id="7356" w:name="_Toc6788"/>
      <w:bookmarkStart w:id="7357" w:name="_Toc14298"/>
      <w:bookmarkStart w:id="7358" w:name="_Toc11559"/>
      <w:bookmarkStart w:id="7359" w:name="_Toc18699"/>
      <w:bookmarkStart w:id="7360" w:name="_Toc29099"/>
      <w:bookmarkStart w:id="7361" w:name="_Toc3108"/>
      <w:bookmarkStart w:id="7362" w:name="_Toc1146"/>
      <w:bookmarkStart w:id="7363" w:name="_Toc9005"/>
      <w:bookmarkStart w:id="7364" w:name="_Toc59"/>
      <w:bookmarkStart w:id="7365" w:name="_Toc31920"/>
      <w:bookmarkStart w:id="7366" w:name="_Toc6013"/>
      <w:bookmarkStart w:id="7367" w:name="_Toc3750"/>
      <w:bookmarkStart w:id="7368" w:name="_Toc29844"/>
      <w:bookmarkStart w:id="7369" w:name="_Toc27061"/>
      <w:bookmarkStart w:id="7370" w:name="_Toc28921"/>
      <w:bookmarkStart w:id="7371" w:name="_Toc18231"/>
      <w:bookmarkStart w:id="7372" w:name="_Toc31905"/>
      <w:bookmarkStart w:id="7373" w:name="_Toc13013"/>
      <w:bookmarkStart w:id="7374" w:name="_Toc15363"/>
      <w:bookmarkStart w:id="7375" w:name="_Toc23675"/>
      <w:bookmarkStart w:id="7376" w:name="_Toc7262"/>
      <w:bookmarkStart w:id="7377" w:name="_Toc11337"/>
      <w:bookmarkStart w:id="7378" w:name="_Toc11749"/>
      <w:bookmarkStart w:id="7379" w:name="_Toc10924"/>
      <w:bookmarkStart w:id="7380" w:name="_Toc27468"/>
      <w:bookmarkStart w:id="7381" w:name="_Toc11059"/>
      <w:bookmarkStart w:id="7382" w:name="_Toc136"/>
      <w:bookmarkStart w:id="7383" w:name="_Toc1790"/>
      <w:bookmarkStart w:id="7384" w:name="_Toc1045"/>
      <w:bookmarkStart w:id="7385" w:name="_Toc30413"/>
      <w:bookmarkStart w:id="7386" w:name="_Toc18293"/>
      <w:bookmarkStart w:id="7387" w:name="_Toc7016"/>
      <w:bookmarkStart w:id="7388" w:name="_Toc18341"/>
      <w:bookmarkStart w:id="7389" w:name="_Toc19619"/>
      <w:bookmarkStart w:id="7390" w:name="_Toc26281"/>
      <w:bookmarkStart w:id="7391" w:name="_Toc5330"/>
      <w:bookmarkStart w:id="7392" w:name="_Toc1832"/>
      <w:bookmarkStart w:id="7393" w:name="_Toc21141"/>
      <w:bookmarkStart w:id="7394" w:name="_Toc17178"/>
      <w:bookmarkStart w:id="7395" w:name="_Toc16000"/>
      <w:bookmarkStart w:id="7396" w:name="_Toc1253"/>
      <w:bookmarkStart w:id="7397" w:name="_Toc15705"/>
      <w:bookmarkStart w:id="7398" w:name="_Toc18675"/>
      <w:bookmarkStart w:id="7399" w:name="_Toc23566"/>
      <w:r>
        <w:rPr>
          <w:rFonts w:hint="eastAsia"/>
        </w:rPr>
        <w:t>（五）保证进度的材料供应措施</w:t>
      </w:r>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p>
    <w:p w14:paraId="765469B2">
      <w:pPr>
        <w:ind w:firstLine="560"/>
      </w:pPr>
      <w:r>
        <w:rPr>
          <w:rFonts w:hint="eastAsia"/>
        </w:rPr>
        <w:t>1、及时准确地向业主提出供料计划且具有超前意识；计划及时准确，关系到工程进度的顺利进行；也能充分发挥资金效益。因此，我公司将高度重视此项工作，在资料的打印、传递方面严肃认真。</w:t>
      </w:r>
    </w:p>
    <w:p w14:paraId="2E448A13">
      <w:pPr>
        <w:ind w:firstLine="560"/>
      </w:pPr>
      <w:r>
        <w:rPr>
          <w:rFonts w:hint="eastAsia"/>
        </w:rPr>
        <w:t>2、在时间及数量上慎之又慎，决不因为我方工作造成供料混乱。此项工作的落实，对各级管理人员制定岗位责任制，选派具有业务素质高、责任心强的专业材料员来担任此项工作。</w:t>
      </w:r>
    </w:p>
    <w:p w14:paraId="103324C6">
      <w:pPr>
        <w:ind w:firstLine="560"/>
      </w:pPr>
      <w:r>
        <w:rPr>
          <w:rFonts w:hint="eastAsia"/>
        </w:rPr>
        <w:t>3、设置专门的仓储库房，配备专人看管，对已装和未装的设备、材料进行定期的防护、检查、清洗、加油、回收，建立专职保管员及完整的领用手续，保证供应的设备及材料不丢失，不浪费。</w:t>
      </w:r>
    </w:p>
    <w:p w14:paraId="343A2C67">
      <w:pPr>
        <w:ind w:firstLine="560"/>
      </w:pPr>
      <w:r>
        <w:rPr>
          <w:rFonts w:hint="eastAsia"/>
        </w:rPr>
        <w:t>4、材料的组织供应是项目部物资管理的中心任务，供应质量的优劣与供应速度的及时准确与否是关系到项目部各项工作能否顺利进行的决定因素，所以在做好日常工作管理方面重点抓好如下几点：</w:t>
      </w:r>
    </w:p>
    <w:p w14:paraId="129504EC">
      <w:pPr>
        <w:ind w:firstLine="560"/>
      </w:pPr>
      <w:r>
        <w:rPr>
          <w:rFonts w:hint="eastAsia"/>
        </w:rPr>
        <w:t>（1）加强材料计划的及时性、准确性、严肃性：项目部将执行规范化的计划编制、审核、采购制度，做到供应工作的不同阶段不不同的人负责，坚决杜绝计划盲目性，铺张浪费的不严肃工作作风。</w:t>
      </w:r>
    </w:p>
    <w:p w14:paraId="1C03C6A5">
      <w:pPr>
        <w:ind w:firstLine="560"/>
      </w:pPr>
      <w:r>
        <w:rPr>
          <w:rFonts w:hint="eastAsia"/>
        </w:rPr>
        <w:t>（2）加强采购成本的控制：在保证质量、数量供货及时的基础上，降低采购成本是提高项目施工效益的重点环节。为此，项目部将坚持材料采购在“货比三家”的基础上坚持“质量第一”的材料采购原则，任何用于工程的材料采购必须要有经项目经理审批后的采购通知单及严格的验收入库制度，采购员不得接受任何人随意的采购指令。</w:t>
      </w:r>
    </w:p>
    <w:p w14:paraId="63AB2BDE">
      <w:pPr>
        <w:ind w:firstLine="560"/>
      </w:pPr>
      <w:r>
        <w:rPr>
          <w:rFonts w:hint="eastAsia"/>
        </w:rPr>
        <w:t>（3）坚持审批的环节：项目部在做好自身计划的审批工作的基础上，同时也做好对业主的报批工作，对实行调整的大宗材料应事先报送业主方进行价格厂家的审批，在审批的基础上进行采购。未经审批的材料决不自行采购，决不先斩后奏。</w:t>
      </w:r>
    </w:p>
    <w:p w14:paraId="4DB8685F">
      <w:pPr>
        <w:ind w:firstLine="560"/>
      </w:pPr>
      <w:r>
        <w:rPr>
          <w:rFonts w:hint="eastAsia"/>
        </w:rPr>
        <w:t>（4）加强保管、及时回收：做材料的保管、领用工作是保证材料供应不乱的基础，项目部坚决执行限额领料制度，凭计划发料，在保管工作上配备专业的保管工人，保证帐、卡、物相符。保证仓库的材料不变质、不受损。</w:t>
      </w:r>
    </w:p>
    <w:p w14:paraId="42430761">
      <w:pPr>
        <w:pStyle w:val="5"/>
        <w:spacing w:before="31" w:after="31"/>
        <w:ind w:firstLine="562"/>
      </w:pPr>
      <w:bookmarkStart w:id="7400" w:name="_Toc8772"/>
      <w:bookmarkStart w:id="7401" w:name="_Toc19305"/>
      <w:bookmarkStart w:id="7402" w:name="_Toc24343"/>
      <w:bookmarkStart w:id="7403" w:name="_Toc4628"/>
      <w:bookmarkStart w:id="7404" w:name="_Toc18738"/>
      <w:bookmarkStart w:id="7405" w:name="_Toc22638"/>
      <w:bookmarkStart w:id="7406" w:name="_Toc6316"/>
      <w:bookmarkStart w:id="7407" w:name="_Toc19541"/>
      <w:bookmarkStart w:id="7408" w:name="_Toc17553"/>
      <w:bookmarkStart w:id="7409" w:name="_Toc9607"/>
      <w:bookmarkStart w:id="7410" w:name="_Toc24456"/>
      <w:bookmarkStart w:id="7411" w:name="_Toc31258"/>
      <w:bookmarkStart w:id="7412" w:name="_Toc15557"/>
      <w:bookmarkStart w:id="7413" w:name="_Toc3669"/>
      <w:bookmarkStart w:id="7414" w:name="_Toc12704"/>
      <w:bookmarkStart w:id="7415" w:name="_Toc15444"/>
      <w:bookmarkStart w:id="7416" w:name="_Toc21669"/>
      <w:bookmarkStart w:id="7417" w:name="_Toc15884"/>
      <w:bookmarkStart w:id="7418" w:name="_Toc13379"/>
      <w:bookmarkStart w:id="7419" w:name="_Toc9876"/>
      <w:bookmarkStart w:id="7420" w:name="_Toc18696"/>
      <w:bookmarkStart w:id="7421" w:name="_Toc1007"/>
      <w:bookmarkStart w:id="7422" w:name="_Toc15499"/>
      <w:bookmarkStart w:id="7423" w:name="_Toc11632"/>
      <w:bookmarkStart w:id="7424" w:name="_Toc15720"/>
      <w:bookmarkStart w:id="7425" w:name="_Toc12415"/>
      <w:bookmarkStart w:id="7426" w:name="_Toc21993"/>
      <w:bookmarkStart w:id="7427" w:name="_Toc26425"/>
      <w:bookmarkStart w:id="7428" w:name="_Toc4850"/>
      <w:bookmarkStart w:id="7429" w:name="_Toc13879"/>
      <w:bookmarkStart w:id="7430" w:name="_Toc23460"/>
      <w:bookmarkStart w:id="7431" w:name="_Toc1616"/>
      <w:bookmarkStart w:id="7432" w:name="_Toc11929"/>
      <w:bookmarkStart w:id="7433" w:name="_Toc32199"/>
      <w:bookmarkStart w:id="7434" w:name="_Toc3788"/>
      <w:bookmarkStart w:id="7435" w:name="_Toc25690"/>
      <w:bookmarkStart w:id="7436" w:name="_Toc29114"/>
      <w:bookmarkStart w:id="7437" w:name="_Toc9086"/>
      <w:bookmarkStart w:id="7438" w:name="_Toc11425"/>
      <w:bookmarkStart w:id="7439" w:name="_Toc10034"/>
      <w:bookmarkStart w:id="7440" w:name="_Toc14289"/>
      <w:bookmarkStart w:id="7441" w:name="_Toc24492"/>
      <w:bookmarkStart w:id="7442" w:name="_Toc29911"/>
      <w:bookmarkStart w:id="7443" w:name="_Toc3622"/>
      <w:bookmarkStart w:id="7444" w:name="_Toc20707"/>
      <w:bookmarkStart w:id="7445" w:name="_Toc7456"/>
      <w:bookmarkStart w:id="7446" w:name="_Toc12005"/>
      <w:bookmarkStart w:id="7447" w:name="_Toc7120"/>
      <w:bookmarkStart w:id="7448" w:name="_Toc6406"/>
      <w:bookmarkStart w:id="7449" w:name="_Toc14006"/>
      <w:bookmarkStart w:id="7450" w:name="_Toc3153"/>
      <w:bookmarkStart w:id="7451" w:name="_Toc17407"/>
      <w:bookmarkStart w:id="7452" w:name="_Toc16129"/>
      <w:bookmarkStart w:id="7453" w:name="_Toc32762"/>
      <w:r>
        <w:rPr>
          <w:rFonts w:hint="eastAsia"/>
        </w:rPr>
        <w:t>（六）保证进度的资金保证措施</w:t>
      </w:r>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p>
    <w:p w14:paraId="3F1CEC7F">
      <w:pPr>
        <w:ind w:firstLine="560"/>
      </w:pPr>
      <w:r>
        <w:rPr>
          <w:rFonts w:hint="eastAsia"/>
        </w:rPr>
        <w:t>1、项目财力的合理使用是工程按进度计划顺利施工的保障，做好项目成本的控制和使用是项目降低成本、提高综合效益的基础。</w:t>
      </w:r>
    </w:p>
    <w:p w14:paraId="5972DF80">
      <w:pPr>
        <w:ind w:firstLine="560"/>
      </w:pPr>
      <w:r>
        <w:rPr>
          <w:rFonts w:hint="eastAsia"/>
        </w:rPr>
        <w:t>2、合理使用工程款：保证项目的资金使用是保证工程顺利进行的先决条件。为此公司在资金使用上坚决做到专款专用，不属于本工程使用的资金决不占用。</w:t>
      </w:r>
    </w:p>
    <w:p w14:paraId="3F444706">
      <w:pPr>
        <w:ind w:firstLine="560"/>
      </w:pPr>
      <w:r>
        <w:rPr>
          <w:rFonts w:hint="eastAsia"/>
        </w:rPr>
        <w:t>3、在抓计划的基础上做好调度工作，决不因计划不周导致物资积压，使资金无法发挥效益。</w:t>
      </w:r>
    </w:p>
    <w:p w14:paraId="6326922F">
      <w:pPr>
        <w:ind w:firstLine="560"/>
      </w:pPr>
      <w:r>
        <w:rPr>
          <w:rFonts w:hint="eastAsia"/>
        </w:rPr>
        <w:t>合理调度工程款：若业主方按合同规定资金一时不能到位，则不能因此而拖延工期或影响工程质量，我方将千方百计调度项目外资金确保工程顺利进行，同时这也是我公司为业务服务的一种真诚体现。</w:t>
      </w:r>
    </w:p>
    <w:p w14:paraId="08BF73B9">
      <w:pPr>
        <w:pStyle w:val="5"/>
        <w:spacing w:before="31" w:after="31"/>
        <w:ind w:firstLine="562"/>
      </w:pPr>
      <w:bookmarkStart w:id="7454" w:name="_Toc9313"/>
      <w:bookmarkStart w:id="7455" w:name="_Toc7881"/>
      <w:bookmarkStart w:id="7456" w:name="_Toc28627"/>
      <w:bookmarkStart w:id="7457" w:name="_Toc28315"/>
      <w:bookmarkStart w:id="7458" w:name="_Toc32284"/>
      <w:bookmarkStart w:id="7459" w:name="_Toc31575"/>
      <w:bookmarkStart w:id="7460" w:name="_Toc16614"/>
      <w:bookmarkStart w:id="7461" w:name="_Toc6338"/>
      <w:bookmarkStart w:id="7462" w:name="_Toc14820"/>
      <w:bookmarkStart w:id="7463" w:name="_Toc31554"/>
      <w:bookmarkStart w:id="7464" w:name="_Toc8885"/>
      <w:bookmarkStart w:id="7465" w:name="_Toc18605"/>
      <w:bookmarkStart w:id="7466" w:name="_Toc27264"/>
      <w:bookmarkStart w:id="7467" w:name="_Toc14918"/>
      <w:bookmarkStart w:id="7468" w:name="_Toc901"/>
      <w:bookmarkStart w:id="7469" w:name="_Toc9833"/>
      <w:bookmarkStart w:id="7470" w:name="_Toc13602"/>
      <w:bookmarkStart w:id="7471" w:name="_Toc17057"/>
      <w:bookmarkStart w:id="7472" w:name="_Toc17887"/>
      <w:bookmarkStart w:id="7473" w:name="_Toc31577"/>
      <w:bookmarkStart w:id="7474" w:name="_Toc30351"/>
      <w:bookmarkStart w:id="7475" w:name="_Toc10296"/>
      <w:bookmarkStart w:id="7476" w:name="_Toc26744"/>
      <w:bookmarkStart w:id="7477" w:name="_Toc26896"/>
      <w:bookmarkStart w:id="7478" w:name="_Toc6984"/>
      <w:bookmarkStart w:id="7479" w:name="_Toc28891"/>
      <w:bookmarkStart w:id="7480" w:name="_Toc25576"/>
      <w:bookmarkStart w:id="7481" w:name="_Toc27645"/>
      <w:bookmarkStart w:id="7482" w:name="_Toc7407"/>
      <w:bookmarkStart w:id="7483" w:name="_Toc26007"/>
      <w:bookmarkStart w:id="7484" w:name="_Toc28302"/>
      <w:bookmarkStart w:id="7485" w:name="_Toc31260"/>
      <w:bookmarkStart w:id="7486" w:name="_Toc14156"/>
      <w:bookmarkStart w:id="7487" w:name="_Toc22995"/>
      <w:bookmarkStart w:id="7488" w:name="_Toc24849"/>
      <w:bookmarkStart w:id="7489" w:name="_Toc25599"/>
      <w:bookmarkStart w:id="7490" w:name="_Toc32368"/>
      <w:bookmarkStart w:id="7491" w:name="_Toc28409"/>
      <w:bookmarkStart w:id="7492" w:name="_Toc25427"/>
      <w:bookmarkStart w:id="7493" w:name="_Toc20430"/>
      <w:bookmarkStart w:id="7494" w:name="_Toc28456"/>
      <w:bookmarkStart w:id="7495" w:name="_Toc3444"/>
      <w:bookmarkStart w:id="7496" w:name="_Toc2642"/>
      <w:bookmarkStart w:id="7497" w:name="_Toc5582"/>
      <w:bookmarkStart w:id="7498" w:name="_Toc12926"/>
      <w:bookmarkStart w:id="7499" w:name="_Toc31460"/>
      <w:bookmarkStart w:id="7500" w:name="_Toc19832"/>
      <w:bookmarkStart w:id="7501" w:name="_Toc20334"/>
      <w:bookmarkStart w:id="7502" w:name="_Toc7103"/>
      <w:bookmarkStart w:id="7503" w:name="_Toc10516"/>
      <w:bookmarkStart w:id="7504" w:name="_Toc7489"/>
      <w:bookmarkStart w:id="7505" w:name="_Toc14823"/>
      <w:bookmarkStart w:id="7506" w:name="_Toc28501"/>
      <w:bookmarkStart w:id="7507" w:name="_Toc1312"/>
      <w:bookmarkStart w:id="7508" w:name="_Toc4939"/>
      <w:bookmarkStart w:id="7509" w:name="_Toc12516"/>
      <w:r>
        <w:rPr>
          <w:rFonts w:hint="eastAsia"/>
        </w:rPr>
        <w:t>（七）保证进度的工程检查措施</w:t>
      </w:r>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p>
    <w:p w14:paraId="73988C2B">
      <w:pPr>
        <w:ind w:firstLine="560"/>
      </w:pPr>
      <w:r>
        <w:rPr>
          <w:rFonts w:hint="eastAsia"/>
        </w:rPr>
        <w:t>1、施工进度的检查是计划执行信息的主要来源，也是计划调整和分析总结的依据。施工进度的跟踪检查，及时反馈进度计划的实施情况是进度闭环控制之中不可缺少的部分反馈系统。故在施工组织中应尤为重视。</w:t>
      </w:r>
    </w:p>
    <w:p w14:paraId="27878952">
      <w:pPr>
        <w:ind w:firstLine="560"/>
      </w:pPr>
      <w:r>
        <w:rPr>
          <w:rFonts w:hint="eastAsia"/>
        </w:rPr>
        <w:t>2、日检查工作制：专业施工员是施工技术、进度、质量的主要负责人，建立以专业施工点为主的计划执行系与施工员为主的计划检查系这一对立统一的工作关系，是保证项目进度计划的重要方法。施工员每日进行现场检查，并将检查的结果每日以书面的形式汇报项目经理，以便及时了解施工动态，监督和督促各施工班组按计划完成工作，及时进行必要的调整。</w:t>
      </w:r>
    </w:p>
    <w:p w14:paraId="68C94691">
      <w:pPr>
        <w:ind w:firstLine="560"/>
      </w:pPr>
      <w:r>
        <w:rPr>
          <w:rFonts w:hint="eastAsia"/>
        </w:rPr>
        <w:t>3、周汇报工作制：配合三周滚动计划的实施，建立每周进度汇报分析制。汇报分析会由项目经理主持，项目经理参加检查、落实一周工作情况，并将检查分析的结果书面汇报监理单位、业主及存档。并提出建议及要求，在每周由业主或监理主持的协调会上解决。</w:t>
      </w:r>
    </w:p>
    <w:p w14:paraId="2A1DF7FA">
      <w:pPr>
        <w:ind w:firstLine="560"/>
      </w:pPr>
      <w:r>
        <w:rPr>
          <w:rFonts w:hint="eastAsia"/>
        </w:rPr>
        <w:t>4、半月分析调整制度：项目部按半月进行分析、总结，并对进度的个别节点调整。进行必要的生产要素调动。由项目经理主持，公司项目部门及有关人员参加，并将检查分析的结果书面汇报业主、监理单位并存档。</w:t>
      </w:r>
    </w:p>
    <w:p w14:paraId="04E5823C">
      <w:pPr>
        <w:ind w:firstLine="560"/>
      </w:pPr>
      <w:r>
        <w:rPr>
          <w:rFonts w:hint="eastAsia"/>
        </w:rPr>
        <w:t>5、施工日志：施工日志是项目施工中每一天所发生有关事宜的真实记录，也是项目日常管理的工作要点。由专业施工员对每日发生的事宜及有关工程的情况按施工日志的要求真实填写汇总，书面报送项目经理及资料存档。</w:t>
      </w:r>
    </w:p>
    <w:p w14:paraId="0B3DFA58">
      <w:pPr>
        <w:pStyle w:val="5"/>
        <w:spacing w:before="31" w:after="31"/>
        <w:ind w:firstLine="562"/>
      </w:pPr>
      <w:bookmarkStart w:id="7510" w:name="_Toc21412"/>
      <w:bookmarkStart w:id="7511" w:name="_Toc9978"/>
      <w:bookmarkStart w:id="7512" w:name="_Toc26498"/>
      <w:bookmarkStart w:id="7513" w:name="_Toc12049"/>
      <w:bookmarkStart w:id="7514" w:name="_Toc5620"/>
      <w:bookmarkStart w:id="7515" w:name="_Toc29057"/>
      <w:bookmarkStart w:id="7516" w:name="_Toc17119"/>
      <w:bookmarkStart w:id="7517" w:name="_Toc4644"/>
      <w:bookmarkStart w:id="7518" w:name="_Toc23308"/>
      <w:bookmarkStart w:id="7519" w:name="_Toc8873"/>
      <w:bookmarkStart w:id="7520" w:name="_Toc2681"/>
      <w:bookmarkStart w:id="7521" w:name="_Toc25051"/>
      <w:bookmarkStart w:id="7522" w:name="_Toc21498"/>
      <w:bookmarkStart w:id="7523" w:name="_Toc25790"/>
      <w:bookmarkStart w:id="7524" w:name="_Toc9008"/>
      <w:bookmarkStart w:id="7525" w:name="_Toc22901"/>
      <w:bookmarkStart w:id="7526" w:name="_Toc29873"/>
      <w:bookmarkStart w:id="7527" w:name="_Toc15294"/>
      <w:bookmarkStart w:id="7528" w:name="_Toc23627"/>
      <w:bookmarkStart w:id="7529" w:name="_Toc5503"/>
      <w:bookmarkStart w:id="7530" w:name="_Toc28882"/>
      <w:bookmarkStart w:id="7531" w:name="_Toc283"/>
      <w:bookmarkStart w:id="7532" w:name="_Toc21853"/>
      <w:bookmarkStart w:id="7533" w:name="_Toc4391"/>
      <w:bookmarkStart w:id="7534" w:name="_Toc6467"/>
      <w:bookmarkStart w:id="7535" w:name="_Toc18864"/>
      <w:bookmarkStart w:id="7536" w:name="_Toc31381"/>
      <w:bookmarkStart w:id="7537" w:name="_Toc9351"/>
      <w:bookmarkStart w:id="7538" w:name="_Toc3344"/>
      <w:bookmarkStart w:id="7539" w:name="_Toc7057"/>
      <w:bookmarkStart w:id="7540" w:name="_Toc6731"/>
      <w:bookmarkStart w:id="7541" w:name="_Toc22302"/>
      <w:bookmarkStart w:id="7542" w:name="_Toc32360"/>
      <w:bookmarkStart w:id="7543" w:name="_Toc14484"/>
      <w:bookmarkStart w:id="7544" w:name="_Toc7499"/>
      <w:bookmarkStart w:id="7545" w:name="_Toc18892"/>
      <w:bookmarkStart w:id="7546" w:name="_Toc27"/>
      <w:bookmarkStart w:id="7547" w:name="_Toc15929"/>
      <w:bookmarkStart w:id="7548" w:name="_Toc23282"/>
      <w:bookmarkStart w:id="7549" w:name="_Toc8111"/>
      <w:bookmarkStart w:id="7550" w:name="_Toc10260"/>
      <w:bookmarkStart w:id="7551" w:name="_Toc29716"/>
      <w:bookmarkStart w:id="7552" w:name="_Toc20751"/>
      <w:bookmarkStart w:id="7553" w:name="_Toc24458"/>
      <w:bookmarkStart w:id="7554" w:name="_Toc28171"/>
      <w:bookmarkStart w:id="7555" w:name="_Toc9837"/>
      <w:bookmarkStart w:id="7556" w:name="_Toc5686"/>
      <w:bookmarkStart w:id="7557" w:name="_Toc20770"/>
      <w:bookmarkStart w:id="7558" w:name="_Toc30426"/>
      <w:bookmarkStart w:id="7559" w:name="_Toc25185"/>
      <w:bookmarkStart w:id="7560" w:name="_Toc12008"/>
      <w:bookmarkStart w:id="7561" w:name="_Toc26127"/>
      <w:bookmarkStart w:id="7562" w:name="_Toc26405"/>
      <w:r>
        <w:rPr>
          <w:rFonts w:hint="eastAsia"/>
        </w:rPr>
        <w:t>（八）保证进度的循环措施</w:t>
      </w:r>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p>
    <w:p w14:paraId="402DDDB2">
      <w:pPr>
        <w:ind w:firstLine="560"/>
      </w:pPr>
      <w:r>
        <w:rPr>
          <w:rFonts w:hint="eastAsia"/>
        </w:rPr>
        <w:t>1、如前所述，在建立各级检查制度的基础上有效的控制施工进度，这是目的所在。所以在了解了施工现状和实际进度后，如何进行进度控制是保证进度计划的关键，是项目管理的中心任务。</w:t>
      </w:r>
    </w:p>
    <w:p w14:paraId="486D342D">
      <w:pPr>
        <w:ind w:firstLine="560"/>
      </w:pPr>
      <w:r>
        <w:rPr>
          <w:rFonts w:hint="eastAsia"/>
        </w:rPr>
        <w:t>（1）本公司承接的工程均无因本公司原因拖期，故培养了一批思想觉悟高、业务水平好、吃苦耐劳的职工，放弃休息，实行加班加点，甚至必要时通宵作业都不会有思想问题，这是确保施工进度可靠的保证。</w:t>
      </w:r>
    </w:p>
    <w:p w14:paraId="24EF1CA3">
      <w:pPr>
        <w:ind w:firstLine="560"/>
      </w:pPr>
      <w:r>
        <w:rPr>
          <w:rFonts w:hint="eastAsia"/>
        </w:rPr>
        <w:t>（2）及时调配生产机具，以及设备、材料供应，若项目无法调配将及时汇报公司设备供应部门，及时调整和补充施工机械或业务人员。</w:t>
      </w:r>
    </w:p>
    <w:p w14:paraId="4D79A502">
      <w:pPr>
        <w:ind w:firstLine="560"/>
      </w:pPr>
      <w:r>
        <w:rPr>
          <w:rFonts w:hint="eastAsia"/>
        </w:rPr>
        <w:t>（3）及时改进施工技术，决不因技术措施不适用或不合理造成施工的浪费和返工。</w:t>
      </w:r>
    </w:p>
    <w:p w14:paraId="64628690">
      <w:pPr>
        <w:ind w:firstLine="560"/>
      </w:pPr>
      <w:r>
        <w:rPr>
          <w:rFonts w:hint="eastAsia"/>
        </w:rPr>
        <w:t>2、调整进度计划：由于外部因素影响造成进度无法实施或是计划与现场状况不符，就应及时调整进度计划，同时也要及时积极的进行施工协调。</w:t>
      </w:r>
    </w:p>
    <w:p w14:paraId="032033F5">
      <w:pPr>
        <w:ind w:firstLine="560"/>
      </w:pPr>
      <w:r>
        <w:rPr>
          <w:rFonts w:hint="eastAsia"/>
        </w:rPr>
        <w:t>3、质量跟踪检查：项目部质量检查员每日对施工班组所施工的内容进行检查，发现质量问题及时签发整改单，并每日将检查结果汇报项目工程师，把质量问题消除在过程中，决不因质量问题造成返工，从而影响工程进度计划。</w:t>
      </w:r>
    </w:p>
    <w:p w14:paraId="2ACBC407">
      <w:pPr>
        <w:ind w:firstLine="560"/>
      </w:pPr>
      <w:r>
        <w:rPr>
          <w:rFonts w:hint="eastAsia"/>
        </w:rPr>
        <w:t>4、利用现代科学手段，采用计算机项目管理系统对工程进行动态管理。</w:t>
      </w:r>
    </w:p>
    <w:p w14:paraId="6F4B42AC">
      <w:pPr>
        <w:pStyle w:val="4"/>
        <w:spacing w:before="93" w:after="31"/>
      </w:pPr>
      <w:bookmarkStart w:id="7563" w:name="_Toc23416"/>
      <w:bookmarkStart w:id="7564" w:name="_Toc11942"/>
      <w:bookmarkStart w:id="7565" w:name="_Toc19763"/>
      <w:bookmarkStart w:id="7566" w:name="_Toc6242"/>
      <w:bookmarkStart w:id="7567" w:name="_Toc17472"/>
      <w:bookmarkStart w:id="7568" w:name="_Toc20057"/>
      <w:bookmarkStart w:id="7569" w:name="_Toc8118"/>
      <w:bookmarkStart w:id="7570" w:name="_Toc19725"/>
      <w:bookmarkStart w:id="7571" w:name="_Toc20420"/>
      <w:bookmarkStart w:id="7572" w:name="_Toc29891"/>
      <w:bookmarkStart w:id="7573" w:name="_Toc9053"/>
      <w:bookmarkStart w:id="7574" w:name="_Toc16620"/>
      <w:bookmarkStart w:id="7575" w:name="_Toc18657"/>
      <w:bookmarkStart w:id="7576" w:name="_Toc2457"/>
      <w:bookmarkStart w:id="7577" w:name="_Toc12673"/>
      <w:bookmarkStart w:id="7578" w:name="_Toc22924"/>
      <w:bookmarkStart w:id="7579" w:name="_Toc26615"/>
      <w:bookmarkStart w:id="7580" w:name="_Toc7733"/>
      <w:bookmarkStart w:id="7581" w:name="_Toc29847"/>
      <w:bookmarkStart w:id="7582" w:name="_Toc13384"/>
      <w:bookmarkStart w:id="7583" w:name="_Toc3357"/>
      <w:bookmarkStart w:id="7584" w:name="_Toc31459"/>
      <w:bookmarkStart w:id="7585" w:name="_Toc18930"/>
      <w:bookmarkStart w:id="7586" w:name="_Toc731"/>
      <w:bookmarkStart w:id="7587" w:name="_Toc25956"/>
      <w:bookmarkStart w:id="7588" w:name="_Toc873"/>
      <w:bookmarkStart w:id="7589" w:name="_Toc9135"/>
      <w:bookmarkStart w:id="7590" w:name="_Toc17522"/>
      <w:bookmarkStart w:id="7591" w:name="_Toc4812"/>
      <w:bookmarkStart w:id="7592" w:name="_Toc22521"/>
      <w:bookmarkStart w:id="7593" w:name="_Toc2994"/>
      <w:bookmarkStart w:id="7594" w:name="_Toc2402"/>
      <w:bookmarkStart w:id="7595" w:name="_Toc22766"/>
      <w:bookmarkStart w:id="7596" w:name="_Toc29736"/>
      <w:bookmarkStart w:id="7597" w:name="_Toc16700"/>
      <w:bookmarkStart w:id="7598" w:name="_Toc32415"/>
      <w:bookmarkStart w:id="7599" w:name="_Toc23804"/>
      <w:bookmarkStart w:id="7600" w:name="_Toc7995"/>
      <w:bookmarkStart w:id="7601" w:name="_Toc665"/>
      <w:bookmarkStart w:id="7602" w:name="_Toc11421"/>
      <w:bookmarkStart w:id="7603" w:name="_Toc26505"/>
      <w:bookmarkStart w:id="7604" w:name="_Toc4942"/>
      <w:bookmarkStart w:id="7605" w:name="_Toc20345"/>
      <w:bookmarkStart w:id="7606" w:name="_Toc5601"/>
      <w:bookmarkStart w:id="7607" w:name="_Toc8386"/>
      <w:bookmarkStart w:id="7608" w:name="_Toc29106"/>
      <w:bookmarkStart w:id="7609" w:name="_Toc7507"/>
      <w:bookmarkStart w:id="7610" w:name="_Toc27965"/>
      <w:bookmarkStart w:id="7611" w:name="_Toc18951"/>
      <w:bookmarkStart w:id="7612" w:name="_Toc19056"/>
      <w:bookmarkStart w:id="7613" w:name="_Toc32584"/>
      <w:bookmarkStart w:id="7614" w:name="_Toc21369"/>
      <w:bookmarkStart w:id="7615" w:name="_Toc27113"/>
      <w:bookmarkStart w:id="7616" w:name="_Toc1464"/>
      <w:bookmarkStart w:id="7617" w:name="_Toc29912"/>
      <w:bookmarkStart w:id="7618" w:name="_Toc14977"/>
      <w:bookmarkStart w:id="7619" w:name="_Toc506"/>
      <w:bookmarkStart w:id="7620" w:name="_Toc24549"/>
      <w:r>
        <w:rPr>
          <w:rFonts w:hint="eastAsia"/>
        </w:rPr>
        <w:t>五、工期延误处理办法</w:t>
      </w:r>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p>
    <w:p w14:paraId="3B784800">
      <w:pPr>
        <w:pStyle w:val="5"/>
        <w:spacing w:before="31" w:after="31"/>
        <w:ind w:firstLine="562"/>
      </w:pPr>
      <w:bookmarkStart w:id="7621" w:name="_Toc1375"/>
      <w:bookmarkStart w:id="7622" w:name="_Toc14765"/>
      <w:bookmarkStart w:id="7623" w:name="_Toc32450"/>
      <w:bookmarkStart w:id="7624" w:name="_Toc13286"/>
      <w:bookmarkStart w:id="7625" w:name="_Toc30129"/>
      <w:bookmarkStart w:id="7626" w:name="_Toc9170"/>
      <w:bookmarkStart w:id="7627" w:name="_Toc15076"/>
      <w:bookmarkStart w:id="7628" w:name="_Toc27876"/>
      <w:bookmarkStart w:id="7629" w:name="_Toc11189"/>
      <w:bookmarkStart w:id="7630" w:name="_Toc25311"/>
      <w:bookmarkStart w:id="7631" w:name="_Toc1395"/>
      <w:bookmarkStart w:id="7632" w:name="_Toc12356"/>
      <w:bookmarkStart w:id="7633" w:name="_Toc18575"/>
      <w:bookmarkStart w:id="7634" w:name="_Toc25308"/>
      <w:bookmarkStart w:id="7635" w:name="_Toc12072"/>
      <w:bookmarkStart w:id="7636" w:name="_Toc22529"/>
      <w:bookmarkStart w:id="7637" w:name="_Toc8305"/>
      <w:bookmarkStart w:id="7638" w:name="_Toc15640"/>
      <w:bookmarkStart w:id="7639" w:name="_Toc17352"/>
      <w:bookmarkStart w:id="7640" w:name="_Toc3891"/>
      <w:bookmarkStart w:id="7641" w:name="_Toc31576"/>
      <w:bookmarkStart w:id="7642" w:name="_Toc5891"/>
      <w:bookmarkStart w:id="7643" w:name="_Toc27622"/>
      <w:bookmarkStart w:id="7644" w:name="_Toc20655"/>
      <w:bookmarkStart w:id="7645" w:name="_Toc10042"/>
      <w:bookmarkStart w:id="7646" w:name="_Toc9"/>
      <w:bookmarkStart w:id="7647" w:name="_Toc30495"/>
      <w:bookmarkStart w:id="7648" w:name="_Toc8848"/>
      <w:bookmarkStart w:id="7649" w:name="_Toc4362"/>
      <w:bookmarkStart w:id="7650" w:name="_Toc1496"/>
      <w:bookmarkStart w:id="7651" w:name="_Toc1668"/>
      <w:bookmarkStart w:id="7652" w:name="_Toc22909"/>
      <w:bookmarkStart w:id="7653" w:name="_Toc12816"/>
      <w:bookmarkStart w:id="7654" w:name="_Toc3652"/>
      <w:bookmarkStart w:id="7655" w:name="_Toc20888"/>
      <w:bookmarkStart w:id="7656" w:name="_Toc22152"/>
      <w:bookmarkStart w:id="7657" w:name="_Toc3217"/>
      <w:bookmarkStart w:id="7658" w:name="_Toc17932"/>
      <w:bookmarkStart w:id="7659" w:name="_Toc9389"/>
      <w:bookmarkStart w:id="7660" w:name="_Toc12625"/>
      <w:bookmarkStart w:id="7661" w:name="_Toc17268"/>
      <w:bookmarkStart w:id="7662" w:name="_Toc13319"/>
      <w:bookmarkStart w:id="7663" w:name="_Toc27369"/>
      <w:bookmarkStart w:id="7664" w:name="_Toc19233"/>
      <w:bookmarkStart w:id="7665" w:name="_Toc27817"/>
      <w:bookmarkStart w:id="7666" w:name="_Toc31390"/>
      <w:bookmarkStart w:id="7667" w:name="_Toc15139"/>
      <w:bookmarkStart w:id="7668" w:name="_Toc32323"/>
      <w:bookmarkStart w:id="7669" w:name="_Toc15938"/>
      <w:bookmarkStart w:id="7670" w:name="_Toc22508"/>
      <w:bookmarkStart w:id="7671" w:name="_Toc15940"/>
      <w:bookmarkStart w:id="7672" w:name="_Toc16887"/>
      <w:bookmarkStart w:id="7673" w:name="_Toc16220"/>
      <w:bookmarkStart w:id="7674" w:name="_Toc22028"/>
      <w:bookmarkStart w:id="7675" w:name="_Toc28485"/>
      <w:bookmarkStart w:id="7676" w:name="_Toc26117"/>
      <w:bookmarkStart w:id="7677" w:name="_Toc4444"/>
      <w:bookmarkStart w:id="7678" w:name="_Toc31754"/>
      <w:bookmarkStart w:id="7679" w:name="_Toc22029"/>
      <w:r>
        <w:rPr>
          <w:rFonts w:hint="eastAsia"/>
        </w:rPr>
        <w:t>（一）工期延误处理程序</w:t>
      </w:r>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p>
    <w:p w14:paraId="7AB9FAD1">
      <w:pPr>
        <w:ind w:firstLine="560"/>
      </w:pPr>
      <w:r>
        <w:rPr>
          <w:rFonts w:hint="eastAsia"/>
        </w:rPr>
        <w:t>1、认真分析：在总进度计划的关键线路上，认真分析工期延误的原因，查找其影响因素，按照进度计划网络图分析延误工期的天数。同时，还应分析对关键线路有影响的较大施工进度，及时制订纠偏计划；</w:t>
      </w:r>
    </w:p>
    <w:p w14:paraId="20B780AD">
      <w:pPr>
        <w:ind w:firstLine="560"/>
      </w:pPr>
      <w:r>
        <w:rPr>
          <w:rFonts w:hint="eastAsia"/>
        </w:rPr>
        <w:t>2、确定责任：对延误工期分析后，要严格按照合同约定，划分造成工期延误的责任；</w:t>
      </w:r>
    </w:p>
    <w:p w14:paraId="5EB2C231">
      <w:pPr>
        <w:ind w:firstLine="560"/>
      </w:pPr>
      <w:r>
        <w:rPr>
          <w:rFonts w:hint="eastAsia"/>
        </w:rPr>
        <w:t>3、采取措施：及时调整施工进度计划，对原计划进行合理纠偏，增加资源投入，优化施工方案，采取有效的措施进行赶工；</w:t>
      </w:r>
    </w:p>
    <w:p w14:paraId="708C4D1B">
      <w:pPr>
        <w:ind w:firstLine="560"/>
      </w:pPr>
      <w:r>
        <w:rPr>
          <w:rFonts w:hint="eastAsia"/>
        </w:rPr>
        <w:t>4、合理索赔：针对工期延误责任划分，应对照合同条款规定进行工期变更和合理的索赔。</w:t>
      </w:r>
    </w:p>
    <w:p w14:paraId="65DBBF7A">
      <w:pPr>
        <w:pStyle w:val="5"/>
        <w:spacing w:before="31" w:after="31"/>
        <w:ind w:firstLine="562"/>
      </w:pPr>
      <w:bookmarkStart w:id="7680" w:name="_Toc13620"/>
      <w:bookmarkStart w:id="7681" w:name="_Toc19474"/>
      <w:bookmarkStart w:id="7682" w:name="_Toc4116"/>
      <w:bookmarkStart w:id="7683" w:name="_Toc30939"/>
      <w:bookmarkStart w:id="7684" w:name="_Toc6096"/>
      <w:bookmarkStart w:id="7685" w:name="_Toc9044"/>
      <w:bookmarkStart w:id="7686" w:name="_Toc12956"/>
      <w:bookmarkStart w:id="7687" w:name="_Toc16602"/>
      <w:bookmarkStart w:id="7688" w:name="_Toc7125"/>
      <w:bookmarkStart w:id="7689" w:name="_Toc13209"/>
      <w:bookmarkStart w:id="7690" w:name="_Toc27732"/>
      <w:bookmarkStart w:id="7691" w:name="_Toc16574"/>
      <w:bookmarkStart w:id="7692" w:name="_Toc31195"/>
      <w:bookmarkStart w:id="7693" w:name="_Toc4371"/>
      <w:bookmarkStart w:id="7694" w:name="_Toc32574"/>
      <w:bookmarkStart w:id="7695" w:name="_Toc8941"/>
      <w:bookmarkStart w:id="7696" w:name="_Toc27851"/>
      <w:bookmarkStart w:id="7697" w:name="_Toc13458"/>
      <w:bookmarkStart w:id="7698" w:name="_Toc13936"/>
      <w:bookmarkStart w:id="7699" w:name="_Toc20822"/>
      <w:bookmarkStart w:id="7700" w:name="_Toc12554"/>
      <w:bookmarkStart w:id="7701" w:name="_Toc30904"/>
      <w:bookmarkStart w:id="7702" w:name="_Toc12726"/>
      <w:bookmarkStart w:id="7703" w:name="_Toc30052"/>
      <w:bookmarkStart w:id="7704" w:name="_Toc30089"/>
      <w:bookmarkStart w:id="7705" w:name="_Toc3066"/>
      <w:bookmarkStart w:id="7706" w:name="_Toc4071"/>
      <w:bookmarkStart w:id="7707" w:name="_Toc8312"/>
      <w:bookmarkStart w:id="7708" w:name="_Toc5804"/>
      <w:bookmarkStart w:id="7709" w:name="_Toc9839"/>
      <w:bookmarkStart w:id="7710" w:name="_Toc13824"/>
      <w:bookmarkStart w:id="7711" w:name="_Toc29879"/>
      <w:bookmarkStart w:id="7712" w:name="_Toc29009"/>
      <w:bookmarkStart w:id="7713" w:name="_Toc30648"/>
      <w:bookmarkStart w:id="7714" w:name="_Toc5439"/>
      <w:bookmarkStart w:id="7715" w:name="_Toc4364"/>
      <w:bookmarkStart w:id="7716" w:name="_Toc12092"/>
      <w:bookmarkStart w:id="7717" w:name="_Toc26090"/>
      <w:bookmarkStart w:id="7718" w:name="_Toc29480"/>
      <w:bookmarkStart w:id="7719" w:name="_Toc8993"/>
      <w:bookmarkStart w:id="7720" w:name="_Toc6589"/>
      <w:bookmarkStart w:id="7721" w:name="_Toc25981"/>
      <w:bookmarkStart w:id="7722" w:name="_Toc14117"/>
      <w:bookmarkStart w:id="7723" w:name="_Toc17034"/>
      <w:bookmarkStart w:id="7724" w:name="_Toc2447"/>
      <w:bookmarkStart w:id="7725" w:name="_Toc9956"/>
      <w:bookmarkStart w:id="7726" w:name="_Toc3144"/>
      <w:bookmarkStart w:id="7727" w:name="_Toc9773"/>
      <w:bookmarkStart w:id="7728" w:name="_Toc16683"/>
      <w:bookmarkStart w:id="7729" w:name="_Toc15987"/>
      <w:bookmarkStart w:id="7730" w:name="_Toc2167"/>
      <w:bookmarkStart w:id="7731" w:name="_Toc31100"/>
      <w:r>
        <w:rPr>
          <w:rFonts w:hint="eastAsia"/>
        </w:rPr>
        <w:t>（二）工期延误纠偏措施</w:t>
      </w:r>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p>
    <w:p w14:paraId="36A93DAC">
      <w:pPr>
        <w:ind w:firstLine="560"/>
      </w:pPr>
      <w:r>
        <w:rPr>
          <w:rFonts w:hint="eastAsia"/>
        </w:rPr>
        <w:t>1、在施工过程中，当实际进度与计划进度出现偏差时，需要及时采取强有力的保工期措施，以确保总进度目标的实现。在加强工期保证措施的同时，还应采取如下纠偏措施：</w:t>
      </w:r>
    </w:p>
    <w:p w14:paraId="190DDA0A">
      <w:pPr>
        <w:ind w:firstLine="560"/>
      </w:pPr>
      <w:r>
        <w:rPr>
          <w:rFonts w:hint="eastAsia"/>
        </w:rPr>
        <w:t>⑴在制定施工计划时对影响工期计划的风险因素做出充分的估计和制定应对措施，在该项目实施之前，将有关应对措施落实到位；</w:t>
      </w:r>
    </w:p>
    <w:p w14:paraId="1FED815C">
      <w:pPr>
        <w:ind w:firstLine="560"/>
      </w:pPr>
      <w:r>
        <w:rPr>
          <w:rFonts w:hint="eastAsia"/>
        </w:rPr>
        <w:t>⑵根据施工进度计划的成果，确定施工进度控制的关键施工项目，在进行资源配置计划时，提高其保证倍率，在施工过程中加强管理，尽量避免其出现进度偏差的现象；</w:t>
      </w:r>
    </w:p>
    <w:p w14:paraId="4F2958A6">
      <w:pPr>
        <w:ind w:firstLine="560"/>
      </w:pPr>
      <w:r>
        <w:rPr>
          <w:rFonts w:hint="eastAsia"/>
        </w:rPr>
        <w:t>⑶在关键项目或主要施工项目在实施过程中，注意对其进度信息的统计和分析，如采用平均和高峰施工强度对其进度完成情况逐日进行检验和分析，在施工过程中注意调整，并对工期计划及时进行预测和适应性调整；</w:t>
      </w:r>
    </w:p>
    <w:p w14:paraId="6523A7C9">
      <w:pPr>
        <w:ind w:firstLine="560"/>
      </w:pPr>
      <w:r>
        <w:rPr>
          <w:rFonts w:hint="eastAsia"/>
        </w:rPr>
        <w:t>⑷由于设备、技术、管理等原因，导致实际进度与计划进度目标出现偏差时，项目部将认真分析原因，积极采取措施，加强内部管理，通过组织专题会议、教育和宣传等活动，激发施工生产人员的生产积极性和创造性；</w:t>
      </w:r>
    </w:p>
    <w:p w14:paraId="5189861F">
      <w:pPr>
        <w:ind w:firstLine="560"/>
      </w:pPr>
      <w:r>
        <w:rPr>
          <w:rFonts w:hint="eastAsia"/>
        </w:rPr>
        <w:t>⑸由于人力不可抗拒的自然因素所导致的进度偏差，将及时向监理人、发包人和本企业总部报告，按照监理和业主的要求，认真组织赶进度、保工期措施的制定和落实；</w:t>
      </w:r>
    </w:p>
    <w:p w14:paraId="71D75321">
      <w:pPr>
        <w:ind w:firstLine="560"/>
      </w:pPr>
      <w:r>
        <w:rPr>
          <w:rFonts w:hint="eastAsia"/>
        </w:rPr>
        <w:t>⑹在工程实施过程中，不论何种原因引起的工期延误，我方将及时作出调整。并按合同条款的规定向监理人送审及报批。</w:t>
      </w:r>
    </w:p>
    <w:p w14:paraId="1EAFE2A0">
      <w:pPr>
        <w:ind w:firstLine="560"/>
      </w:pPr>
      <w:r>
        <w:rPr>
          <w:rFonts w:hint="eastAsia"/>
        </w:rPr>
        <w:t>⑺当实际进度与计划进度出现偏差时，不论何种原因引起的工期延误，项目部将采取系列措施进行赶工，确保总进度目标的实现。</w:t>
      </w:r>
    </w:p>
    <w:p w14:paraId="5471D19A">
      <w:pPr>
        <w:ind w:firstLine="560"/>
      </w:pPr>
      <w:r>
        <w:rPr>
          <w:rFonts w:hint="eastAsia"/>
        </w:rPr>
        <w:t>⑻工期延误严重者，业主、监理、施工单位应召开专题会议共同研究解决方案，等方案确定后，然后按照合同规定，进行合理索赔。</w:t>
      </w:r>
    </w:p>
    <w:p w14:paraId="16D9A3D6">
      <w:pPr>
        <w:pStyle w:val="5"/>
        <w:spacing w:before="31" w:after="31"/>
        <w:ind w:firstLine="562"/>
      </w:pPr>
      <w:bookmarkStart w:id="7732" w:name="_Toc11515"/>
      <w:bookmarkStart w:id="7733" w:name="_Toc8277"/>
      <w:bookmarkStart w:id="7734" w:name="_Toc21705"/>
      <w:bookmarkStart w:id="7735" w:name="_Toc12335"/>
      <w:bookmarkStart w:id="7736" w:name="_Toc23723"/>
      <w:bookmarkStart w:id="7737" w:name="_Toc11796"/>
      <w:bookmarkStart w:id="7738" w:name="_Toc29048"/>
      <w:bookmarkStart w:id="7739" w:name="_Toc4310"/>
      <w:bookmarkStart w:id="7740" w:name="_Toc20070"/>
      <w:bookmarkStart w:id="7741" w:name="_Toc27156"/>
      <w:bookmarkStart w:id="7742" w:name="_Toc29134"/>
      <w:bookmarkStart w:id="7743" w:name="_Toc22639"/>
      <w:bookmarkStart w:id="7744" w:name="_Toc28939"/>
      <w:bookmarkStart w:id="7745" w:name="_Toc32475"/>
      <w:bookmarkStart w:id="7746" w:name="_Toc13250"/>
      <w:bookmarkStart w:id="7747" w:name="_Toc32017"/>
      <w:bookmarkStart w:id="7748" w:name="_Toc25905"/>
      <w:bookmarkStart w:id="7749" w:name="_Toc29509"/>
      <w:bookmarkStart w:id="7750" w:name="_Toc32183"/>
      <w:bookmarkStart w:id="7751" w:name="_Toc9802"/>
      <w:bookmarkStart w:id="7752" w:name="_Toc19992"/>
      <w:bookmarkStart w:id="7753" w:name="_Toc26110"/>
      <w:bookmarkStart w:id="7754" w:name="_Toc3413"/>
      <w:bookmarkStart w:id="7755" w:name="_Toc5639"/>
      <w:bookmarkStart w:id="7756" w:name="_Toc2692"/>
      <w:bookmarkStart w:id="7757" w:name="_Toc13737"/>
      <w:bookmarkStart w:id="7758" w:name="_Toc21413"/>
      <w:bookmarkStart w:id="7759" w:name="_Toc15758"/>
      <w:bookmarkStart w:id="7760" w:name="_Toc1930"/>
      <w:bookmarkStart w:id="7761" w:name="_Toc23929"/>
      <w:bookmarkStart w:id="7762" w:name="_Toc19757"/>
      <w:bookmarkStart w:id="7763" w:name="_Toc29610"/>
      <w:bookmarkStart w:id="7764" w:name="_Toc25534"/>
      <w:bookmarkStart w:id="7765" w:name="_Toc11083"/>
      <w:bookmarkStart w:id="7766" w:name="_Toc2030"/>
      <w:bookmarkStart w:id="7767" w:name="_Toc3402"/>
      <w:bookmarkStart w:id="7768" w:name="_Toc22913"/>
      <w:bookmarkStart w:id="7769" w:name="_Toc29531"/>
      <w:bookmarkStart w:id="7770" w:name="_Toc2005"/>
      <w:bookmarkStart w:id="7771" w:name="_Toc24472"/>
      <w:bookmarkStart w:id="7772" w:name="_Toc18246"/>
      <w:bookmarkStart w:id="7773" w:name="_Toc3440"/>
      <w:bookmarkStart w:id="7774" w:name="_Toc21"/>
      <w:bookmarkStart w:id="7775" w:name="_Toc9473"/>
      <w:bookmarkStart w:id="7776" w:name="_Toc5460"/>
      <w:bookmarkStart w:id="7777" w:name="_Toc18448"/>
      <w:bookmarkStart w:id="7778" w:name="_Toc19108"/>
      <w:bookmarkStart w:id="7779" w:name="_Toc958"/>
      <w:bookmarkStart w:id="7780" w:name="_Toc10470"/>
      <w:bookmarkStart w:id="7781" w:name="_Toc709"/>
      <w:bookmarkStart w:id="7782" w:name="_Toc17851"/>
      <w:bookmarkStart w:id="7783" w:name="_Toc18203"/>
      <w:bookmarkStart w:id="7784" w:name="_Toc187"/>
      <w:bookmarkStart w:id="7785" w:name="_Toc31510"/>
      <w:bookmarkStart w:id="7786" w:name="_Toc14895"/>
      <w:bookmarkStart w:id="7787" w:name="_Toc18898"/>
      <w:bookmarkStart w:id="7788" w:name="_Toc16308"/>
      <w:r>
        <w:rPr>
          <w:rFonts w:hint="eastAsia"/>
        </w:rPr>
        <w:t>（三）工期延误责任界定</w:t>
      </w:r>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p>
    <w:p w14:paraId="38F55A2D">
      <w:pPr>
        <w:ind w:firstLine="560"/>
      </w:pPr>
      <w:r>
        <w:rPr>
          <w:rFonts w:hint="eastAsia"/>
        </w:rPr>
        <w:t>以《工程施工合同》为依据，在施工过程中发生下列情况之一使关键项目的施工进度计划拖后而造成的工期延误，我方可要求业主延长合同工期。</w:t>
      </w:r>
    </w:p>
    <w:p w14:paraId="51C3FF4B">
      <w:pPr>
        <w:ind w:firstLine="560"/>
      </w:pPr>
      <w:r>
        <w:rPr>
          <w:rFonts w:hint="eastAsia"/>
        </w:rPr>
        <w:t>1、增加合同中任何一项工作内容；</w:t>
      </w:r>
    </w:p>
    <w:p w14:paraId="111D4021">
      <w:pPr>
        <w:ind w:firstLine="560"/>
      </w:pPr>
      <w:r>
        <w:rPr>
          <w:rFonts w:hint="eastAsia"/>
        </w:rPr>
        <w:t>2、增加合同中关键项目的工程量超过专用合同条款规定的百分比；</w:t>
      </w:r>
    </w:p>
    <w:p w14:paraId="772B01BC">
      <w:pPr>
        <w:ind w:firstLine="560"/>
      </w:pPr>
      <w:r>
        <w:rPr>
          <w:rFonts w:hint="eastAsia"/>
        </w:rPr>
        <w:t>3、增加额外的工程项目；</w:t>
      </w:r>
    </w:p>
    <w:p w14:paraId="33D73AF1">
      <w:pPr>
        <w:ind w:firstLine="560"/>
      </w:pPr>
      <w:r>
        <w:rPr>
          <w:rFonts w:hint="eastAsia"/>
        </w:rPr>
        <w:t>4、改变合同中任何一项的工作标准和特性；</w:t>
      </w:r>
    </w:p>
    <w:p w14:paraId="2793CAEF">
      <w:pPr>
        <w:ind w:firstLine="560"/>
      </w:pPr>
      <w:r>
        <w:rPr>
          <w:rFonts w:hint="eastAsia"/>
        </w:rPr>
        <w:t>5、合同中涉及由业主责任引起的工期延误；</w:t>
      </w:r>
    </w:p>
    <w:p w14:paraId="247D9C14">
      <w:pPr>
        <w:ind w:firstLine="560"/>
      </w:pPr>
      <w:r>
        <w:rPr>
          <w:rFonts w:hint="eastAsia"/>
        </w:rPr>
        <w:t>6、不可抗力；</w:t>
      </w:r>
    </w:p>
    <w:p w14:paraId="64661C97">
      <w:pPr>
        <w:ind w:firstLine="560"/>
      </w:pPr>
      <w:r>
        <w:rPr>
          <w:rFonts w:hint="eastAsia"/>
        </w:rPr>
        <w:t>7、非承包人原因造成的工期延误。</w:t>
      </w:r>
    </w:p>
    <w:p w14:paraId="10BBE0E1">
      <w:pPr>
        <w:pStyle w:val="5"/>
        <w:spacing w:before="31" w:after="31"/>
        <w:ind w:firstLine="562"/>
      </w:pPr>
      <w:bookmarkStart w:id="7789" w:name="_Toc6523"/>
      <w:bookmarkStart w:id="7790" w:name="_Toc21537"/>
      <w:bookmarkStart w:id="7791" w:name="_Toc5127"/>
      <w:bookmarkStart w:id="7792" w:name="_Toc3083"/>
      <w:bookmarkStart w:id="7793" w:name="_Toc31714"/>
      <w:bookmarkStart w:id="7794" w:name="_Toc46"/>
      <w:bookmarkStart w:id="7795" w:name="_Toc31316"/>
      <w:bookmarkStart w:id="7796" w:name="_Toc4867"/>
      <w:bookmarkStart w:id="7797" w:name="_Toc24420"/>
      <w:bookmarkStart w:id="7798" w:name="_Toc16788"/>
      <w:bookmarkStart w:id="7799" w:name="_Toc29335"/>
      <w:bookmarkStart w:id="7800" w:name="_Toc1977"/>
      <w:bookmarkStart w:id="7801" w:name="_Toc19137"/>
      <w:bookmarkStart w:id="7802" w:name="_Toc17233"/>
      <w:bookmarkStart w:id="7803" w:name="_Toc29152"/>
      <w:bookmarkStart w:id="7804" w:name="_Toc20920"/>
      <w:bookmarkStart w:id="7805" w:name="_Toc22720"/>
      <w:bookmarkStart w:id="7806" w:name="_Toc10975"/>
      <w:bookmarkStart w:id="7807" w:name="_Toc31725"/>
      <w:bookmarkStart w:id="7808" w:name="_Toc14177"/>
      <w:bookmarkStart w:id="7809" w:name="_Toc14679"/>
      <w:bookmarkStart w:id="7810" w:name="_Toc838"/>
      <w:bookmarkStart w:id="7811" w:name="_Toc26723"/>
      <w:bookmarkStart w:id="7812" w:name="_Toc25454"/>
      <w:bookmarkStart w:id="7813" w:name="_Toc23808"/>
      <w:bookmarkStart w:id="7814" w:name="_Toc19254"/>
      <w:bookmarkStart w:id="7815" w:name="_Toc14338"/>
      <w:bookmarkStart w:id="7816" w:name="_Toc9957"/>
      <w:bookmarkStart w:id="7817" w:name="_Toc15667"/>
      <w:bookmarkStart w:id="7818" w:name="_Toc29144"/>
      <w:bookmarkStart w:id="7819" w:name="_Toc24850"/>
      <w:bookmarkStart w:id="7820" w:name="_Toc17487"/>
      <w:bookmarkStart w:id="7821" w:name="_Toc29050"/>
      <w:bookmarkStart w:id="7822" w:name="_Toc3489"/>
      <w:bookmarkStart w:id="7823" w:name="_Toc10814"/>
      <w:bookmarkStart w:id="7824" w:name="_Toc26416"/>
      <w:bookmarkStart w:id="7825" w:name="_Toc32401"/>
      <w:bookmarkStart w:id="7826" w:name="_Toc10475"/>
      <w:bookmarkStart w:id="7827" w:name="_Toc7984"/>
      <w:bookmarkStart w:id="7828" w:name="_Toc19193"/>
      <w:bookmarkStart w:id="7829" w:name="_Toc7541"/>
      <w:bookmarkStart w:id="7830" w:name="_Toc5864"/>
      <w:bookmarkStart w:id="7831" w:name="_Toc28511"/>
      <w:bookmarkStart w:id="7832" w:name="_Toc24357"/>
      <w:bookmarkStart w:id="7833" w:name="_Toc32428"/>
      <w:bookmarkStart w:id="7834" w:name="_Toc28497"/>
      <w:bookmarkStart w:id="7835" w:name="_Toc7574"/>
      <w:bookmarkStart w:id="7836" w:name="_Toc20261"/>
      <w:bookmarkStart w:id="7837" w:name="_Toc26882"/>
      <w:bookmarkStart w:id="7838" w:name="_Toc5890"/>
      <w:bookmarkStart w:id="7839" w:name="_Toc6578"/>
      <w:bookmarkStart w:id="7840" w:name="_Toc28196"/>
      <w:bookmarkStart w:id="7841" w:name="_Toc10073"/>
      <w:bookmarkStart w:id="7842" w:name="_Toc24067"/>
      <w:bookmarkStart w:id="7843" w:name="_Toc3151"/>
      <w:r>
        <w:rPr>
          <w:rFonts w:hint="eastAsia"/>
        </w:rPr>
        <w:t>（四）工期延误的一般处理原则</w:t>
      </w:r>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p>
    <w:p w14:paraId="6089085F">
      <w:pPr>
        <w:ind w:firstLine="560"/>
      </w:pPr>
      <w:r>
        <w:rPr>
          <w:rFonts w:hint="eastAsia"/>
        </w:rPr>
        <w:t>(一)工期延误的一般处理原则</w:t>
      </w:r>
    </w:p>
    <w:p w14:paraId="3207EC2E">
      <w:pPr>
        <w:ind w:firstLine="560"/>
      </w:pPr>
      <w:r>
        <w:rPr>
          <w:rFonts w:hint="eastAsia"/>
        </w:rPr>
        <w:t>工程延期的影响因素，可以归纳为两大类：第一类是合同双方均无过错的原因或因素而引起的延误，主要指不可抗力事件和恶劣气候条件等；第二类是由于业主或监理原因造成的延误。</w:t>
      </w:r>
    </w:p>
    <w:p w14:paraId="6A638076">
      <w:pPr>
        <w:ind w:firstLine="560"/>
      </w:pPr>
      <w:r>
        <w:rPr>
          <w:rFonts w:hint="eastAsia"/>
        </w:rPr>
        <w:t>第一类原因造成的工程延误，项目部将按要求延长工期；</w:t>
      </w:r>
    </w:p>
    <w:p w14:paraId="789D5F31">
      <w:pPr>
        <w:ind w:firstLine="560"/>
      </w:pPr>
      <w:r>
        <w:rPr>
          <w:rFonts w:hint="eastAsia"/>
        </w:rPr>
        <w:t>第二类原因造成的工程延误，若影响了关键线路上的工作，项目部既可要求延长工期，又可要求相应的费用赔偿；如果仅影响非关键线路上的工作，且延误后的工作仍属非关键线路，则不能要求延长工期，但可以要求费用赔偿。</w:t>
      </w:r>
    </w:p>
    <w:p w14:paraId="53CD9A13">
      <w:pPr>
        <w:ind w:firstLine="560"/>
      </w:pPr>
      <w:r>
        <w:rPr>
          <w:rFonts w:hint="eastAsia"/>
        </w:rPr>
        <w:t>(二)共同和交叉延误的处理原则</w:t>
      </w:r>
    </w:p>
    <w:p w14:paraId="7D4B0A69">
      <w:pPr>
        <w:ind w:firstLine="560"/>
      </w:pPr>
      <w:r>
        <w:rPr>
          <w:rFonts w:hint="eastAsia"/>
        </w:rPr>
        <w:t>(1)在初始延误是由项目部原因造成的情况下，随之产生的任何非自身原因的延误都不会对最初的延误性质产生任何影响，直到初始延误缘由和影响已不复存在。因而在该延误时间内，业主原因引起的延误和双方不可控制因素引起的延误均为不可索赔延误。</w:t>
      </w:r>
    </w:p>
    <w:p w14:paraId="0ACB5B72">
      <w:pPr>
        <w:ind w:firstLine="560"/>
      </w:pPr>
      <w:r>
        <w:rPr>
          <w:rFonts w:hint="eastAsia"/>
        </w:rPr>
        <w:t>(2)如果在项目部的初始延误已解除后，业主原因的延误或双方不可控制因素造成的延误依然在起作用，那么项目部可以对超出部分的时间进行索赔。反之，如果初始延误是由于业主或监理原因引起的，项目部将有权获得从业主的延误开始到延误结束期间的工期延长及相应的合理费用补偿。</w:t>
      </w:r>
    </w:p>
    <w:p w14:paraId="6D702A75">
      <w:pPr>
        <w:ind w:firstLine="560"/>
      </w:pPr>
      <w:r>
        <w:rPr>
          <w:rFonts w:hint="eastAsia"/>
        </w:rPr>
        <w:t>(3)如果初始延误是由双方不会控制因素引起的，那么在该延误时间内，项目部只可索赔工期，而不能索赔费用。只有在该延误结束后，项目部才能对业主或监理原因造成的延误进行工期和费用索赔。</w:t>
      </w:r>
    </w:p>
    <w:p w14:paraId="366C6ABC">
      <w:pPr>
        <w:pStyle w:val="5"/>
        <w:spacing w:before="31" w:after="31"/>
        <w:ind w:firstLine="562"/>
      </w:pPr>
      <w:bookmarkStart w:id="7844" w:name="_Toc7162"/>
      <w:bookmarkStart w:id="7845" w:name="_Toc11173"/>
      <w:bookmarkStart w:id="7846" w:name="_Toc25817"/>
      <w:bookmarkStart w:id="7847" w:name="_Toc15106"/>
      <w:bookmarkStart w:id="7848" w:name="_Toc9687"/>
      <w:bookmarkStart w:id="7849" w:name="_Toc5722"/>
      <w:bookmarkStart w:id="7850" w:name="_Toc20317"/>
      <w:bookmarkStart w:id="7851" w:name="_Toc25561"/>
      <w:bookmarkStart w:id="7852" w:name="_Toc24025"/>
      <w:bookmarkStart w:id="7853" w:name="_Toc6166"/>
      <w:bookmarkStart w:id="7854" w:name="_Toc6780"/>
      <w:bookmarkStart w:id="7855" w:name="_Toc27252"/>
      <w:bookmarkStart w:id="7856" w:name="_Toc17524"/>
      <w:bookmarkStart w:id="7857" w:name="_Toc22081"/>
      <w:bookmarkStart w:id="7858" w:name="_Toc2219"/>
      <w:bookmarkStart w:id="7859" w:name="_Toc12563"/>
      <w:bookmarkStart w:id="7860" w:name="_Toc18569"/>
      <w:bookmarkStart w:id="7861" w:name="_Toc19008"/>
      <w:bookmarkStart w:id="7862" w:name="_Toc31836"/>
      <w:bookmarkStart w:id="7863" w:name="_Toc18023"/>
      <w:bookmarkStart w:id="7864" w:name="_Toc3074"/>
      <w:bookmarkStart w:id="7865" w:name="_Toc7285"/>
      <w:bookmarkStart w:id="7866" w:name="_Toc11857"/>
      <w:bookmarkStart w:id="7867" w:name="_Toc23690"/>
      <w:bookmarkStart w:id="7868" w:name="_Toc47"/>
      <w:bookmarkStart w:id="7869" w:name="_Toc8933"/>
      <w:bookmarkStart w:id="7870" w:name="_Toc18520"/>
      <w:bookmarkStart w:id="7871" w:name="_Toc14598"/>
      <w:bookmarkStart w:id="7872" w:name="_Toc27499"/>
      <w:bookmarkStart w:id="7873" w:name="_Toc20148"/>
      <w:bookmarkStart w:id="7874" w:name="_Toc31850"/>
      <w:bookmarkStart w:id="7875" w:name="_Toc2213"/>
      <w:bookmarkStart w:id="7876" w:name="_Toc14530"/>
      <w:bookmarkStart w:id="7877" w:name="_Toc29376"/>
      <w:bookmarkStart w:id="7878" w:name="_Toc20963"/>
      <w:bookmarkStart w:id="7879" w:name="_Toc28032"/>
      <w:bookmarkStart w:id="7880" w:name="_Toc5119"/>
      <w:bookmarkStart w:id="7881" w:name="_Toc12630"/>
      <w:bookmarkStart w:id="7882" w:name="_Toc29352"/>
      <w:bookmarkStart w:id="7883" w:name="_Toc6798"/>
      <w:bookmarkStart w:id="7884" w:name="_Toc16018"/>
      <w:bookmarkStart w:id="7885" w:name="_Toc29567"/>
      <w:bookmarkStart w:id="7886" w:name="_Toc1097"/>
      <w:bookmarkStart w:id="7887" w:name="_Toc5759"/>
      <w:bookmarkStart w:id="7888" w:name="_Toc6852"/>
      <w:bookmarkStart w:id="7889" w:name="_Toc14707"/>
      <w:bookmarkStart w:id="7890" w:name="_Toc11807"/>
      <w:bookmarkStart w:id="7891" w:name="_Toc29914"/>
      <w:bookmarkStart w:id="7892" w:name="_Toc850"/>
      <w:bookmarkStart w:id="7893" w:name="_Toc26270"/>
      <w:bookmarkStart w:id="7894" w:name="_Toc29639"/>
      <w:bookmarkStart w:id="7895" w:name="_Toc29607"/>
      <w:bookmarkStart w:id="7896" w:name="_Toc8572"/>
      <w:bookmarkStart w:id="7897" w:name="_Toc11276"/>
      <w:bookmarkStart w:id="7898" w:name="_Toc16202"/>
      <w:bookmarkStart w:id="7899" w:name="_Toc26321"/>
      <w:r>
        <w:rPr>
          <w:rFonts w:hint="eastAsia"/>
        </w:rPr>
        <w:t>（五）要求工程延期的处理办法</w:t>
      </w:r>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p>
    <w:p w14:paraId="2574A306">
      <w:pPr>
        <w:ind w:firstLine="560"/>
      </w:pPr>
      <w:r>
        <w:rPr>
          <w:rFonts w:hint="eastAsia"/>
        </w:rPr>
        <w:t>1、若发生由于业主原因延误工期的事件时，我方会立即通知业主和监理部，并在发出该通知后的28天内，向监理部提交一份细节报告，详细说明发生该事件的情节和对工期的影响程度，并修订进度计划和编制赶工措施报告报送监理部审批。如果业主要求修订的进度计划仍要保证工程按期完成，则应由业主承担由于采取赶工措施所增加的费用。</w:t>
      </w:r>
    </w:p>
    <w:p w14:paraId="51F0A8B4">
      <w:pPr>
        <w:ind w:firstLine="560"/>
      </w:pPr>
      <w:r>
        <w:rPr>
          <w:rFonts w:hint="eastAsia"/>
        </w:rPr>
        <w:t>2、若事件的持续时间较长或事件影响工期较长，当我方采取了赶工措施而无法实现工程按期完工时，我方会在事件结束后的14天内，提交一份补充细节报告，详细说明延长工期的理由，并修订进度计划，业主除承担赶工措施费用外，还应按合同规定的程序批准给我方延长工期的合理天数。</w:t>
      </w:r>
    </w:p>
    <w:p w14:paraId="5069F2CD">
      <w:pPr>
        <w:ind w:firstLine="560"/>
      </w:pPr>
      <w:r>
        <w:rPr>
          <w:rFonts w:hint="eastAsia"/>
        </w:rPr>
        <w:t>3、若由于我方自己原因未能按照合同进度计划完成预定工作，我方会无条件的采取赶工措施，并承担该部分费用。并追究造成该项工期延误的主要负责人的责任。</w:t>
      </w:r>
    </w:p>
    <w:p w14:paraId="2BFB026A">
      <w:pPr>
        <w:pStyle w:val="4"/>
        <w:spacing w:before="93" w:after="31"/>
      </w:pPr>
      <w:bookmarkStart w:id="7900" w:name="_Toc20501"/>
      <w:bookmarkStart w:id="7901" w:name="_Toc21886"/>
      <w:bookmarkStart w:id="7902" w:name="_Toc1238"/>
      <w:bookmarkStart w:id="7903" w:name="_Toc12638"/>
      <w:bookmarkStart w:id="7904" w:name="_Toc25466"/>
      <w:bookmarkStart w:id="7905" w:name="_Toc22448"/>
      <w:bookmarkStart w:id="7906" w:name="_Toc8196"/>
      <w:bookmarkStart w:id="7907" w:name="_Toc2048"/>
      <w:bookmarkStart w:id="7908" w:name="_Toc30794"/>
      <w:bookmarkStart w:id="7909" w:name="_Toc27188"/>
      <w:bookmarkStart w:id="7910" w:name="_Toc7680"/>
      <w:bookmarkStart w:id="7911" w:name="_Toc11155"/>
      <w:bookmarkStart w:id="7912" w:name="_Toc27747"/>
      <w:bookmarkStart w:id="7913" w:name="_Toc12899"/>
      <w:bookmarkStart w:id="7914" w:name="_Toc20372"/>
      <w:bookmarkStart w:id="7915" w:name="_Toc6845"/>
      <w:bookmarkStart w:id="7916" w:name="_Toc15477"/>
      <w:bookmarkStart w:id="7917" w:name="_Toc5318"/>
      <w:bookmarkStart w:id="7918" w:name="_Toc11084"/>
      <w:bookmarkStart w:id="7919" w:name="_Toc4717"/>
      <w:bookmarkStart w:id="7920" w:name="_Toc10126"/>
      <w:bookmarkStart w:id="7921" w:name="_Toc21887"/>
      <w:bookmarkStart w:id="7922" w:name="_Toc8325"/>
      <w:bookmarkStart w:id="7923" w:name="_Toc934"/>
      <w:bookmarkStart w:id="7924" w:name="_Toc19435"/>
      <w:bookmarkStart w:id="7925" w:name="_Toc17589"/>
      <w:bookmarkStart w:id="7926" w:name="_Toc31678"/>
      <w:bookmarkStart w:id="7927" w:name="_Toc2514"/>
      <w:bookmarkStart w:id="7928" w:name="_Toc12484"/>
      <w:bookmarkStart w:id="7929" w:name="_Toc30420"/>
      <w:bookmarkStart w:id="7930" w:name="_Toc12902"/>
      <w:bookmarkStart w:id="7931" w:name="_Toc13746"/>
      <w:bookmarkStart w:id="7932" w:name="_Toc19668"/>
      <w:bookmarkStart w:id="7933" w:name="_Toc12988"/>
      <w:bookmarkStart w:id="7934" w:name="_Toc6634"/>
      <w:bookmarkStart w:id="7935" w:name="_Toc23683"/>
      <w:bookmarkStart w:id="7936" w:name="_Toc21206"/>
      <w:bookmarkStart w:id="7937" w:name="_Toc9156"/>
      <w:bookmarkStart w:id="7938" w:name="_Toc22153"/>
      <w:bookmarkStart w:id="7939" w:name="_Toc4002"/>
      <w:bookmarkStart w:id="7940" w:name="_Toc16771"/>
      <w:bookmarkStart w:id="7941" w:name="_Toc2165"/>
      <w:bookmarkStart w:id="7942" w:name="_Toc25424"/>
      <w:bookmarkStart w:id="7943" w:name="_Toc13069"/>
      <w:bookmarkStart w:id="7944" w:name="_Toc18688"/>
      <w:bookmarkStart w:id="7945" w:name="_Toc26508"/>
      <w:bookmarkStart w:id="7946" w:name="_Toc1569"/>
      <w:bookmarkStart w:id="7947" w:name="_Toc14807"/>
      <w:bookmarkStart w:id="7948" w:name="_Toc4688"/>
      <w:bookmarkStart w:id="7949" w:name="_Toc26192"/>
      <w:bookmarkStart w:id="7950" w:name="_Toc31338"/>
      <w:bookmarkStart w:id="7951" w:name="_Toc19356"/>
      <w:bookmarkStart w:id="7952" w:name="_Toc21008"/>
      <w:bookmarkStart w:id="7953" w:name="_Toc1964"/>
      <w:bookmarkStart w:id="7954" w:name="_Toc3257"/>
      <w:bookmarkStart w:id="7955" w:name="_Toc20804"/>
      <w:bookmarkStart w:id="7956" w:name="_Toc12527"/>
      <w:bookmarkStart w:id="7957" w:name="_Toc2378"/>
      <w:bookmarkStart w:id="7958" w:name="_Toc1508"/>
      <w:r>
        <w:rPr>
          <w:rFonts w:hint="eastAsia"/>
        </w:rPr>
        <w:t>六、工期赶工措施</w:t>
      </w:r>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p>
    <w:p w14:paraId="31D76E9B">
      <w:pPr>
        <w:pStyle w:val="5"/>
        <w:spacing w:before="31" w:after="31"/>
        <w:ind w:firstLine="562"/>
      </w:pPr>
      <w:bookmarkStart w:id="7959" w:name="_Toc11269"/>
      <w:bookmarkStart w:id="7960" w:name="_Toc21248"/>
      <w:bookmarkStart w:id="7961" w:name="_Toc7520"/>
      <w:bookmarkStart w:id="7962" w:name="_Toc10709"/>
      <w:bookmarkStart w:id="7963" w:name="_Toc4134"/>
      <w:bookmarkStart w:id="7964" w:name="_Toc28774"/>
      <w:bookmarkStart w:id="7965" w:name="_Toc10249"/>
      <w:bookmarkStart w:id="7966" w:name="_Toc26567"/>
      <w:bookmarkStart w:id="7967" w:name="_Toc18282"/>
      <w:bookmarkStart w:id="7968" w:name="_Toc4334"/>
      <w:bookmarkStart w:id="7969" w:name="_Toc28750"/>
      <w:bookmarkStart w:id="7970" w:name="_Toc12800"/>
      <w:bookmarkStart w:id="7971" w:name="_Toc30146"/>
      <w:bookmarkStart w:id="7972" w:name="_Toc30515"/>
      <w:bookmarkStart w:id="7973" w:name="_Toc681"/>
      <w:bookmarkStart w:id="7974" w:name="_Toc6259"/>
      <w:bookmarkStart w:id="7975" w:name="_Toc2115"/>
      <w:bookmarkStart w:id="7976" w:name="_Toc15979"/>
      <w:bookmarkStart w:id="7977" w:name="_Toc32630"/>
      <w:bookmarkStart w:id="7978" w:name="_Toc13001"/>
      <w:bookmarkStart w:id="7979" w:name="_Toc19083"/>
      <w:bookmarkStart w:id="7980" w:name="_Toc10596"/>
      <w:bookmarkStart w:id="7981" w:name="_Toc12114"/>
      <w:bookmarkStart w:id="7982" w:name="_Toc18912"/>
      <w:bookmarkStart w:id="7983" w:name="_Toc16019"/>
      <w:bookmarkStart w:id="7984" w:name="_Toc18891"/>
      <w:bookmarkStart w:id="7985" w:name="_Toc17536"/>
      <w:bookmarkStart w:id="7986" w:name="_Toc7312"/>
      <w:bookmarkStart w:id="7987" w:name="_Toc22112"/>
      <w:bookmarkStart w:id="7988" w:name="_Toc17715"/>
      <w:bookmarkStart w:id="7989" w:name="_Toc27505"/>
      <w:bookmarkStart w:id="7990" w:name="_Toc32621"/>
      <w:bookmarkStart w:id="7991" w:name="_Toc8159"/>
      <w:bookmarkStart w:id="7992" w:name="_Toc22264"/>
      <w:bookmarkStart w:id="7993" w:name="_Toc27725"/>
      <w:bookmarkStart w:id="7994" w:name="_Toc13428"/>
      <w:bookmarkStart w:id="7995" w:name="_Toc22186"/>
      <w:bookmarkStart w:id="7996" w:name="_Toc2839"/>
      <w:bookmarkStart w:id="7997" w:name="_Toc11716"/>
      <w:bookmarkStart w:id="7998" w:name="_Toc8869"/>
      <w:bookmarkStart w:id="7999" w:name="_Toc30641"/>
      <w:bookmarkStart w:id="8000" w:name="_Toc11962"/>
      <w:bookmarkStart w:id="8001" w:name="_Toc21345"/>
      <w:bookmarkStart w:id="8002" w:name="_Toc15769"/>
      <w:bookmarkStart w:id="8003" w:name="_Toc17079"/>
      <w:bookmarkStart w:id="8004" w:name="_Toc28848"/>
      <w:bookmarkStart w:id="8005" w:name="_Toc29505"/>
      <w:bookmarkStart w:id="8006" w:name="_Toc24367"/>
      <w:bookmarkStart w:id="8007" w:name="_Toc29348"/>
      <w:bookmarkStart w:id="8008" w:name="_Toc14343"/>
      <w:r>
        <w:rPr>
          <w:rFonts w:hint="eastAsia"/>
        </w:rPr>
        <w:t>（一）技术措施</w:t>
      </w:r>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p>
    <w:p w14:paraId="7CF4DF9D">
      <w:pPr>
        <w:ind w:firstLine="560"/>
      </w:pPr>
      <w:r>
        <w:rPr>
          <w:rFonts w:hint="eastAsia"/>
        </w:rPr>
        <w:t>图纸下发后第一时间组织工程技术人员及作业班组长熟悉施工图纸，优化施工方案，为快速施工创造条件；制定各分部分项工程施工工艺及技术保障措施，提前做好一切施工技术准备，从而保证严格按审定的进度计划实施。</w:t>
      </w:r>
    </w:p>
    <w:p w14:paraId="55D8F49E">
      <w:pPr>
        <w:ind w:firstLine="560"/>
      </w:pPr>
      <w:r>
        <w:rPr>
          <w:rFonts w:hint="eastAsia"/>
        </w:rPr>
        <w:t>落实施工方案。在发生问题时，及时与设计、甲方、监理等相关单位沟通，根据现场实际情况，寻求妥善处理方法，遇事不托，及时解决，加快施工进度。</w:t>
      </w:r>
    </w:p>
    <w:p w14:paraId="4EB31472">
      <w:pPr>
        <w:ind w:firstLine="560"/>
      </w:pPr>
      <w:r>
        <w:rPr>
          <w:rFonts w:hint="eastAsia"/>
        </w:rPr>
        <w:t>积极引进、采用有利于保证质量、加快进度的新技术、新工艺。在保证施工质量的同时，加快施工进度。如在混凝土施工拟考虑使用成品混凝土及添加早强剂等措施，在不影响混凝土性能的前提下减少施工周期。</w:t>
      </w:r>
    </w:p>
    <w:p w14:paraId="2808C227">
      <w:pPr>
        <w:ind w:firstLine="560"/>
      </w:pPr>
      <w:r>
        <w:rPr>
          <w:rFonts w:hint="eastAsia"/>
        </w:rPr>
        <w:t>建立准确可靠的现场质量监督网络。加强质检控制，保证施工质量，做好成品保护措施，减少不必要的返工、返修，以质量保工期，加快施工进度。</w:t>
      </w:r>
    </w:p>
    <w:p w14:paraId="5BFB0801">
      <w:pPr>
        <w:ind w:firstLine="560"/>
      </w:pPr>
      <w:r>
        <w:rPr>
          <w:rFonts w:hint="eastAsia"/>
        </w:rPr>
        <w:t>施工班组人员多，所以每道工序施工前必须做好技术质量交底，制定详细而实施性强的施工方案，保证各工序顺畅衔接，减少窝工，提高效率。</w:t>
      </w:r>
    </w:p>
    <w:p w14:paraId="24E8BA4F">
      <w:pPr>
        <w:ind w:firstLine="560"/>
      </w:pPr>
      <w:r>
        <w:rPr>
          <w:rFonts w:hint="eastAsia"/>
        </w:rPr>
        <w:t>针对交叉作业多的情况，施工中统筹安排，合理安排工序之间的流水和搭接。</w:t>
      </w:r>
    </w:p>
    <w:p w14:paraId="5B305B85">
      <w:pPr>
        <w:pStyle w:val="5"/>
        <w:spacing w:before="31" w:after="31"/>
        <w:ind w:firstLine="562"/>
      </w:pPr>
      <w:bookmarkStart w:id="8009" w:name="_Toc24448"/>
      <w:bookmarkStart w:id="8010" w:name="_Toc22991"/>
      <w:bookmarkStart w:id="8011" w:name="_Toc31611"/>
      <w:bookmarkStart w:id="8012" w:name="_Toc29863"/>
      <w:bookmarkStart w:id="8013" w:name="_Toc7452"/>
      <w:bookmarkStart w:id="8014" w:name="_Toc15608"/>
      <w:bookmarkStart w:id="8015" w:name="_Toc12137"/>
      <w:bookmarkStart w:id="8016" w:name="_Toc32547"/>
      <w:bookmarkStart w:id="8017" w:name="_Toc18051"/>
      <w:bookmarkStart w:id="8018" w:name="_Toc25808"/>
      <w:bookmarkStart w:id="8019" w:name="_Toc7350"/>
      <w:bookmarkStart w:id="8020" w:name="_Toc25558"/>
      <w:bookmarkStart w:id="8021" w:name="_Toc2999"/>
      <w:bookmarkStart w:id="8022" w:name="_Toc11407"/>
      <w:bookmarkStart w:id="8023" w:name="_Toc28372"/>
      <w:bookmarkStart w:id="8024" w:name="_Toc24087"/>
      <w:bookmarkStart w:id="8025" w:name="_Toc1641"/>
      <w:bookmarkStart w:id="8026" w:name="_Toc30922"/>
      <w:bookmarkStart w:id="8027" w:name="_Toc25678"/>
      <w:bookmarkStart w:id="8028" w:name="_Toc15995"/>
      <w:bookmarkStart w:id="8029" w:name="_Toc24117"/>
      <w:bookmarkStart w:id="8030" w:name="_Toc7873"/>
      <w:bookmarkStart w:id="8031" w:name="_Toc6884"/>
      <w:bookmarkStart w:id="8032" w:name="_Toc15967"/>
      <w:bookmarkStart w:id="8033" w:name="_Toc13600"/>
      <w:bookmarkStart w:id="8034" w:name="_Toc22620"/>
      <w:bookmarkStart w:id="8035" w:name="_Toc12223"/>
      <w:bookmarkStart w:id="8036" w:name="_Toc21417"/>
      <w:bookmarkStart w:id="8037" w:name="_Toc3235"/>
      <w:bookmarkStart w:id="8038" w:name="_Toc17090"/>
      <w:bookmarkStart w:id="8039" w:name="_Toc1895"/>
      <w:bookmarkStart w:id="8040" w:name="_Toc7559"/>
      <w:bookmarkStart w:id="8041" w:name="_Toc8542"/>
      <w:bookmarkStart w:id="8042" w:name="_Toc30217"/>
      <w:bookmarkStart w:id="8043" w:name="_Toc447"/>
      <w:bookmarkStart w:id="8044" w:name="_Toc12275"/>
      <w:bookmarkStart w:id="8045" w:name="_Toc13407"/>
      <w:bookmarkStart w:id="8046" w:name="_Toc31485"/>
      <w:bookmarkStart w:id="8047" w:name="_Toc30117"/>
      <w:bookmarkStart w:id="8048" w:name="_Toc188"/>
      <w:bookmarkStart w:id="8049" w:name="_Toc14913"/>
      <w:bookmarkStart w:id="8050" w:name="_Toc27832"/>
      <w:bookmarkStart w:id="8051" w:name="_Toc749"/>
      <w:bookmarkStart w:id="8052" w:name="_Toc26261"/>
      <w:bookmarkStart w:id="8053" w:name="_Toc32025"/>
      <w:bookmarkStart w:id="8054" w:name="_Toc21597"/>
      <w:bookmarkStart w:id="8055" w:name="_Toc4184"/>
      <w:bookmarkStart w:id="8056" w:name="_Toc24424"/>
      <w:bookmarkStart w:id="8057" w:name="_Toc21132"/>
      <w:bookmarkStart w:id="8058" w:name="_Toc5388"/>
      <w:bookmarkStart w:id="8059" w:name="_Toc17087"/>
      <w:bookmarkStart w:id="8060" w:name="_Toc16382"/>
      <w:bookmarkStart w:id="8061" w:name="_Toc32453"/>
      <w:bookmarkStart w:id="8062" w:name="_Toc6231"/>
      <w:bookmarkStart w:id="8063" w:name="_Toc21987"/>
      <w:r>
        <w:rPr>
          <w:rFonts w:hint="eastAsia"/>
        </w:rPr>
        <w:t>（二）经济措施</w:t>
      </w:r>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p>
    <w:p w14:paraId="76F96A46">
      <w:pPr>
        <w:ind w:firstLine="560"/>
      </w:pPr>
      <w:r>
        <w:rPr>
          <w:rFonts w:hint="eastAsia"/>
        </w:rPr>
        <w:t>设立进度奖励基金，建立并实施有关工期和进度的奖惩制度，调动积极性。落实实现进度目标的保证资金。</w:t>
      </w:r>
    </w:p>
    <w:p w14:paraId="69330CA2">
      <w:pPr>
        <w:ind w:firstLine="560"/>
      </w:pPr>
      <w:r>
        <w:rPr>
          <w:rFonts w:hint="eastAsia"/>
        </w:rPr>
        <w:t>根据施工实际情况编制月进度报表，工程款做到专款专用，使之合理分配于人工费、材料费等各个方面，从资金上保证工作顺利进行。</w:t>
      </w:r>
    </w:p>
    <w:p w14:paraId="2FC7F9DA">
      <w:pPr>
        <w:ind w:firstLine="560"/>
      </w:pPr>
      <w:r>
        <w:rPr>
          <w:rFonts w:hint="eastAsia"/>
        </w:rPr>
        <w:t>适当延长工作时间，给予加班人员补发加班费。</w:t>
      </w:r>
    </w:p>
    <w:p w14:paraId="548D2462">
      <w:pPr>
        <w:pStyle w:val="5"/>
        <w:spacing w:before="31" w:after="31"/>
        <w:ind w:firstLine="562"/>
      </w:pPr>
      <w:bookmarkStart w:id="8064" w:name="_Toc30589"/>
      <w:bookmarkStart w:id="8065" w:name="_Toc18461"/>
      <w:bookmarkStart w:id="8066" w:name="_Toc1124"/>
      <w:bookmarkStart w:id="8067" w:name="_Toc11335"/>
      <w:bookmarkStart w:id="8068" w:name="_Toc32521"/>
      <w:bookmarkStart w:id="8069" w:name="_Toc21622"/>
      <w:bookmarkStart w:id="8070" w:name="_Toc9999"/>
      <w:bookmarkStart w:id="8071" w:name="_Toc26519"/>
      <w:bookmarkStart w:id="8072" w:name="_Toc23307"/>
      <w:bookmarkStart w:id="8073" w:name="_Toc23188"/>
      <w:bookmarkStart w:id="8074" w:name="_Toc3040"/>
      <w:bookmarkStart w:id="8075" w:name="_Toc476"/>
      <w:bookmarkStart w:id="8076" w:name="_Toc28154"/>
      <w:bookmarkStart w:id="8077" w:name="_Toc2623"/>
      <w:bookmarkStart w:id="8078" w:name="_Toc11150"/>
      <w:bookmarkStart w:id="8079" w:name="_Toc29877"/>
      <w:bookmarkStart w:id="8080" w:name="_Toc15240"/>
      <w:bookmarkStart w:id="8081" w:name="_Toc5155"/>
      <w:bookmarkStart w:id="8082" w:name="_Toc2686"/>
      <w:bookmarkStart w:id="8083" w:name="_Toc2503"/>
      <w:bookmarkStart w:id="8084" w:name="_Toc25801"/>
      <w:bookmarkStart w:id="8085" w:name="_Toc12629"/>
      <w:bookmarkStart w:id="8086" w:name="_Toc202"/>
      <w:bookmarkStart w:id="8087" w:name="_Toc1359"/>
      <w:bookmarkStart w:id="8088" w:name="_Toc3882"/>
      <w:bookmarkStart w:id="8089" w:name="_Toc17297"/>
      <w:bookmarkStart w:id="8090" w:name="_Toc29195"/>
      <w:bookmarkStart w:id="8091" w:name="_Toc24862"/>
      <w:bookmarkStart w:id="8092" w:name="_Toc24185"/>
      <w:bookmarkStart w:id="8093" w:name="_Toc7067"/>
      <w:bookmarkStart w:id="8094" w:name="_Toc27199"/>
      <w:bookmarkStart w:id="8095" w:name="_Toc8838"/>
      <w:bookmarkStart w:id="8096" w:name="_Toc23187"/>
      <w:bookmarkStart w:id="8097" w:name="_Toc12973"/>
      <w:bookmarkStart w:id="8098" w:name="_Toc364"/>
      <w:bookmarkStart w:id="8099" w:name="_Toc18640"/>
      <w:bookmarkStart w:id="8100" w:name="_Toc32001"/>
      <w:bookmarkStart w:id="8101" w:name="_Toc6307"/>
      <w:bookmarkStart w:id="8102" w:name="_Toc3958"/>
      <w:bookmarkStart w:id="8103" w:name="_Toc16256"/>
      <w:bookmarkStart w:id="8104" w:name="_Toc15660"/>
      <w:bookmarkStart w:id="8105" w:name="_Toc16116"/>
      <w:bookmarkStart w:id="8106" w:name="_Toc1454"/>
      <w:bookmarkStart w:id="8107" w:name="_Toc547"/>
      <w:bookmarkStart w:id="8108" w:name="_Toc19971"/>
      <w:bookmarkStart w:id="8109" w:name="_Toc32672"/>
      <w:bookmarkStart w:id="8110" w:name="_Toc2022"/>
      <w:bookmarkStart w:id="8111" w:name="_Toc11446"/>
      <w:bookmarkStart w:id="8112" w:name="_Toc29111"/>
      <w:bookmarkStart w:id="8113" w:name="_Toc12129"/>
      <w:bookmarkStart w:id="8114" w:name="_Toc9774"/>
      <w:bookmarkStart w:id="8115" w:name="_Toc26271"/>
      <w:bookmarkStart w:id="8116" w:name="_Toc24908"/>
      <w:r>
        <w:rPr>
          <w:rFonts w:hint="eastAsia"/>
        </w:rPr>
        <w:t>（三）组织协调措施</w:t>
      </w:r>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p>
    <w:p w14:paraId="42CDD786">
      <w:pPr>
        <w:ind w:firstLine="560"/>
      </w:pPr>
      <w:r>
        <w:rPr>
          <w:rFonts w:hint="eastAsia"/>
        </w:rPr>
        <w:t>建立进度控制工作制度。在施工中定期检查、随时监控施工过程的信息，实现连续、动态的全过程进度目标控制，对照计划，分析进度执行情况，及时调整人力、物力、资金及机械的投入量。</w:t>
      </w:r>
    </w:p>
    <w:p w14:paraId="14166BEC">
      <w:pPr>
        <w:ind w:firstLine="560"/>
      </w:pPr>
      <w:r>
        <w:rPr>
          <w:rFonts w:hint="eastAsia"/>
        </w:rPr>
        <w:t>及时总结或借鉴成功经验，不断改进和优化施工工序与程序，上下动员，齐心协力，共同把工作做到最好。</w:t>
      </w:r>
    </w:p>
    <w:p w14:paraId="38B12440">
      <w:pPr>
        <w:ind w:firstLine="560"/>
      </w:pPr>
      <w:r>
        <w:rPr>
          <w:rFonts w:hint="eastAsia"/>
        </w:rPr>
        <w:t>在图纸满足施工的前提下，采用交叉施工、流水作业、化整为零方式，从而提高施工进度。</w:t>
      </w:r>
    </w:p>
    <w:p w14:paraId="5A9EC4D6">
      <w:pPr>
        <w:ind w:firstLine="560"/>
      </w:pPr>
      <w:r>
        <w:rPr>
          <w:rFonts w:hint="eastAsia"/>
        </w:rPr>
        <w:t>坚持例会制度，针对施工中的问题研讨处理方案措施，明确各专业的施工顺序和工序交叉的交接关系及责任，全面分析施工进度情况，找出问题根源，提出调整措施，加强各专业工种之间的协调、配合及工序交接管理，保证施工顺利进行。</w:t>
      </w:r>
    </w:p>
    <w:p w14:paraId="01E67CE2">
      <w:pPr>
        <w:pStyle w:val="5"/>
        <w:spacing w:before="31" w:after="31"/>
        <w:ind w:firstLine="562"/>
      </w:pPr>
      <w:bookmarkStart w:id="8117" w:name="_Toc32399"/>
      <w:bookmarkStart w:id="8118" w:name="_Toc25673"/>
      <w:bookmarkStart w:id="8119" w:name="_Toc19329"/>
      <w:bookmarkStart w:id="8120" w:name="_Toc31174"/>
      <w:bookmarkStart w:id="8121" w:name="_Toc29896"/>
      <w:bookmarkStart w:id="8122" w:name="_Toc2487"/>
      <w:bookmarkStart w:id="8123" w:name="_Toc776"/>
      <w:bookmarkStart w:id="8124" w:name="_Toc11673"/>
      <w:bookmarkStart w:id="8125" w:name="_Toc12112"/>
      <w:bookmarkStart w:id="8126" w:name="_Toc7691"/>
      <w:bookmarkStart w:id="8127" w:name="_Toc5711"/>
      <w:bookmarkStart w:id="8128" w:name="_Toc13723"/>
      <w:bookmarkStart w:id="8129" w:name="_Toc9028"/>
      <w:bookmarkStart w:id="8130" w:name="_Toc16721"/>
      <w:bookmarkStart w:id="8131" w:name="_Toc26131"/>
      <w:bookmarkStart w:id="8132" w:name="_Toc29598"/>
      <w:bookmarkStart w:id="8133" w:name="_Toc24333"/>
      <w:bookmarkStart w:id="8134" w:name="_Toc10078"/>
      <w:bookmarkStart w:id="8135" w:name="_Toc11848"/>
      <w:bookmarkStart w:id="8136" w:name="_Toc13029"/>
      <w:bookmarkStart w:id="8137" w:name="_Toc26966"/>
      <w:bookmarkStart w:id="8138" w:name="_Toc11018"/>
      <w:bookmarkStart w:id="8139" w:name="_Toc22094"/>
      <w:bookmarkStart w:id="8140" w:name="_Toc12787"/>
      <w:bookmarkStart w:id="8141" w:name="_Toc4396"/>
      <w:bookmarkStart w:id="8142" w:name="_Toc28577"/>
      <w:bookmarkStart w:id="8143" w:name="_Toc19922"/>
      <w:bookmarkStart w:id="8144" w:name="_Toc28857"/>
      <w:bookmarkStart w:id="8145" w:name="_Toc10461"/>
      <w:bookmarkStart w:id="8146" w:name="_Toc12744"/>
      <w:bookmarkStart w:id="8147" w:name="_Toc23341"/>
      <w:bookmarkStart w:id="8148" w:name="_Toc26958"/>
      <w:bookmarkStart w:id="8149" w:name="_Toc10284"/>
      <w:bookmarkStart w:id="8150" w:name="_Toc31351"/>
      <w:bookmarkStart w:id="8151" w:name="_Toc20617"/>
      <w:bookmarkStart w:id="8152" w:name="_Toc16057"/>
      <w:bookmarkStart w:id="8153" w:name="_Toc9088"/>
      <w:bookmarkStart w:id="8154" w:name="_Toc12769"/>
      <w:bookmarkStart w:id="8155" w:name="_Toc43"/>
      <w:bookmarkStart w:id="8156" w:name="_Toc22534"/>
      <w:bookmarkStart w:id="8157" w:name="_Toc18133"/>
      <w:bookmarkStart w:id="8158" w:name="_Toc1430"/>
      <w:bookmarkStart w:id="8159" w:name="_Toc2842"/>
      <w:bookmarkStart w:id="8160" w:name="_Toc13068"/>
      <w:bookmarkStart w:id="8161" w:name="_Toc31556"/>
      <w:bookmarkStart w:id="8162" w:name="_Toc11154"/>
      <w:bookmarkStart w:id="8163" w:name="_Toc234"/>
      <w:bookmarkStart w:id="8164" w:name="_Toc22428"/>
      <w:bookmarkStart w:id="8165" w:name="_Toc22843"/>
      <w:bookmarkStart w:id="8166" w:name="_Toc25917"/>
      <w:bookmarkStart w:id="8167" w:name="_Toc19703"/>
      <w:bookmarkStart w:id="8168" w:name="_Toc11847"/>
      <w:bookmarkStart w:id="8169" w:name="_Toc8953"/>
      <w:bookmarkStart w:id="8170" w:name="_Toc20344"/>
      <w:r>
        <w:rPr>
          <w:rFonts w:hint="eastAsia"/>
        </w:rPr>
        <w:t>（四）材料保证措施</w:t>
      </w:r>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p>
    <w:p w14:paraId="3A6D3DD0">
      <w:pPr>
        <w:ind w:firstLine="560"/>
      </w:pPr>
      <w:r>
        <w:rPr>
          <w:rFonts w:hint="eastAsia"/>
        </w:rPr>
        <w:t>水泥、砂石等及早联系，据实际情况编制各项材料计划表，按计划分批进场，适应施工进度的需要，并根据计划落实各种工程材料、成品、半成品等材料货源。自购材料的采购，充分做好调查工作，落实货源，保证材料质量。</w:t>
      </w:r>
    </w:p>
    <w:p w14:paraId="61FE98DA">
      <w:pPr>
        <w:pStyle w:val="4"/>
        <w:spacing w:before="93" w:after="31"/>
      </w:pPr>
      <w:bookmarkStart w:id="8171" w:name="_Toc19186"/>
      <w:bookmarkStart w:id="8172" w:name="_Toc12743"/>
      <w:bookmarkStart w:id="8173" w:name="_Toc8322"/>
      <w:bookmarkStart w:id="8174" w:name="_Toc13997"/>
      <w:bookmarkStart w:id="8175" w:name="_Toc27095"/>
      <w:bookmarkStart w:id="8176" w:name="_Toc7514"/>
      <w:bookmarkStart w:id="8177" w:name="_Toc14178"/>
      <w:bookmarkStart w:id="8178" w:name="_Toc29611"/>
      <w:bookmarkStart w:id="8179" w:name="_Toc13318"/>
      <w:bookmarkStart w:id="8180" w:name="_Toc11347"/>
      <w:bookmarkStart w:id="8181" w:name="_Toc19693"/>
      <w:bookmarkStart w:id="8182" w:name="_Toc28268"/>
      <w:bookmarkStart w:id="8183" w:name="_Toc13950"/>
      <w:bookmarkStart w:id="8184" w:name="_Toc597"/>
      <w:bookmarkStart w:id="8185" w:name="_Toc15221"/>
      <w:bookmarkStart w:id="8186" w:name="_Toc8617"/>
      <w:bookmarkStart w:id="8187" w:name="_Toc21382"/>
      <w:bookmarkStart w:id="8188" w:name="_Toc29126"/>
      <w:bookmarkStart w:id="8189" w:name="_Toc26790"/>
      <w:bookmarkStart w:id="8190" w:name="_Toc14616"/>
      <w:bookmarkStart w:id="8191" w:name="_Toc30680"/>
      <w:bookmarkStart w:id="8192" w:name="_Toc19146"/>
      <w:bookmarkStart w:id="8193" w:name="_Toc24310"/>
      <w:bookmarkStart w:id="8194" w:name="_Toc3019"/>
      <w:bookmarkStart w:id="8195" w:name="_Toc18292"/>
      <w:bookmarkStart w:id="8196" w:name="_Toc8983"/>
      <w:bookmarkStart w:id="8197" w:name="_Toc28291"/>
      <w:bookmarkStart w:id="8198" w:name="_Toc1646"/>
      <w:bookmarkStart w:id="8199" w:name="_Toc7526"/>
      <w:bookmarkStart w:id="8200" w:name="_Toc1486"/>
      <w:bookmarkStart w:id="8201" w:name="_Toc27278"/>
      <w:bookmarkStart w:id="8202" w:name="_Toc32589"/>
      <w:bookmarkStart w:id="8203" w:name="_Toc10676"/>
      <w:bookmarkStart w:id="8204" w:name="_Toc12911"/>
      <w:bookmarkStart w:id="8205" w:name="_Toc12216"/>
      <w:bookmarkStart w:id="8206" w:name="_Toc16078"/>
      <w:bookmarkStart w:id="8207" w:name="_Toc21220"/>
      <w:bookmarkStart w:id="8208" w:name="_Toc18880"/>
      <w:bookmarkStart w:id="8209" w:name="_Toc16428"/>
      <w:bookmarkStart w:id="8210" w:name="_Toc14991"/>
      <w:bookmarkStart w:id="8211" w:name="_Toc30849"/>
      <w:bookmarkStart w:id="8212" w:name="_Toc16734"/>
      <w:bookmarkStart w:id="8213" w:name="_Toc1080"/>
      <w:bookmarkStart w:id="8214" w:name="_Toc32348"/>
      <w:bookmarkStart w:id="8215" w:name="_Toc13960"/>
      <w:bookmarkStart w:id="8216" w:name="_Toc10422"/>
      <w:bookmarkStart w:id="8217" w:name="_Toc15725"/>
      <w:bookmarkStart w:id="8218" w:name="_Toc9821"/>
      <w:bookmarkStart w:id="8219" w:name="_Toc14569"/>
      <w:bookmarkStart w:id="8220" w:name="_Toc23786"/>
      <w:bookmarkStart w:id="8221" w:name="_Toc19654"/>
      <w:bookmarkStart w:id="8222" w:name="_Toc3936"/>
      <w:bookmarkStart w:id="8223" w:name="_Toc15746"/>
      <w:bookmarkStart w:id="8224" w:name="_Toc1086"/>
      <w:bookmarkStart w:id="8225" w:name="_Toc6887"/>
      <w:bookmarkStart w:id="8226" w:name="_Toc25423"/>
      <w:bookmarkStart w:id="8227" w:name="_Toc29251"/>
      <w:bookmarkStart w:id="8228" w:name="_Toc21605"/>
      <w:r>
        <w:rPr>
          <w:rFonts w:hint="eastAsia"/>
        </w:rPr>
        <w:t>七、进度违约责任</w:t>
      </w:r>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p>
    <w:p w14:paraId="55512AE8">
      <w:pPr>
        <w:ind w:firstLine="560"/>
      </w:pPr>
      <w:r>
        <w:rPr>
          <w:rFonts w:hint="eastAsia"/>
        </w:rPr>
        <w:t>我公司一旦中标将及时编制更具体的进度计划，并依据该计划制定详细的季、月、周施工进度任务，将该任务从项目经理—项目技术负责人—各专业工长—施工班组长—工人依次下达，进度责任与有关责任人利益挂钩，以“提前有奖，拖后重罚”的原则管理，以保证工程按期完工。</w:t>
      </w:r>
    </w:p>
    <w:p w14:paraId="4BC0A7D0">
      <w:pPr>
        <w:pStyle w:val="5"/>
        <w:spacing w:before="31" w:after="31"/>
        <w:ind w:firstLine="562"/>
      </w:pPr>
      <w:bookmarkStart w:id="8229" w:name="_Toc22489"/>
      <w:bookmarkStart w:id="8230" w:name="_Toc28277"/>
      <w:bookmarkStart w:id="8231" w:name="_Toc32020"/>
      <w:bookmarkStart w:id="8232" w:name="_Toc1592"/>
      <w:bookmarkStart w:id="8233" w:name="_Toc9555"/>
      <w:bookmarkStart w:id="8234" w:name="_Toc7948"/>
      <w:bookmarkStart w:id="8235" w:name="_Toc30381"/>
      <w:bookmarkStart w:id="8236" w:name="_Toc21768"/>
      <w:bookmarkStart w:id="8237" w:name="_Toc2786"/>
      <w:bookmarkStart w:id="8238" w:name="_Toc13819"/>
      <w:bookmarkStart w:id="8239" w:name="_Toc31822"/>
      <w:bookmarkStart w:id="8240" w:name="_Toc5665"/>
      <w:bookmarkStart w:id="8241" w:name="_Toc23797"/>
      <w:bookmarkStart w:id="8242" w:name="_Toc4737"/>
      <w:bookmarkStart w:id="8243" w:name="_Toc13850"/>
      <w:bookmarkStart w:id="8244" w:name="_Toc27489"/>
      <w:bookmarkStart w:id="8245" w:name="_Toc25889"/>
      <w:bookmarkStart w:id="8246" w:name="_Toc7020"/>
      <w:bookmarkStart w:id="8247" w:name="_Toc17620"/>
      <w:bookmarkStart w:id="8248" w:name="_Toc6438"/>
      <w:bookmarkStart w:id="8249" w:name="_Toc6981"/>
      <w:bookmarkStart w:id="8250" w:name="_Toc31694"/>
      <w:bookmarkStart w:id="8251" w:name="_Toc8534"/>
      <w:bookmarkStart w:id="8252" w:name="_Toc7451"/>
      <w:bookmarkStart w:id="8253" w:name="_Toc21426"/>
      <w:bookmarkStart w:id="8254" w:name="_Toc1405"/>
      <w:bookmarkStart w:id="8255" w:name="_Toc24685"/>
      <w:bookmarkStart w:id="8256" w:name="_Toc27334"/>
      <w:bookmarkStart w:id="8257" w:name="_Toc4999"/>
      <w:bookmarkStart w:id="8258" w:name="_Toc10773"/>
      <w:bookmarkStart w:id="8259" w:name="_Toc2180"/>
      <w:bookmarkStart w:id="8260" w:name="_Toc31483"/>
      <w:bookmarkStart w:id="8261" w:name="_Toc10994"/>
      <w:bookmarkStart w:id="8262" w:name="_Toc14622"/>
      <w:bookmarkStart w:id="8263" w:name="_Toc29028"/>
      <w:bookmarkStart w:id="8264" w:name="_Toc3704"/>
      <w:bookmarkStart w:id="8265" w:name="_Toc9766"/>
      <w:bookmarkStart w:id="8266" w:name="_Toc2960"/>
      <w:bookmarkStart w:id="8267" w:name="_Toc32308"/>
      <w:bookmarkStart w:id="8268" w:name="_Toc988"/>
      <w:bookmarkStart w:id="8269" w:name="_Toc15895"/>
      <w:bookmarkStart w:id="8270" w:name="_Toc2847"/>
      <w:bookmarkStart w:id="8271" w:name="_Toc1672"/>
      <w:bookmarkStart w:id="8272" w:name="_Toc22339"/>
      <w:bookmarkStart w:id="8273" w:name="_Toc32421"/>
      <w:bookmarkStart w:id="8274" w:name="_Toc12291"/>
      <w:bookmarkStart w:id="8275" w:name="_Toc20385"/>
      <w:bookmarkStart w:id="8276" w:name="_Toc13892"/>
      <w:bookmarkStart w:id="8277" w:name="_Toc29572"/>
      <w:bookmarkStart w:id="8278" w:name="_Toc14270"/>
      <w:bookmarkStart w:id="8279" w:name="_Toc20483"/>
      <w:bookmarkStart w:id="8280" w:name="_Toc19343"/>
      <w:r>
        <w:rPr>
          <w:rFonts w:hint="eastAsia"/>
        </w:rPr>
        <w:t>（一）项目经理职责及进度违约责任</w:t>
      </w:r>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p>
    <w:p w14:paraId="6A24E104">
      <w:pPr>
        <w:ind w:firstLine="560"/>
      </w:pPr>
      <w:r>
        <w:rPr>
          <w:rFonts w:hint="eastAsia"/>
        </w:rPr>
        <w:t>（1）重点抓好工程施工组织和协调工作。</w:t>
      </w:r>
    </w:p>
    <w:p w14:paraId="5478F372">
      <w:pPr>
        <w:ind w:firstLine="560"/>
      </w:pPr>
      <w:r>
        <w:rPr>
          <w:rFonts w:hint="eastAsia"/>
        </w:rPr>
        <w:t>（2）抓好工程质量和进度，确保工程如期完成。</w:t>
      </w:r>
    </w:p>
    <w:p w14:paraId="1498A785">
      <w:pPr>
        <w:ind w:firstLine="560"/>
      </w:pPr>
      <w:r>
        <w:rPr>
          <w:rFonts w:hint="eastAsia"/>
        </w:rPr>
        <w:t>（3）抓好工程施工和生产计划，做好各项计划的协调、平衡和检查、督促工作。</w:t>
      </w:r>
    </w:p>
    <w:p w14:paraId="5F014568">
      <w:pPr>
        <w:ind w:firstLine="560"/>
      </w:pPr>
      <w:r>
        <w:rPr>
          <w:rFonts w:hint="eastAsia"/>
        </w:rPr>
        <w:t>（4）抓好工程现场机械、设备、材料等管理。</w:t>
      </w:r>
    </w:p>
    <w:p w14:paraId="1FF1C296">
      <w:pPr>
        <w:ind w:firstLine="560"/>
      </w:pPr>
      <w:r>
        <w:rPr>
          <w:rFonts w:hint="eastAsia"/>
        </w:rPr>
        <w:t>（5）抓好安全生产和文明施工管理，确保安全文明生产落实。</w:t>
      </w:r>
    </w:p>
    <w:p w14:paraId="44842C6D">
      <w:pPr>
        <w:ind w:firstLine="560"/>
      </w:pPr>
      <w:r>
        <w:rPr>
          <w:rFonts w:hint="eastAsia"/>
        </w:rPr>
        <w:t>（6）抓好施工职工的政治思想工作。</w:t>
      </w:r>
    </w:p>
    <w:p w14:paraId="365ECF3A">
      <w:pPr>
        <w:ind w:firstLine="560"/>
      </w:pPr>
      <w:r>
        <w:rPr>
          <w:rFonts w:hint="eastAsia"/>
        </w:rPr>
        <w:t>（7）完成上级交给的各项工作。</w:t>
      </w:r>
    </w:p>
    <w:p w14:paraId="1C44D7AB">
      <w:pPr>
        <w:ind w:firstLine="560"/>
      </w:pPr>
      <w:r>
        <w:rPr>
          <w:rFonts w:hint="eastAsia"/>
        </w:rPr>
        <w:t>（8）未能完成月度施工任务时责令加班赶工，每延期一日处罚2％月度工资，每提前完工一日奖励2％月度工资。由于项目经理掌控全局对整体的施工进度起到至关重要的作用，故若工程不能按期整体完工将对项目经理的整体利益处罚，最高可以处罚至项目经理利益的20％。</w:t>
      </w:r>
    </w:p>
    <w:p w14:paraId="6FC91065">
      <w:pPr>
        <w:pStyle w:val="5"/>
        <w:spacing w:before="31" w:after="31"/>
        <w:ind w:firstLine="562"/>
      </w:pPr>
      <w:bookmarkStart w:id="8281" w:name="_Toc25325"/>
      <w:bookmarkStart w:id="8282" w:name="_Toc19694"/>
      <w:bookmarkStart w:id="8283" w:name="_Toc2464"/>
      <w:bookmarkStart w:id="8284" w:name="_Toc20710"/>
      <w:bookmarkStart w:id="8285" w:name="_Toc24816"/>
      <w:bookmarkStart w:id="8286" w:name="_Toc17708"/>
      <w:bookmarkStart w:id="8287" w:name="_Toc15081"/>
      <w:bookmarkStart w:id="8288" w:name="_Toc8333"/>
      <w:bookmarkStart w:id="8289" w:name="_Toc23578"/>
      <w:bookmarkStart w:id="8290" w:name="_Toc2063"/>
      <w:bookmarkStart w:id="8291" w:name="_Toc1714"/>
      <w:bookmarkStart w:id="8292" w:name="_Toc14336"/>
      <w:bookmarkStart w:id="8293" w:name="_Toc16156"/>
      <w:bookmarkStart w:id="8294" w:name="_Toc5554"/>
      <w:bookmarkStart w:id="8295" w:name="_Toc10109"/>
      <w:bookmarkStart w:id="8296" w:name="_Toc30098"/>
      <w:bookmarkStart w:id="8297" w:name="_Toc21107"/>
      <w:bookmarkStart w:id="8298" w:name="_Toc25199"/>
      <w:bookmarkStart w:id="8299" w:name="_Toc12729"/>
      <w:bookmarkStart w:id="8300" w:name="_Toc19909"/>
      <w:bookmarkStart w:id="8301" w:name="_Toc23414"/>
      <w:bookmarkStart w:id="8302" w:name="_Toc22356"/>
      <w:bookmarkStart w:id="8303" w:name="_Toc27608"/>
      <w:bookmarkStart w:id="8304" w:name="_Toc15889"/>
      <w:bookmarkStart w:id="8305" w:name="_Toc30570"/>
      <w:bookmarkStart w:id="8306" w:name="_Toc22214"/>
      <w:bookmarkStart w:id="8307" w:name="_Toc32379"/>
      <w:bookmarkStart w:id="8308" w:name="_Toc13770"/>
      <w:bookmarkStart w:id="8309" w:name="_Toc4585"/>
      <w:bookmarkStart w:id="8310" w:name="_Toc27569"/>
      <w:bookmarkStart w:id="8311" w:name="_Toc28502"/>
      <w:bookmarkStart w:id="8312" w:name="_Toc6957"/>
      <w:bookmarkStart w:id="8313" w:name="_Toc6903"/>
      <w:bookmarkStart w:id="8314" w:name="_Toc1918"/>
      <w:bookmarkStart w:id="8315" w:name="_Toc16969"/>
      <w:bookmarkStart w:id="8316" w:name="_Toc30127"/>
      <w:bookmarkStart w:id="8317" w:name="_Toc14468"/>
      <w:bookmarkStart w:id="8318" w:name="_Toc12728"/>
      <w:bookmarkStart w:id="8319" w:name="_Toc1529"/>
      <w:bookmarkStart w:id="8320" w:name="_Toc20315"/>
      <w:bookmarkStart w:id="8321" w:name="_Toc7670"/>
      <w:bookmarkStart w:id="8322" w:name="_Toc953"/>
      <w:bookmarkStart w:id="8323" w:name="_Toc25318"/>
      <w:bookmarkStart w:id="8324" w:name="_Toc30513"/>
      <w:bookmarkStart w:id="8325" w:name="_Toc19859"/>
      <w:bookmarkStart w:id="8326" w:name="_Toc13717"/>
      <w:bookmarkStart w:id="8327" w:name="_Toc24024"/>
      <w:bookmarkStart w:id="8328" w:name="_Toc8095"/>
      <w:bookmarkStart w:id="8329" w:name="_Toc11048"/>
      <w:bookmarkStart w:id="8330" w:name="_Toc7425"/>
      <w:bookmarkStart w:id="8331" w:name="_Toc7264"/>
      <w:bookmarkStart w:id="8332" w:name="_Toc14083"/>
      <w:bookmarkStart w:id="8333" w:name="_Toc20557"/>
      <w:bookmarkStart w:id="8334" w:name="_Toc25982"/>
      <w:bookmarkStart w:id="8335" w:name="_Toc29840"/>
      <w:bookmarkStart w:id="8336" w:name="_Toc3284"/>
      <w:r>
        <w:rPr>
          <w:rFonts w:hint="eastAsia"/>
        </w:rPr>
        <w:t>（二）项目技术负责人职责及进度违约责任</w:t>
      </w:r>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p>
    <w:p w14:paraId="12A51E61">
      <w:pPr>
        <w:ind w:firstLine="560"/>
      </w:pPr>
      <w:r>
        <w:rPr>
          <w:rFonts w:hint="eastAsia"/>
        </w:rPr>
        <w:t>（1）贯彻总公司质量方针目标，监督执行国家有关技术政策、技术标准、技术规范等有关规定。</w:t>
      </w:r>
    </w:p>
    <w:p w14:paraId="4BAA66CD">
      <w:pPr>
        <w:ind w:firstLine="560"/>
      </w:pPr>
      <w:r>
        <w:rPr>
          <w:rFonts w:hint="eastAsia"/>
        </w:rPr>
        <w:t>（2）组织和协调项目部技术质量工作，下达总公司技术质量监督命令，对工程质量负技术方面责任。</w:t>
      </w:r>
    </w:p>
    <w:p w14:paraId="004AD6D8">
      <w:pPr>
        <w:ind w:firstLine="560"/>
      </w:pPr>
      <w:r>
        <w:rPr>
          <w:rFonts w:hint="eastAsia"/>
        </w:rPr>
        <w:t>（3）负责推进科技进步，采用成熟新工艺、新材料、新技术，保证工程的工期和质量。</w:t>
      </w:r>
    </w:p>
    <w:p w14:paraId="315D74AF">
      <w:pPr>
        <w:ind w:firstLine="560"/>
      </w:pPr>
      <w:r>
        <w:rPr>
          <w:rFonts w:hint="eastAsia"/>
        </w:rPr>
        <w:t>（4）主持审核施工组织设计，研究和处理施工过程中出现的重大施工技术难题，对重大质量事故提出技术鉴定和处理方案。</w:t>
      </w:r>
    </w:p>
    <w:p w14:paraId="42A51522">
      <w:pPr>
        <w:ind w:firstLine="560"/>
      </w:pPr>
      <w:r>
        <w:rPr>
          <w:rFonts w:hint="eastAsia"/>
        </w:rPr>
        <w:t>（5）未能完成月度施工任务时责令加班赶工，每延期一日处罚2％月度工资，每提前完工一日奖励2％月度工资。由于项目总工协助项目经理管理全局对整体的施工进度起到至关重要的作用，故若工程不能按期整体完工将对项目总工的整体利益处罚，最高可以处罚项目总工利益的15％。</w:t>
      </w:r>
    </w:p>
    <w:p w14:paraId="0651C484">
      <w:pPr>
        <w:pStyle w:val="5"/>
        <w:spacing w:before="31" w:after="31"/>
        <w:ind w:firstLine="562"/>
      </w:pPr>
      <w:bookmarkStart w:id="8337" w:name="_Toc32304"/>
      <w:bookmarkStart w:id="8338" w:name="_Toc10627"/>
      <w:bookmarkStart w:id="8339" w:name="_Toc24979"/>
      <w:bookmarkStart w:id="8340" w:name="_Toc23172"/>
      <w:bookmarkStart w:id="8341" w:name="_Toc16377"/>
      <w:bookmarkStart w:id="8342" w:name="_Toc1240"/>
      <w:bookmarkStart w:id="8343" w:name="_Toc25665"/>
      <w:bookmarkStart w:id="8344" w:name="_Toc32132"/>
      <w:bookmarkStart w:id="8345" w:name="_Toc16165"/>
      <w:bookmarkStart w:id="8346" w:name="_Toc10888"/>
      <w:bookmarkStart w:id="8347" w:name="_Toc5086"/>
      <w:bookmarkStart w:id="8348" w:name="_Toc3399"/>
      <w:bookmarkStart w:id="8349" w:name="_Toc30048"/>
      <w:bookmarkStart w:id="8350" w:name="_Toc19350"/>
      <w:bookmarkStart w:id="8351" w:name="_Toc26898"/>
      <w:bookmarkStart w:id="8352" w:name="_Toc1175"/>
      <w:bookmarkStart w:id="8353" w:name="_Toc6629"/>
      <w:bookmarkStart w:id="8354" w:name="_Toc16726"/>
      <w:bookmarkStart w:id="8355" w:name="_Toc8237"/>
      <w:bookmarkStart w:id="8356" w:name="_Toc5881"/>
      <w:bookmarkStart w:id="8357" w:name="_Toc23743"/>
      <w:bookmarkStart w:id="8358" w:name="_Toc13561"/>
      <w:bookmarkStart w:id="8359" w:name="_Toc22455"/>
      <w:bookmarkStart w:id="8360" w:name="_Toc17546"/>
      <w:bookmarkStart w:id="8361" w:name="_Toc407"/>
      <w:bookmarkStart w:id="8362" w:name="_Toc16276"/>
      <w:bookmarkStart w:id="8363" w:name="_Toc9777"/>
      <w:bookmarkStart w:id="8364" w:name="_Toc23398"/>
      <w:bookmarkStart w:id="8365" w:name="_Toc22947"/>
      <w:bookmarkStart w:id="8366" w:name="_Toc20156"/>
      <w:bookmarkStart w:id="8367" w:name="_Toc4677"/>
      <w:bookmarkStart w:id="8368" w:name="_Toc15800"/>
      <w:bookmarkStart w:id="8369" w:name="_Toc23775"/>
      <w:bookmarkStart w:id="8370" w:name="_Toc11866"/>
      <w:bookmarkStart w:id="8371" w:name="_Toc11067"/>
      <w:bookmarkStart w:id="8372" w:name="_Toc3927"/>
      <w:bookmarkStart w:id="8373" w:name="_Toc29081"/>
      <w:bookmarkStart w:id="8374" w:name="_Toc2108"/>
      <w:bookmarkStart w:id="8375" w:name="_Toc26157"/>
      <w:bookmarkStart w:id="8376" w:name="_Toc5276"/>
      <w:bookmarkStart w:id="8377" w:name="_Toc29969"/>
      <w:bookmarkStart w:id="8378" w:name="_Toc3456"/>
      <w:bookmarkStart w:id="8379" w:name="_Toc16942"/>
      <w:bookmarkStart w:id="8380" w:name="_Toc26143"/>
      <w:bookmarkStart w:id="8381" w:name="_Toc30960"/>
      <w:bookmarkStart w:id="8382" w:name="_Toc7181"/>
      <w:bookmarkStart w:id="8383" w:name="_Toc13572"/>
      <w:bookmarkStart w:id="8384" w:name="_Toc26256"/>
      <w:bookmarkStart w:id="8385" w:name="_Toc22396"/>
      <w:bookmarkStart w:id="8386" w:name="_Toc14681"/>
      <w:bookmarkStart w:id="8387" w:name="_Toc26578"/>
      <w:bookmarkStart w:id="8388" w:name="_Toc12965"/>
      <w:r>
        <w:rPr>
          <w:rFonts w:hint="eastAsia"/>
        </w:rPr>
        <w:t>（三）各专业工长职责及进度违约责任</w:t>
      </w:r>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p>
    <w:p w14:paraId="21A28F91">
      <w:pPr>
        <w:ind w:firstLine="560"/>
      </w:pPr>
      <w:r>
        <w:rPr>
          <w:rFonts w:hint="eastAsia"/>
        </w:rPr>
        <w:t>（1）熟悉施工图纸，了解工作章程，按图施工，按章工作，抓好进度、质量、安全。</w:t>
      </w:r>
    </w:p>
    <w:p w14:paraId="21259FB0">
      <w:pPr>
        <w:ind w:firstLine="560"/>
      </w:pPr>
      <w:r>
        <w:rPr>
          <w:rFonts w:hint="eastAsia"/>
        </w:rPr>
        <w:t>（2）编制安排分段、分组进度计划。</w:t>
      </w:r>
    </w:p>
    <w:p w14:paraId="5D5A66C1">
      <w:pPr>
        <w:ind w:firstLine="560"/>
      </w:pPr>
      <w:r>
        <w:rPr>
          <w:rFonts w:hint="eastAsia"/>
        </w:rPr>
        <w:t>（3）在总工程师指导下，具体处理工程进行中的问题。</w:t>
      </w:r>
    </w:p>
    <w:p w14:paraId="7131D95B">
      <w:pPr>
        <w:ind w:firstLine="560"/>
      </w:pPr>
      <w:r>
        <w:rPr>
          <w:rFonts w:hint="eastAsia"/>
        </w:rPr>
        <w:t>（4）负责工程技术交底，工程变更设计联系单，记好施工日记。</w:t>
      </w:r>
    </w:p>
    <w:p w14:paraId="68403F14">
      <w:pPr>
        <w:ind w:firstLine="560"/>
      </w:pPr>
      <w:r>
        <w:rPr>
          <w:rFonts w:hint="eastAsia"/>
        </w:rPr>
        <w:t>（5）协调各工种交叉施工，填写物料需求计划。</w:t>
      </w:r>
    </w:p>
    <w:p w14:paraId="592CFF97">
      <w:pPr>
        <w:ind w:firstLine="560"/>
      </w:pPr>
      <w:r>
        <w:rPr>
          <w:rFonts w:hint="eastAsia"/>
        </w:rPr>
        <w:t>（6）会同质量员，及时做好工序的自检工作。</w:t>
      </w:r>
    </w:p>
    <w:p w14:paraId="16826548">
      <w:pPr>
        <w:ind w:firstLine="560"/>
      </w:pPr>
      <w:r>
        <w:rPr>
          <w:rFonts w:hint="eastAsia"/>
        </w:rPr>
        <w:t>（7）完成项目经理、工程师交办的各项工作。</w:t>
      </w:r>
    </w:p>
    <w:p w14:paraId="157E8353">
      <w:pPr>
        <w:ind w:firstLine="560"/>
      </w:pPr>
      <w:r>
        <w:rPr>
          <w:rFonts w:hint="eastAsia"/>
        </w:rPr>
        <w:t>（8）未能完成月度施工任务时责令加班赶工，每延期一日处罚2％月度工资，每提前完工一日奖励2％月度工资。由于管理工长协助工程部科长管理全局对整体的施工进度起到至关重要的作用，故若工程不能按期整体完工将对管理工长的整体利益处罚，最高可以处罚管理工长利益的10％。</w:t>
      </w:r>
    </w:p>
    <w:p w14:paraId="1E76CA34">
      <w:pPr>
        <w:pStyle w:val="5"/>
        <w:spacing w:before="31" w:after="31"/>
        <w:ind w:firstLine="562"/>
      </w:pPr>
      <w:bookmarkStart w:id="8389" w:name="_Toc23372"/>
      <w:bookmarkStart w:id="8390" w:name="_Toc27943"/>
      <w:bookmarkStart w:id="8391" w:name="_Toc24754"/>
      <w:bookmarkStart w:id="8392" w:name="_Toc7834"/>
      <w:bookmarkStart w:id="8393" w:name="_Toc19838"/>
      <w:bookmarkStart w:id="8394" w:name="_Toc4932"/>
      <w:bookmarkStart w:id="8395" w:name="_Toc9465"/>
      <w:bookmarkStart w:id="8396" w:name="_Toc7675"/>
      <w:bookmarkStart w:id="8397" w:name="_Toc20107"/>
      <w:bookmarkStart w:id="8398" w:name="_Toc28215"/>
      <w:bookmarkStart w:id="8399" w:name="_Toc20767"/>
      <w:bookmarkStart w:id="8400" w:name="_Toc31771"/>
      <w:bookmarkStart w:id="8401" w:name="_Toc22885"/>
      <w:bookmarkStart w:id="8402" w:name="_Toc13868"/>
      <w:bookmarkStart w:id="8403" w:name="_Toc28469"/>
      <w:bookmarkStart w:id="8404" w:name="_Toc9715"/>
      <w:bookmarkStart w:id="8405" w:name="_Toc7836"/>
      <w:bookmarkStart w:id="8406" w:name="_Toc19691"/>
      <w:bookmarkStart w:id="8407" w:name="_Toc5205"/>
      <w:bookmarkStart w:id="8408" w:name="_Toc6844"/>
      <w:bookmarkStart w:id="8409" w:name="_Toc18989"/>
      <w:bookmarkStart w:id="8410" w:name="_Toc10380"/>
      <w:bookmarkStart w:id="8411" w:name="_Toc30778"/>
      <w:bookmarkStart w:id="8412" w:name="_Toc18606"/>
      <w:bookmarkStart w:id="8413" w:name="_Toc21470"/>
      <w:bookmarkStart w:id="8414" w:name="_Toc3205"/>
      <w:bookmarkStart w:id="8415" w:name="_Toc24614"/>
      <w:bookmarkStart w:id="8416" w:name="_Toc21019"/>
      <w:bookmarkStart w:id="8417" w:name="_Toc29508"/>
      <w:bookmarkStart w:id="8418" w:name="_Toc18794"/>
      <w:bookmarkStart w:id="8419" w:name="_Toc5082"/>
      <w:bookmarkStart w:id="8420" w:name="_Toc25313"/>
      <w:bookmarkStart w:id="8421" w:name="_Toc20806"/>
      <w:bookmarkStart w:id="8422" w:name="_Toc3295"/>
      <w:bookmarkStart w:id="8423" w:name="_Toc2519"/>
      <w:bookmarkStart w:id="8424" w:name="_Toc14216"/>
      <w:bookmarkStart w:id="8425" w:name="_Toc31212"/>
      <w:bookmarkStart w:id="8426" w:name="_Toc14646"/>
      <w:bookmarkStart w:id="8427" w:name="_Toc18893"/>
      <w:bookmarkStart w:id="8428" w:name="_Toc12227"/>
      <w:bookmarkStart w:id="8429" w:name="_Toc7467"/>
      <w:bookmarkStart w:id="8430" w:name="_Toc32662"/>
      <w:bookmarkStart w:id="8431" w:name="_Toc9358"/>
      <w:bookmarkStart w:id="8432" w:name="_Toc6252"/>
      <w:bookmarkStart w:id="8433" w:name="_Toc9942"/>
      <w:bookmarkStart w:id="8434" w:name="_Toc21823"/>
      <w:bookmarkStart w:id="8435" w:name="_Toc22501"/>
      <w:bookmarkStart w:id="8436" w:name="_Toc19063"/>
      <w:bookmarkStart w:id="8437" w:name="_Toc1298"/>
      <w:bookmarkStart w:id="8438" w:name="_Toc5484"/>
      <w:bookmarkStart w:id="8439" w:name="_Toc25353"/>
      <w:bookmarkStart w:id="8440" w:name="_Toc9745"/>
      <w:bookmarkStart w:id="8441" w:name="_Toc32211"/>
      <w:bookmarkStart w:id="8442" w:name="_Toc20395"/>
      <w:r>
        <w:rPr>
          <w:rFonts w:hint="eastAsia"/>
        </w:rPr>
        <w:t>（四）施工班组长职责及进度违约责任</w:t>
      </w:r>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p>
    <w:p w14:paraId="1A9A71BE">
      <w:pPr>
        <w:ind w:firstLine="560"/>
      </w:pPr>
      <w:r>
        <w:rPr>
          <w:rFonts w:hint="eastAsia"/>
        </w:rPr>
        <w:t>（1）熟悉施工图纸，了解工作章程，按图施工，按章工作，抓好进度、质量、安全。</w:t>
      </w:r>
    </w:p>
    <w:p w14:paraId="0D395C82">
      <w:pPr>
        <w:ind w:firstLine="560"/>
      </w:pPr>
      <w:r>
        <w:rPr>
          <w:rFonts w:hint="eastAsia"/>
        </w:rPr>
        <w:t>（2）编制安排工人分段、分组施工。</w:t>
      </w:r>
    </w:p>
    <w:p w14:paraId="616DC76D">
      <w:pPr>
        <w:ind w:firstLine="560"/>
      </w:pPr>
      <w:r>
        <w:rPr>
          <w:rFonts w:hint="eastAsia"/>
        </w:rPr>
        <w:t>（3）在工程部管理工长指导下，具体处理工程进行中的问题。</w:t>
      </w:r>
    </w:p>
    <w:p w14:paraId="7980E9B8">
      <w:pPr>
        <w:ind w:firstLine="560"/>
      </w:pPr>
      <w:r>
        <w:rPr>
          <w:rFonts w:hint="eastAsia"/>
        </w:rPr>
        <w:t>（4）负责对工人的工程技术交底，记好施工班组日记。</w:t>
      </w:r>
    </w:p>
    <w:p w14:paraId="29C41441">
      <w:pPr>
        <w:ind w:firstLine="560"/>
      </w:pPr>
      <w:r>
        <w:rPr>
          <w:rFonts w:hint="eastAsia"/>
        </w:rPr>
        <w:t>（5）协调各工人施工，协助工长填写物料需求计划。</w:t>
      </w:r>
    </w:p>
    <w:p w14:paraId="2E763D66">
      <w:pPr>
        <w:ind w:firstLine="560"/>
      </w:pPr>
      <w:r>
        <w:rPr>
          <w:rFonts w:hint="eastAsia"/>
        </w:rPr>
        <w:t>（6）会同质量员，及时做好工序的自检工作。</w:t>
      </w:r>
    </w:p>
    <w:p w14:paraId="0E10465B">
      <w:pPr>
        <w:ind w:firstLine="560"/>
      </w:pPr>
      <w:r>
        <w:rPr>
          <w:rFonts w:hint="eastAsia"/>
        </w:rPr>
        <w:t>（7）完成工程部管理工长交办的各项工作。</w:t>
      </w:r>
    </w:p>
    <w:p w14:paraId="37B06EBE">
      <w:pPr>
        <w:ind w:firstLine="560"/>
      </w:pPr>
      <w:r>
        <w:rPr>
          <w:rFonts w:hint="eastAsia"/>
        </w:rPr>
        <w:t>（8）未能完成月度施工任务时责令加班赶工，每延期一日处罚2％月度工资，每提前完工一日奖励2％月度工资。</w:t>
      </w:r>
    </w:p>
    <w:p w14:paraId="7730CE12">
      <w:pPr>
        <w:pStyle w:val="5"/>
        <w:spacing w:before="31" w:after="31"/>
        <w:ind w:firstLine="562"/>
      </w:pPr>
      <w:bookmarkStart w:id="8443" w:name="_Toc15045"/>
      <w:bookmarkStart w:id="8444" w:name="_Toc27716"/>
      <w:bookmarkStart w:id="8445" w:name="_Toc10747"/>
      <w:bookmarkStart w:id="8446" w:name="_Toc2239"/>
      <w:bookmarkStart w:id="8447" w:name="_Toc32175"/>
      <w:bookmarkStart w:id="8448" w:name="_Toc8970"/>
      <w:bookmarkStart w:id="8449" w:name="_Toc20130"/>
      <w:bookmarkStart w:id="8450" w:name="_Toc11739"/>
      <w:bookmarkStart w:id="8451" w:name="_Toc16405"/>
      <w:bookmarkStart w:id="8452" w:name="_Toc30690"/>
      <w:bookmarkStart w:id="8453" w:name="_Toc29374"/>
      <w:bookmarkStart w:id="8454" w:name="_Toc10435"/>
      <w:bookmarkStart w:id="8455" w:name="_Toc16010"/>
      <w:bookmarkStart w:id="8456" w:name="_Toc21814"/>
      <w:bookmarkStart w:id="8457" w:name="_Toc22933"/>
      <w:bookmarkStart w:id="8458" w:name="_Toc23024"/>
      <w:bookmarkStart w:id="8459" w:name="_Toc11158"/>
      <w:bookmarkStart w:id="8460" w:name="_Toc2218"/>
      <w:bookmarkStart w:id="8461" w:name="_Toc3762"/>
      <w:bookmarkStart w:id="8462" w:name="_Toc11957"/>
      <w:bookmarkStart w:id="8463" w:name="_Toc17422"/>
      <w:bookmarkStart w:id="8464" w:name="_Toc16080"/>
      <w:bookmarkStart w:id="8465" w:name="_Toc18001"/>
      <w:bookmarkStart w:id="8466" w:name="_Toc6931"/>
      <w:bookmarkStart w:id="8467" w:name="_Toc31736"/>
      <w:bookmarkStart w:id="8468" w:name="_Toc2392"/>
      <w:bookmarkStart w:id="8469" w:name="_Toc26385"/>
      <w:bookmarkStart w:id="8470" w:name="_Toc23785"/>
      <w:bookmarkStart w:id="8471" w:name="_Toc3301"/>
      <w:bookmarkStart w:id="8472" w:name="_Toc4570"/>
      <w:bookmarkStart w:id="8473" w:name="_Toc24539"/>
      <w:bookmarkStart w:id="8474" w:name="_Toc19385"/>
      <w:bookmarkStart w:id="8475" w:name="_Toc29210"/>
      <w:bookmarkStart w:id="8476" w:name="_Toc11644"/>
      <w:bookmarkStart w:id="8477" w:name="_Toc5469"/>
      <w:bookmarkStart w:id="8478" w:name="_Toc26592"/>
      <w:bookmarkStart w:id="8479" w:name="_Toc8448"/>
      <w:bookmarkStart w:id="8480" w:name="_Toc14070"/>
      <w:bookmarkStart w:id="8481" w:name="_Toc15410"/>
      <w:bookmarkStart w:id="8482" w:name="_Toc25848"/>
      <w:bookmarkStart w:id="8483" w:name="_Toc18255"/>
      <w:bookmarkStart w:id="8484" w:name="_Toc8515"/>
      <w:bookmarkStart w:id="8485" w:name="_Toc2477"/>
      <w:bookmarkStart w:id="8486" w:name="_Toc19391"/>
      <w:bookmarkStart w:id="8487" w:name="_Toc24373"/>
      <w:bookmarkStart w:id="8488" w:name="_Toc949"/>
      <w:bookmarkStart w:id="8489" w:name="_Toc22794"/>
      <w:bookmarkStart w:id="8490" w:name="_Toc7383"/>
      <w:bookmarkStart w:id="8491" w:name="_Toc29801"/>
      <w:bookmarkStart w:id="8492" w:name="_Toc6622"/>
      <w:bookmarkStart w:id="8493" w:name="_Toc27231"/>
      <w:bookmarkStart w:id="8494" w:name="_Toc28235"/>
      <w:bookmarkStart w:id="8495" w:name="_Toc11094"/>
      <w:bookmarkStart w:id="8496" w:name="_Toc21044"/>
      <w:r>
        <w:rPr>
          <w:rFonts w:hint="eastAsia"/>
        </w:rPr>
        <w:t>（五）进度违约责任承诺</w:t>
      </w:r>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p>
    <w:p w14:paraId="0A98A031">
      <w:pPr>
        <w:ind w:firstLine="560"/>
      </w:pPr>
      <w:r>
        <w:rPr>
          <w:rFonts w:hint="eastAsia"/>
        </w:rPr>
        <w:t>我公司一旦中标将及时与业主签订施工合同，并将更具体的施工进度计划呈给监理工程师审批。我司将按已审批的进度计划严格施工，在正常的施工条件下保证按时按进度完成本工程，并随时接受业主及监理的监督，一旦我司未能按时按进度完成本工程愿接受业主按合同及招标文件的要求进行处罚。</w:t>
      </w:r>
    </w:p>
    <w:p w14:paraId="73FC36CB">
      <w:pPr>
        <w:pStyle w:val="3"/>
      </w:pPr>
      <w:bookmarkStart w:id="8497" w:name="_Toc23996"/>
      <w:bookmarkStart w:id="8498" w:name="_Toc18377"/>
      <w:bookmarkStart w:id="8499" w:name="_Toc18415"/>
      <w:bookmarkStart w:id="8500" w:name="_Toc30811"/>
      <w:r>
        <w:rPr>
          <w:rFonts w:hint="eastAsia"/>
        </w:rPr>
        <w:t>第四节、</w:t>
      </w:r>
      <w:r>
        <w:t>人员管理</w:t>
      </w:r>
      <w:bookmarkEnd w:id="8497"/>
      <w:bookmarkEnd w:id="8498"/>
      <w:bookmarkEnd w:id="8499"/>
      <w:bookmarkEnd w:id="8500"/>
    </w:p>
    <w:p w14:paraId="2C05827C">
      <w:pPr>
        <w:pStyle w:val="4"/>
        <w:spacing w:before="93" w:after="31"/>
      </w:pPr>
      <w:bookmarkStart w:id="8501" w:name="_Toc22201"/>
      <w:bookmarkStart w:id="8502" w:name="_Toc31755"/>
      <w:bookmarkStart w:id="8503" w:name="_Toc18509"/>
      <w:bookmarkStart w:id="8504" w:name="_Toc18928"/>
      <w:bookmarkStart w:id="8505" w:name="_Toc5325"/>
      <w:bookmarkStart w:id="8506" w:name="_Toc24339"/>
      <w:bookmarkStart w:id="8507" w:name="_Toc16543"/>
      <w:bookmarkStart w:id="8508" w:name="_Toc9204"/>
      <w:bookmarkStart w:id="8509" w:name="_Toc29696"/>
      <w:bookmarkStart w:id="8510" w:name="_Toc2121"/>
      <w:bookmarkStart w:id="8511" w:name="_Toc6729"/>
      <w:bookmarkStart w:id="8512" w:name="_Toc3339"/>
      <w:bookmarkStart w:id="8513" w:name="_Toc7219"/>
      <w:bookmarkStart w:id="8514" w:name="_Toc1761"/>
      <w:bookmarkStart w:id="8515" w:name="_Toc27246"/>
      <w:bookmarkStart w:id="8516" w:name="_Toc24678"/>
      <w:bookmarkStart w:id="8517" w:name="_Toc17507"/>
      <w:bookmarkStart w:id="8518" w:name="_Toc6566"/>
      <w:bookmarkStart w:id="8519" w:name="_Toc27230"/>
      <w:bookmarkStart w:id="8520" w:name="_Toc19285"/>
      <w:bookmarkStart w:id="8521" w:name="_Toc29037"/>
      <w:bookmarkStart w:id="8522" w:name="_Toc23822"/>
      <w:bookmarkStart w:id="8523" w:name="_Toc25859"/>
      <w:bookmarkStart w:id="8524" w:name="_Toc10329"/>
      <w:bookmarkStart w:id="8525" w:name="_Toc19446"/>
      <w:bookmarkStart w:id="8526" w:name="_Toc24036"/>
      <w:bookmarkStart w:id="8527" w:name="_Toc32067"/>
      <w:bookmarkStart w:id="8528" w:name="_Toc8600"/>
      <w:bookmarkStart w:id="8529" w:name="_Toc14756"/>
      <w:bookmarkStart w:id="8530" w:name="_Toc5543"/>
      <w:bookmarkStart w:id="8531" w:name="_Toc11508"/>
      <w:bookmarkStart w:id="8532" w:name="_Toc1241"/>
      <w:r>
        <w:rPr>
          <w:rFonts w:hint="eastAsia"/>
        </w:rPr>
        <w:t>一、劳动力投入计划</w:t>
      </w:r>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p>
    <w:p w14:paraId="44DE08E7">
      <w:pPr>
        <w:pStyle w:val="5"/>
        <w:spacing w:before="31" w:after="31"/>
        <w:ind w:firstLine="562"/>
      </w:pPr>
      <w:bookmarkStart w:id="8533" w:name="_Toc13098"/>
      <w:bookmarkStart w:id="8534" w:name="_Toc13966"/>
      <w:bookmarkStart w:id="8535" w:name="_Toc24107"/>
      <w:bookmarkStart w:id="8536" w:name="_Toc21353"/>
      <w:bookmarkStart w:id="8537" w:name="_Toc6051"/>
      <w:bookmarkStart w:id="8538" w:name="_Toc13434"/>
      <w:bookmarkStart w:id="8539" w:name="_Toc2612"/>
      <w:bookmarkStart w:id="8540" w:name="_Toc18502"/>
      <w:bookmarkStart w:id="8541" w:name="_Toc24877"/>
      <w:bookmarkStart w:id="8542" w:name="_Toc10721"/>
      <w:bookmarkStart w:id="8543" w:name="_Toc960"/>
      <w:bookmarkStart w:id="8544" w:name="_Toc4039"/>
      <w:bookmarkStart w:id="8545" w:name="_Toc21255"/>
      <w:bookmarkStart w:id="8546" w:name="_Toc19926"/>
      <w:bookmarkStart w:id="8547" w:name="_Toc26146"/>
      <w:bookmarkStart w:id="8548" w:name="_Toc17870"/>
      <w:bookmarkStart w:id="8549" w:name="_Toc24418"/>
      <w:bookmarkStart w:id="8550" w:name="_Toc29862"/>
      <w:bookmarkStart w:id="8551" w:name="_Toc8404"/>
      <w:bookmarkStart w:id="8552" w:name="_Toc14437"/>
      <w:bookmarkStart w:id="8553" w:name="_Toc13499"/>
      <w:bookmarkStart w:id="8554" w:name="_Toc17070"/>
      <w:bookmarkStart w:id="8555" w:name="_Toc20796"/>
      <w:bookmarkStart w:id="8556" w:name="_Toc9216"/>
      <w:bookmarkStart w:id="8557" w:name="_Toc5541"/>
      <w:bookmarkStart w:id="8558" w:name="_Toc13537"/>
      <w:bookmarkStart w:id="8559" w:name="_Toc32043"/>
      <w:bookmarkStart w:id="8560" w:name="_Toc16844"/>
      <w:bookmarkStart w:id="8561" w:name="_Toc31761"/>
      <w:bookmarkStart w:id="8562" w:name="_Toc6854"/>
      <w:bookmarkStart w:id="8563" w:name="_Toc25222"/>
      <w:bookmarkStart w:id="8564" w:name="_Toc20898"/>
      <w:bookmarkStart w:id="8565" w:name="_Toc19197"/>
      <w:bookmarkStart w:id="8566" w:name="_Toc17165"/>
      <w:bookmarkStart w:id="8567" w:name="_Toc7592"/>
      <w:bookmarkStart w:id="8568" w:name="_Toc31047"/>
      <w:bookmarkStart w:id="8569" w:name="_Toc15299"/>
      <w:bookmarkStart w:id="8570" w:name="_Toc2365"/>
      <w:bookmarkStart w:id="8571" w:name="_Toc26560"/>
      <w:bookmarkStart w:id="8572" w:name="_Toc13957"/>
      <w:bookmarkStart w:id="8573" w:name="_Toc5352"/>
      <w:bookmarkStart w:id="8574" w:name="_Toc29100"/>
      <w:bookmarkStart w:id="8575" w:name="_Toc9727"/>
      <w:bookmarkStart w:id="8576" w:name="_Toc176"/>
      <w:bookmarkStart w:id="8577" w:name="_Toc27951"/>
      <w:bookmarkStart w:id="8578" w:name="_Toc28663"/>
      <w:bookmarkStart w:id="8579" w:name="_Toc16585"/>
      <w:bookmarkStart w:id="8580" w:name="_Toc4861"/>
      <w:bookmarkStart w:id="8581" w:name="_Toc6544"/>
      <w:bookmarkStart w:id="8582" w:name="_Toc6596"/>
      <w:bookmarkStart w:id="8583" w:name="_Toc18147"/>
      <w:bookmarkStart w:id="8584" w:name="_Toc6774"/>
      <w:bookmarkStart w:id="8585" w:name="_Toc19624"/>
      <w:bookmarkStart w:id="8586" w:name="_Toc170"/>
      <w:bookmarkStart w:id="8587" w:name="_Toc7336"/>
      <w:r>
        <w:rPr>
          <w:rFonts w:hint="eastAsia"/>
        </w:rPr>
        <w:t>（一）劳动力计划表</w:t>
      </w:r>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0"/>
        <w:gridCol w:w="1322"/>
        <w:gridCol w:w="1331"/>
        <w:gridCol w:w="1331"/>
        <w:gridCol w:w="1331"/>
        <w:gridCol w:w="1331"/>
        <w:gridCol w:w="1331"/>
        <w:gridCol w:w="1371"/>
      </w:tblGrid>
      <w:tr w14:paraId="16C12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Merge w:val="restart"/>
            <w:shd w:val="clear" w:color="auto" w:fill="auto"/>
            <w:vAlign w:val="center"/>
          </w:tcPr>
          <w:p w14:paraId="6A194BC6">
            <w:pPr>
              <w:pStyle w:val="18"/>
              <w:rPr>
                <w:lang w:val="en-US"/>
              </w:rPr>
            </w:pPr>
            <w:r>
              <w:rPr>
                <w:rFonts w:hint="eastAsia"/>
                <w:lang w:val="en-US"/>
              </w:rPr>
              <w:t>工种</w:t>
            </w:r>
          </w:p>
        </w:tc>
        <w:tc>
          <w:tcPr>
            <w:tcW w:w="4376" w:type="pct"/>
            <w:gridSpan w:val="7"/>
            <w:shd w:val="clear" w:color="auto" w:fill="auto"/>
            <w:vAlign w:val="center"/>
          </w:tcPr>
          <w:p w14:paraId="716592B8">
            <w:pPr>
              <w:pStyle w:val="18"/>
              <w:rPr>
                <w:lang w:val="en-US"/>
              </w:rPr>
            </w:pPr>
            <w:r>
              <w:rPr>
                <w:rFonts w:hint="eastAsia"/>
                <w:lang w:val="en-US"/>
              </w:rPr>
              <w:t>按工程施工阶段投入劳动力情况</w:t>
            </w:r>
          </w:p>
        </w:tc>
      </w:tr>
      <w:tr w14:paraId="4EC5D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Merge w:val="continue"/>
            <w:shd w:val="clear" w:color="auto" w:fill="auto"/>
            <w:vAlign w:val="center"/>
          </w:tcPr>
          <w:p w14:paraId="03025128">
            <w:pPr>
              <w:pStyle w:val="18"/>
            </w:pPr>
          </w:p>
        </w:tc>
        <w:tc>
          <w:tcPr>
            <w:tcW w:w="619" w:type="pct"/>
            <w:shd w:val="clear" w:color="auto" w:fill="auto"/>
            <w:vAlign w:val="center"/>
          </w:tcPr>
          <w:p w14:paraId="7C6F1B64">
            <w:pPr>
              <w:pStyle w:val="18"/>
              <w:rPr>
                <w:lang w:val="en-US"/>
              </w:rPr>
            </w:pPr>
            <w:r>
              <w:rPr>
                <w:rFonts w:hint="eastAsia"/>
                <w:lang w:val="en-US"/>
              </w:rPr>
              <w:t>施工</w:t>
            </w:r>
          </w:p>
          <w:p w14:paraId="1FEF39E0">
            <w:pPr>
              <w:pStyle w:val="18"/>
              <w:rPr>
                <w:lang w:val="en-US"/>
              </w:rPr>
            </w:pPr>
            <w:r>
              <w:rPr>
                <w:rFonts w:hint="eastAsia"/>
                <w:lang w:val="en-US"/>
              </w:rPr>
              <w:t>准备</w:t>
            </w:r>
          </w:p>
        </w:tc>
        <w:tc>
          <w:tcPr>
            <w:tcW w:w="623" w:type="pct"/>
            <w:shd w:val="clear" w:color="auto" w:fill="auto"/>
            <w:vAlign w:val="center"/>
          </w:tcPr>
          <w:p w14:paraId="56C30F3F">
            <w:pPr>
              <w:pStyle w:val="18"/>
              <w:rPr>
                <w:lang w:val="en-US"/>
              </w:rPr>
            </w:pPr>
            <w:r>
              <w:rPr>
                <w:rFonts w:hint="eastAsia"/>
                <w:lang w:val="en-US"/>
              </w:rPr>
              <w:t>土方</w:t>
            </w:r>
          </w:p>
          <w:p w14:paraId="0294C484">
            <w:pPr>
              <w:pStyle w:val="18"/>
              <w:rPr>
                <w:lang w:val="en-US"/>
              </w:rPr>
            </w:pPr>
            <w:r>
              <w:rPr>
                <w:rFonts w:hint="eastAsia"/>
                <w:lang w:val="en-US"/>
              </w:rPr>
              <w:t>工程</w:t>
            </w:r>
          </w:p>
          <w:p w14:paraId="0DD65D49">
            <w:pPr>
              <w:pStyle w:val="18"/>
              <w:rPr>
                <w:lang w:val="en-US"/>
              </w:rPr>
            </w:pPr>
            <w:r>
              <w:rPr>
                <w:rFonts w:hint="eastAsia"/>
                <w:lang w:val="en-US"/>
              </w:rPr>
              <w:t>施工</w:t>
            </w:r>
          </w:p>
        </w:tc>
        <w:tc>
          <w:tcPr>
            <w:tcW w:w="623" w:type="pct"/>
            <w:shd w:val="clear" w:color="auto" w:fill="auto"/>
            <w:vAlign w:val="center"/>
          </w:tcPr>
          <w:p w14:paraId="738A0F2D">
            <w:pPr>
              <w:pStyle w:val="18"/>
              <w:rPr>
                <w:lang w:val="en-US"/>
              </w:rPr>
            </w:pPr>
            <w:r>
              <w:rPr>
                <w:rFonts w:hint="eastAsia"/>
                <w:lang w:val="en-US"/>
              </w:rPr>
              <w:t>供水</w:t>
            </w:r>
          </w:p>
          <w:p w14:paraId="67D0252E">
            <w:pPr>
              <w:pStyle w:val="18"/>
              <w:rPr>
                <w:lang w:val="en-US"/>
              </w:rPr>
            </w:pPr>
            <w:r>
              <w:rPr>
                <w:rFonts w:hint="eastAsia"/>
                <w:lang w:val="en-US"/>
              </w:rPr>
              <w:t>管道</w:t>
            </w:r>
          </w:p>
          <w:p w14:paraId="51A523F5">
            <w:pPr>
              <w:pStyle w:val="18"/>
              <w:rPr>
                <w:lang w:val="en-US"/>
              </w:rPr>
            </w:pPr>
            <w:r>
              <w:rPr>
                <w:rFonts w:hint="eastAsia"/>
                <w:lang w:val="en-US"/>
              </w:rPr>
              <w:t>施工</w:t>
            </w:r>
          </w:p>
        </w:tc>
        <w:tc>
          <w:tcPr>
            <w:tcW w:w="623" w:type="pct"/>
            <w:shd w:val="clear" w:color="auto" w:fill="auto"/>
            <w:vAlign w:val="center"/>
          </w:tcPr>
          <w:p w14:paraId="065E9C2D">
            <w:pPr>
              <w:pStyle w:val="18"/>
              <w:rPr>
                <w:lang w:val="en-US"/>
              </w:rPr>
            </w:pPr>
            <w:r>
              <w:rPr>
                <w:rFonts w:hint="eastAsia"/>
                <w:lang w:val="en-US"/>
              </w:rPr>
              <w:t>管件</w:t>
            </w:r>
          </w:p>
          <w:p w14:paraId="43E20126">
            <w:pPr>
              <w:pStyle w:val="18"/>
              <w:rPr>
                <w:lang w:val="en-US"/>
              </w:rPr>
            </w:pPr>
            <w:r>
              <w:rPr>
                <w:rFonts w:hint="eastAsia"/>
                <w:lang w:val="en-US"/>
              </w:rPr>
              <w:t>安装</w:t>
            </w:r>
          </w:p>
          <w:p w14:paraId="09CD880F">
            <w:pPr>
              <w:pStyle w:val="18"/>
              <w:rPr>
                <w:lang w:val="en-US"/>
              </w:rPr>
            </w:pPr>
            <w:r>
              <w:rPr>
                <w:rFonts w:hint="eastAsia"/>
                <w:lang w:val="en-US"/>
              </w:rPr>
              <w:t>施工</w:t>
            </w:r>
          </w:p>
        </w:tc>
        <w:tc>
          <w:tcPr>
            <w:tcW w:w="623" w:type="pct"/>
            <w:shd w:val="clear" w:color="auto" w:fill="auto"/>
            <w:vAlign w:val="center"/>
          </w:tcPr>
          <w:p w14:paraId="60082DC0">
            <w:pPr>
              <w:pStyle w:val="18"/>
              <w:rPr>
                <w:lang w:val="en-US"/>
              </w:rPr>
            </w:pPr>
            <w:r>
              <w:rPr>
                <w:rFonts w:hint="eastAsia"/>
                <w:lang w:val="en-US"/>
              </w:rPr>
              <w:t>消毒</w:t>
            </w:r>
          </w:p>
          <w:p w14:paraId="3949B4D2">
            <w:pPr>
              <w:pStyle w:val="18"/>
              <w:rPr>
                <w:lang w:val="en-US"/>
              </w:rPr>
            </w:pPr>
            <w:r>
              <w:rPr>
                <w:rFonts w:hint="eastAsia"/>
                <w:lang w:val="en-US"/>
              </w:rPr>
              <w:t>试压</w:t>
            </w:r>
          </w:p>
          <w:p w14:paraId="36F671CA">
            <w:pPr>
              <w:pStyle w:val="18"/>
              <w:rPr>
                <w:lang w:val="en-US"/>
              </w:rPr>
            </w:pPr>
            <w:r>
              <w:rPr>
                <w:rFonts w:hint="eastAsia"/>
                <w:lang w:val="en-US"/>
              </w:rPr>
              <w:t>施工</w:t>
            </w:r>
          </w:p>
        </w:tc>
        <w:tc>
          <w:tcPr>
            <w:tcW w:w="623" w:type="pct"/>
            <w:shd w:val="clear" w:color="auto" w:fill="auto"/>
            <w:vAlign w:val="center"/>
          </w:tcPr>
          <w:p w14:paraId="2E97D795">
            <w:pPr>
              <w:pStyle w:val="18"/>
              <w:rPr>
                <w:lang w:val="en-US"/>
              </w:rPr>
            </w:pPr>
            <w:r>
              <w:rPr>
                <w:rFonts w:hint="eastAsia"/>
                <w:lang w:val="en-US"/>
              </w:rPr>
              <w:t>道路</w:t>
            </w:r>
          </w:p>
          <w:p w14:paraId="033F3CF7">
            <w:pPr>
              <w:pStyle w:val="18"/>
              <w:rPr>
                <w:lang w:val="en-US"/>
              </w:rPr>
            </w:pPr>
            <w:r>
              <w:rPr>
                <w:rFonts w:hint="eastAsia"/>
                <w:lang w:val="en-US"/>
              </w:rPr>
              <w:t>绿化</w:t>
            </w:r>
          </w:p>
          <w:p w14:paraId="46C8E905">
            <w:pPr>
              <w:pStyle w:val="18"/>
              <w:rPr>
                <w:lang w:val="en-US"/>
              </w:rPr>
            </w:pPr>
            <w:r>
              <w:rPr>
                <w:rFonts w:hint="eastAsia"/>
                <w:lang w:val="en-US"/>
              </w:rPr>
              <w:t>恢复</w:t>
            </w:r>
          </w:p>
        </w:tc>
        <w:tc>
          <w:tcPr>
            <w:tcW w:w="640" w:type="pct"/>
            <w:shd w:val="clear" w:color="auto" w:fill="auto"/>
            <w:vAlign w:val="center"/>
          </w:tcPr>
          <w:p w14:paraId="72DEAB10">
            <w:pPr>
              <w:pStyle w:val="18"/>
              <w:rPr>
                <w:lang w:val="en-US"/>
              </w:rPr>
            </w:pPr>
            <w:r>
              <w:rPr>
                <w:rFonts w:hint="eastAsia"/>
                <w:lang w:val="en-US"/>
              </w:rPr>
              <w:t>竣工</w:t>
            </w:r>
          </w:p>
          <w:p w14:paraId="14628A91">
            <w:pPr>
              <w:pStyle w:val="18"/>
              <w:rPr>
                <w:lang w:val="en-US"/>
              </w:rPr>
            </w:pPr>
            <w:r>
              <w:rPr>
                <w:rFonts w:hint="eastAsia"/>
                <w:lang w:val="en-US"/>
              </w:rPr>
              <w:t>验收</w:t>
            </w:r>
          </w:p>
        </w:tc>
      </w:tr>
      <w:tr w14:paraId="737B9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145E1B47">
            <w:pPr>
              <w:pStyle w:val="18"/>
              <w:rPr>
                <w:lang w:val="en-US"/>
              </w:rPr>
            </w:pPr>
            <w:r>
              <w:rPr>
                <w:rFonts w:hint="eastAsia"/>
                <w:lang w:val="en-US"/>
              </w:rPr>
              <w:t>普工</w:t>
            </w:r>
          </w:p>
        </w:tc>
        <w:tc>
          <w:tcPr>
            <w:tcW w:w="619" w:type="pct"/>
            <w:shd w:val="clear" w:color="auto" w:fill="auto"/>
            <w:vAlign w:val="center"/>
          </w:tcPr>
          <w:p w14:paraId="2FE14488">
            <w:pPr>
              <w:pStyle w:val="18"/>
              <w:rPr>
                <w:lang w:val="en-US"/>
              </w:rPr>
            </w:pPr>
            <w:r>
              <w:rPr>
                <w:rFonts w:hint="eastAsia"/>
                <w:lang w:val="en-US"/>
              </w:rPr>
              <w:t>20</w:t>
            </w:r>
          </w:p>
        </w:tc>
        <w:tc>
          <w:tcPr>
            <w:tcW w:w="623" w:type="pct"/>
            <w:shd w:val="clear" w:color="auto" w:fill="auto"/>
            <w:vAlign w:val="center"/>
          </w:tcPr>
          <w:p w14:paraId="413DE4C1">
            <w:pPr>
              <w:pStyle w:val="18"/>
              <w:rPr>
                <w:lang w:val="en-US"/>
              </w:rPr>
            </w:pPr>
            <w:r>
              <w:rPr>
                <w:rFonts w:hint="eastAsia"/>
                <w:lang w:val="en-US"/>
              </w:rPr>
              <w:t>30</w:t>
            </w:r>
          </w:p>
        </w:tc>
        <w:tc>
          <w:tcPr>
            <w:tcW w:w="623" w:type="pct"/>
            <w:shd w:val="clear" w:color="auto" w:fill="auto"/>
            <w:vAlign w:val="center"/>
          </w:tcPr>
          <w:p w14:paraId="74EC95DE">
            <w:pPr>
              <w:pStyle w:val="18"/>
              <w:rPr>
                <w:lang w:val="en-US"/>
              </w:rPr>
            </w:pPr>
            <w:r>
              <w:rPr>
                <w:rFonts w:hint="eastAsia"/>
                <w:lang w:val="en-US"/>
              </w:rPr>
              <w:t>35</w:t>
            </w:r>
          </w:p>
        </w:tc>
        <w:tc>
          <w:tcPr>
            <w:tcW w:w="623" w:type="pct"/>
            <w:shd w:val="clear" w:color="auto" w:fill="auto"/>
            <w:vAlign w:val="center"/>
          </w:tcPr>
          <w:p w14:paraId="79CEAD8C">
            <w:pPr>
              <w:pStyle w:val="18"/>
              <w:rPr>
                <w:lang w:val="en-US"/>
              </w:rPr>
            </w:pPr>
            <w:r>
              <w:rPr>
                <w:rFonts w:hint="eastAsia"/>
                <w:lang w:val="en-US"/>
              </w:rPr>
              <w:t>30</w:t>
            </w:r>
          </w:p>
        </w:tc>
        <w:tc>
          <w:tcPr>
            <w:tcW w:w="623" w:type="pct"/>
            <w:shd w:val="clear" w:color="auto" w:fill="auto"/>
            <w:vAlign w:val="center"/>
          </w:tcPr>
          <w:p w14:paraId="0DB3B949">
            <w:pPr>
              <w:pStyle w:val="18"/>
              <w:rPr>
                <w:lang w:val="en-US"/>
              </w:rPr>
            </w:pPr>
            <w:r>
              <w:rPr>
                <w:rFonts w:hint="eastAsia"/>
                <w:lang w:val="en-US"/>
              </w:rPr>
              <w:t>30</w:t>
            </w:r>
          </w:p>
        </w:tc>
        <w:tc>
          <w:tcPr>
            <w:tcW w:w="623" w:type="pct"/>
            <w:shd w:val="clear" w:color="auto" w:fill="auto"/>
            <w:vAlign w:val="center"/>
          </w:tcPr>
          <w:p w14:paraId="56267B14">
            <w:pPr>
              <w:pStyle w:val="18"/>
              <w:rPr>
                <w:lang w:val="en-US"/>
              </w:rPr>
            </w:pPr>
            <w:r>
              <w:rPr>
                <w:rFonts w:hint="eastAsia"/>
                <w:lang w:val="en-US"/>
              </w:rPr>
              <w:t>30</w:t>
            </w:r>
          </w:p>
        </w:tc>
        <w:tc>
          <w:tcPr>
            <w:tcW w:w="640" w:type="pct"/>
            <w:shd w:val="clear" w:color="auto" w:fill="auto"/>
            <w:vAlign w:val="center"/>
          </w:tcPr>
          <w:p w14:paraId="5749A26C">
            <w:pPr>
              <w:pStyle w:val="18"/>
              <w:rPr>
                <w:lang w:val="en-US"/>
              </w:rPr>
            </w:pPr>
            <w:r>
              <w:rPr>
                <w:rFonts w:hint="eastAsia"/>
                <w:lang w:val="en-US"/>
              </w:rPr>
              <w:t>20</w:t>
            </w:r>
          </w:p>
        </w:tc>
      </w:tr>
      <w:tr w14:paraId="100BF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59116DBE">
            <w:pPr>
              <w:pStyle w:val="18"/>
              <w:rPr>
                <w:lang w:val="en-US"/>
              </w:rPr>
            </w:pPr>
            <w:r>
              <w:rPr>
                <w:rFonts w:hint="eastAsia"/>
                <w:lang w:val="en-US"/>
              </w:rPr>
              <w:t>钢筋工</w:t>
            </w:r>
          </w:p>
        </w:tc>
        <w:tc>
          <w:tcPr>
            <w:tcW w:w="619" w:type="pct"/>
            <w:shd w:val="clear" w:color="auto" w:fill="auto"/>
            <w:vAlign w:val="center"/>
          </w:tcPr>
          <w:p w14:paraId="57093823">
            <w:pPr>
              <w:pStyle w:val="18"/>
              <w:rPr>
                <w:lang w:val="en-US"/>
              </w:rPr>
            </w:pPr>
            <w:r>
              <w:rPr>
                <w:rFonts w:hint="eastAsia"/>
                <w:lang w:val="en-US"/>
              </w:rPr>
              <w:t>10</w:t>
            </w:r>
          </w:p>
        </w:tc>
        <w:tc>
          <w:tcPr>
            <w:tcW w:w="623" w:type="pct"/>
            <w:shd w:val="clear" w:color="auto" w:fill="auto"/>
            <w:vAlign w:val="center"/>
          </w:tcPr>
          <w:p w14:paraId="74FEFC38">
            <w:pPr>
              <w:pStyle w:val="18"/>
              <w:rPr>
                <w:lang w:val="en-US"/>
              </w:rPr>
            </w:pPr>
            <w:r>
              <w:rPr>
                <w:rFonts w:hint="eastAsia"/>
                <w:lang w:val="en-US"/>
              </w:rPr>
              <w:t>20</w:t>
            </w:r>
          </w:p>
        </w:tc>
        <w:tc>
          <w:tcPr>
            <w:tcW w:w="623" w:type="pct"/>
            <w:shd w:val="clear" w:color="auto" w:fill="auto"/>
            <w:vAlign w:val="center"/>
          </w:tcPr>
          <w:p w14:paraId="647E6EC4">
            <w:pPr>
              <w:pStyle w:val="18"/>
              <w:rPr>
                <w:lang w:val="en-US"/>
              </w:rPr>
            </w:pPr>
            <w:r>
              <w:rPr>
                <w:rFonts w:hint="eastAsia"/>
                <w:lang w:val="en-US"/>
              </w:rPr>
              <w:t>25</w:t>
            </w:r>
          </w:p>
        </w:tc>
        <w:tc>
          <w:tcPr>
            <w:tcW w:w="623" w:type="pct"/>
            <w:shd w:val="clear" w:color="auto" w:fill="auto"/>
            <w:vAlign w:val="center"/>
          </w:tcPr>
          <w:p w14:paraId="7AFB3620">
            <w:pPr>
              <w:pStyle w:val="18"/>
              <w:rPr>
                <w:lang w:val="en-US"/>
              </w:rPr>
            </w:pPr>
            <w:r>
              <w:rPr>
                <w:rFonts w:hint="eastAsia"/>
                <w:lang w:val="en-US"/>
              </w:rPr>
              <w:t>15</w:t>
            </w:r>
          </w:p>
        </w:tc>
        <w:tc>
          <w:tcPr>
            <w:tcW w:w="623" w:type="pct"/>
            <w:shd w:val="clear" w:color="auto" w:fill="auto"/>
            <w:vAlign w:val="center"/>
          </w:tcPr>
          <w:p w14:paraId="35C1390C">
            <w:pPr>
              <w:pStyle w:val="18"/>
              <w:rPr>
                <w:lang w:val="en-US"/>
              </w:rPr>
            </w:pPr>
            <w:r>
              <w:rPr>
                <w:rFonts w:hint="eastAsia"/>
                <w:lang w:val="en-US"/>
              </w:rPr>
              <w:t>20</w:t>
            </w:r>
          </w:p>
        </w:tc>
        <w:tc>
          <w:tcPr>
            <w:tcW w:w="623" w:type="pct"/>
            <w:shd w:val="clear" w:color="auto" w:fill="auto"/>
            <w:vAlign w:val="center"/>
          </w:tcPr>
          <w:p w14:paraId="25CB3D30">
            <w:pPr>
              <w:pStyle w:val="18"/>
              <w:rPr>
                <w:lang w:val="en-US"/>
              </w:rPr>
            </w:pPr>
            <w:r>
              <w:rPr>
                <w:rFonts w:hint="eastAsia"/>
                <w:lang w:val="en-US"/>
              </w:rPr>
              <w:t>10</w:t>
            </w:r>
          </w:p>
        </w:tc>
        <w:tc>
          <w:tcPr>
            <w:tcW w:w="640" w:type="pct"/>
            <w:shd w:val="clear" w:color="auto" w:fill="auto"/>
            <w:vAlign w:val="center"/>
          </w:tcPr>
          <w:p w14:paraId="7B277973">
            <w:pPr>
              <w:pStyle w:val="18"/>
              <w:rPr>
                <w:lang w:val="en-US"/>
              </w:rPr>
            </w:pPr>
            <w:r>
              <w:rPr>
                <w:rFonts w:hint="eastAsia"/>
                <w:lang w:val="en-US"/>
              </w:rPr>
              <w:t>10</w:t>
            </w:r>
          </w:p>
        </w:tc>
      </w:tr>
      <w:tr w14:paraId="0D1FC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315D4DF7">
            <w:pPr>
              <w:pStyle w:val="18"/>
              <w:rPr>
                <w:lang w:val="en-US"/>
              </w:rPr>
            </w:pPr>
            <w:r>
              <w:rPr>
                <w:rFonts w:hint="eastAsia"/>
                <w:lang w:val="en-US"/>
              </w:rPr>
              <w:t>模板工</w:t>
            </w:r>
          </w:p>
        </w:tc>
        <w:tc>
          <w:tcPr>
            <w:tcW w:w="619" w:type="pct"/>
            <w:shd w:val="clear" w:color="auto" w:fill="auto"/>
            <w:vAlign w:val="center"/>
          </w:tcPr>
          <w:p w14:paraId="7B724EDA">
            <w:pPr>
              <w:pStyle w:val="18"/>
              <w:rPr>
                <w:lang w:val="en-US"/>
              </w:rPr>
            </w:pPr>
            <w:r>
              <w:rPr>
                <w:rFonts w:hint="eastAsia"/>
                <w:lang w:val="en-US"/>
              </w:rPr>
              <w:t>10</w:t>
            </w:r>
          </w:p>
        </w:tc>
        <w:tc>
          <w:tcPr>
            <w:tcW w:w="623" w:type="pct"/>
            <w:shd w:val="clear" w:color="auto" w:fill="auto"/>
            <w:vAlign w:val="center"/>
          </w:tcPr>
          <w:p w14:paraId="67CFE3B1">
            <w:pPr>
              <w:pStyle w:val="18"/>
              <w:rPr>
                <w:lang w:val="en-US"/>
              </w:rPr>
            </w:pPr>
            <w:r>
              <w:rPr>
                <w:rFonts w:hint="eastAsia"/>
                <w:lang w:val="en-US"/>
              </w:rPr>
              <w:t>20</w:t>
            </w:r>
          </w:p>
        </w:tc>
        <w:tc>
          <w:tcPr>
            <w:tcW w:w="623" w:type="pct"/>
            <w:shd w:val="clear" w:color="auto" w:fill="auto"/>
            <w:vAlign w:val="center"/>
          </w:tcPr>
          <w:p w14:paraId="7E271DC9">
            <w:pPr>
              <w:pStyle w:val="18"/>
              <w:rPr>
                <w:lang w:val="en-US"/>
              </w:rPr>
            </w:pPr>
            <w:r>
              <w:rPr>
                <w:rFonts w:hint="eastAsia"/>
                <w:lang w:val="en-US"/>
              </w:rPr>
              <w:t>25</w:t>
            </w:r>
          </w:p>
        </w:tc>
        <w:tc>
          <w:tcPr>
            <w:tcW w:w="623" w:type="pct"/>
            <w:shd w:val="clear" w:color="auto" w:fill="auto"/>
            <w:vAlign w:val="center"/>
          </w:tcPr>
          <w:p w14:paraId="76D59363">
            <w:pPr>
              <w:pStyle w:val="18"/>
              <w:rPr>
                <w:lang w:val="en-US"/>
              </w:rPr>
            </w:pPr>
            <w:r>
              <w:rPr>
                <w:rFonts w:hint="eastAsia"/>
                <w:lang w:val="en-US"/>
              </w:rPr>
              <w:t>15</w:t>
            </w:r>
          </w:p>
        </w:tc>
        <w:tc>
          <w:tcPr>
            <w:tcW w:w="623" w:type="pct"/>
            <w:shd w:val="clear" w:color="auto" w:fill="auto"/>
            <w:vAlign w:val="center"/>
          </w:tcPr>
          <w:p w14:paraId="3C79D91C">
            <w:pPr>
              <w:pStyle w:val="18"/>
              <w:rPr>
                <w:lang w:val="en-US"/>
              </w:rPr>
            </w:pPr>
            <w:r>
              <w:rPr>
                <w:rFonts w:hint="eastAsia"/>
                <w:lang w:val="en-US"/>
              </w:rPr>
              <w:t>20</w:t>
            </w:r>
          </w:p>
        </w:tc>
        <w:tc>
          <w:tcPr>
            <w:tcW w:w="623" w:type="pct"/>
            <w:shd w:val="clear" w:color="auto" w:fill="auto"/>
            <w:vAlign w:val="center"/>
          </w:tcPr>
          <w:p w14:paraId="77487843">
            <w:pPr>
              <w:pStyle w:val="18"/>
              <w:rPr>
                <w:lang w:val="en-US"/>
              </w:rPr>
            </w:pPr>
            <w:r>
              <w:rPr>
                <w:rFonts w:hint="eastAsia"/>
                <w:lang w:val="en-US"/>
              </w:rPr>
              <w:t>10</w:t>
            </w:r>
          </w:p>
        </w:tc>
        <w:tc>
          <w:tcPr>
            <w:tcW w:w="640" w:type="pct"/>
            <w:shd w:val="clear" w:color="auto" w:fill="auto"/>
            <w:vAlign w:val="center"/>
          </w:tcPr>
          <w:p w14:paraId="09FA1AA6">
            <w:pPr>
              <w:pStyle w:val="18"/>
              <w:rPr>
                <w:lang w:val="en-US"/>
              </w:rPr>
            </w:pPr>
            <w:r>
              <w:rPr>
                <w:rFonts w:hint="eastAsia"/>
                <w:lang w:val="en-US"/>
              </w:rPr>
              <w:t>10</w:t>
            </w:r>
          </w:p>
        </w:tc>
      </w:tr>
      <w:tr w14:paraId="07DF3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33D3EFB6">
            <w:pPr>
              <w:pStyle w:val="18"/>
              <w:rPr>
                <w:lang w:val="en-US"/>
              </w:rPr>
            </w:pPr>
            <w:r>
              <w:rPr>
                <w:rFonts w:hint="eastAsia"/>
                <w:lang w:val="en-US"/>
              </w:rPr>
              <w:t>砼工</w:t>
            </w:r>
          </w:p>
        </w:tc>
        <w:tc>
          <w:tcPr>
            <w:tcW w:w="619" w:type="pct"/>
            <w:shd w:val="clear" w:color="auto" w:fill="auto"/>
            <w:vAlign w:val="center"/>
          </w:tcPr>
          <w:p w14:paraId="4E4A7957">
            <w:pPr>
              <w:pStyle w:val="18"/>
              <w:rPr>
                <w:lang w:val="en-US"/>
              </w:rPr>
            </w:pPr>
            <w:r>
              <w:rPr>
                <w:rFonts w:hint="eastAsia"/>
                <w:lang w:val="en-US"/>
              </w:rPr>
              <w:t>10</w:t>
            </w:r>
          </w:p>
        </w:tc>
        <w:tc>
          <w:tcPr>
            <w:tcW w:w="623" w:type="pct"/>
            <w:shd w:val="clear" w:color="auto" w:fill="auto"/>
            <w:vAlign w:val="center"/>
          </w:tcPr>
          <w:p w14:paraId="483CD9B4">
            <w:pPr>
              <w:pStyle w:val="18"/>
              <w:rPr>
                <w:lang w:val="en-US"/>
              </w:rPr>
            </w:pPr>
            <w:r>
              <w:rPr>
                <w:rFonts w:hint="eastAsia"/>
                <w:lang w:val="en-US"/>
              </w:rPr>
              <w:t>20</w:t>
            </w:r>
          </w:p>
        </w:tc>
        <w:tc>
          <w:tcPr>
            <w:tcW w:w="623" w:type="pct"/>
            <w:shd w:val="clear" w:color="auto" w:fill="auto"/>
            <w:vAlign w:val="center"/>
          </w:tcPr>
          <w:p w14:paraId="2AA6BD7A">
            <w:pPr>
              <w:pStyle w:val="18"/>
              <w:rPr>
                <w:lang w:val="en-US"/>
              </w:rPr>
            </w:pPr>
            <w:r>
              <w:rPr>
                <w:rFonts w:hint="eastAsia"/>
                <w:lang w:val="en-US"/>
              </w:rPr>
              <w:t>25</w:t>
            </w:r>
          </w:p>
        </w:tc>
        <w:tc>
          <w:tcPr>
            <w:tcW w:w="623" w:type="pct"/>
            <w:shd w:val="clear" w:color="auto" w:fill="auto"/>
            <w:vAlign w:val="center"/>
          </w:tcPr>
          <w:p w14:paraId="196495D2">
            <w:pPr>
              <w:pStyle w:val="18"/>
              <w:rPr>
                <w:lang w:val="en-US"/>
              </w:rPr>
            </w:pPr>
            <w:r>
              <w:rPr>
                <w:rFonts w:hint="eastAsia"/>
                <w:lang w:val="en-US"/>
              </w:rPr>
              <w:t>15</w:t>
            </w:r>
          </w:p>
        </w:tc>
        <w:tc>
          <w:tcPr>
            <w:tcW w:w="623" w:type="pct"/>
            <w:shd w:val="clear" w:color="auto" w:fill="auto"/>
            <w:vAlign w:val="center"/>
          </w:tcPr>
          <w:p w14:paraId="2CCAE60E">
            <w:pPr>
              <w:pStyle w:val="18"/>
              <w:rPr>
                <w:lang w:val="en-US"/>
              </w:rPr>
            </w:pPr>
            <w:r>
              <w:rPr>
                <w:rFonts w:hint="eastAsia"/>
                <w:lang w:val="en-US"/>
              </w:rPr>
              <w:t>25</w:t>
            </w:r>
          </w:p>
        </w:tc>
        <w:tc>
          <w:tcPr>
            <w:tcW w:w="623" w:type="pct"/>
            <w:shd w:val="clear" w:color="auto" w:fill="auto"/>
            <w:vAlign w:val="center"/>
          </w:tcPr>
          <w:p w14:paraId="2547680C">
            <w:pPr>
              <w:pStyle w:val="18"/>
              <w:rPr>
                <w:lang w:val="en-US"/>
              </w:rPr>
            </w:pPr>
            <w:r>
              <w:rPr>
                <w:rFonts w:hint="eastAsia"/>
                <w:lang w:val="en-US"/>
              </w:rPr>
              <w:t>15</w:t>
            </w:r>
          </w:p>
        </w:tc>
        <w:tc>
          <w:tcPr>
            <w:tcW w:w="640" w:type="pct"/>
            <w:shd w:val="clear" w:color="auto" w:fill="auto"/>
            <w:vAlign w:val="center"/>
          </w:tcPr>
          <w:p w14:paraId="3A11CFAE">
            <w:pPr>
              <w:pStyle w:val="18"/>
              <w:rPr>
                <w:lang w:val="en-US"/>
              </w:rPr>
            </w:pPr>
            <w:r>
              <w:rPr>
                <w:rFonts w:hint="eastAsia"/>
                <w:lang w:val="en-US"/>
              </w:rPr>
              <w:t>10</w:t>
            </w:r>
          </w:p>
        </w:tc>
      </w:tr>
      <w:tr w14:paraId="70D8F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78BBEEA4">
            <w:pPr>
              <w:pStyle w:val="18"/>
              <w:rPr>
                <w:lang w:val="en-US"/>
              </w:rPr>
            </w:pPr>
            <w:r>
              <w:rPr>
                <w:rFonts w:hint="eastAsia"/>
                <w:lang w:val="en-US"/>
              </w:rPr>
              <w:t>电焊工</w:t>
            </w:r>
          </w:p>
        </w:tc>
        <w:tc>
          <w:tcPr>
            <w:tcW w:w="619" w:type="pct"/>
            <w:shd w:val="clear" w:color="auto" w:fill="auto"/>
            <w:vAlign w:val="center"/>
          </w:tcPr>
          <w:p w14:paraId="795B1DB9">
            <w:pPr>
              <w:pStyle w:val="18"/>
              <w:rPr>
                <w:lang w:val="en-US"/>
              </w:rPr>
            </w:pPr>
            <w:r>
              <w:rPr>
                <w:rFonts w:hint="eastAsia"/>
                <w:lang w:val="en-US"/>
              </w:rPr>
              <w:t>10</w:t>
            </w:r>
          </w:p>
        </w:tc>
        <w:tc>
          <w:tcPr>
            <w:tcW w:w="623" w:type="pct"/>
            <w:shd w:val="clear" w:color="auto" w:fill="auto"/>
            <w:vAlign w:val="center"/>
          </w:tcPr>
          <w:p w14:paraId="5F0F02AC">
            <w:pPr>
              <w:pStyle w:val="18"/>
              <w:rPr>
                <w:lang w:val="en-US"/>
              </w:rPr>
            </w:pPr>
            <w:r>
              <w:rPr>
                <w:rFonts w:hint="eastAsia"/>
                <w:lang w:val="en-US"/>
              </w:rPr>
              <w:t>10</w:t>
            </w:r>
          </w:p>
        </w:tc>
        <w:tc>
          <w:tcPr>
            <w:tcW w:w="623" w:type="pct"/>
            <w:shd w:val="clear" w:color="auto" w:fill="auto"/>
            <w:vAlign w:val="center"/>
          </w:tcPr>
          <w:p w14:paraId="66FCAA1C">
            <w:pPr>
              <w:pStyle w:val="18"/>
              <w:rPr>
                <w:lang w:val="en-US"/>
              </w:rPr>
            </w:pPr>
            <w:r>
              <w:rPr>
                <w:rFonts w:hint="eastAsia"/>
                <w:lang w:val="en-US"/>
              </w:rPr>
              <w:t>25</w:t>
            </w:r>
          </w:p>
        </w:tc>
        <w:tc>
          <w:tcPr>
            <w:tcW w:w="623" w:type="pct"/>
            <w:shd w:val="clear" w:color="auto" w:fill="auto"/>
            <w:vAlign w:val="center"/>
          </w:tcPr>
          <w:p w14:paraId="65F398B3">
            <w:pPr>
              <w:pStyle w:val="18"/>
              <w:rPr>
                <w:lang w:val="en-US"/>
              </w:rPr>
            </w:pPr>
            <w:r>
              <w:rPr>
                <w:rFonts w:hint="eastAsia"/>
                <w:lang w:val="en-US"/>
              </w:rPr>
              <w:t>25</w:t>
            </w:r>
          </w:p>
        </w:tc>
        <w:tc>
          <w:tcPr>
            <w:tcW w:w="623" w:type="pct"/>
            <w:shd w:val="clear" w:color="auto" w:fill="auto"/>
            <w:vAlign w:val="center"/>
          </w:tcPr>
          <w:p w14:paraId="0978BB76">
            <w:pPr>
              <w:pStyle w:val="18"/>
              <w:rPr>
                <w:lang w:val="en-US"/>
              </w:rPr>
            </w:pPr>
            <w:r>
              <w:rPr>
                <w:rFonts w:hint="eastAsia"/>
                <w:lang w:val="en-US"/>
              </w:rPr>
              <w:t>10</w:t>
            </w:r>
          </w:p>
        </w:tc>
        <w:tc>
          <w:tcPr>
            <w:tcW w:w="623" w:type="pct"/>
            <w:shd w:val="clear" w:color="auto" w:fill="auto"/>
            <w:vAlign w:val="center"/>
          </w:tcPr>
          <w:p w14:paraId="57214040">
            <w:pPr>
              <w:pStyle w:val="18"/>
              <w:rPr>
                <w:lang w:val="en-US"/>
              </w:rPr>
            </w:pPr>
            <w:r>
              <w:rPr>
                <w:rFonts w:hint="eastAsia"/>
                <w:lang w:val="en-US"/>
              </w:rPr>
              <w:t>20</w:t>
            </w:r>
          </w:p>
        </w:tc>
        <w:tc>
          <w:tcPr>
            <w:tcW w:w="640" w:type="pct"/>
            <w:shd w:val="clear" w:color="auto" w:fill="auto"/>
            <w:vAlign w:val="center"/>
          </w:tcPr>
          <w:p w14:paraId="7022AC7F">
            <w:pPr>
              <w:pStyle w:val="18"/>
              <w:rPr>
                <w:lang w:val="en-US"/>
              </w:rPr>
            </w:pPr>
            <w:r>
              <w:rPr>
                <w:rFonts w:hint="eastAsia"/>
                <w:lang w:val="en-US"/>
              </w:rPr>
              <w:t>10</w:t>
            </w:r>
          </w:p>
        </w:tc>
      </w:tr>
      <w:tr w14:paraId="21C1C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4C4B38BE">
            <w:pPr>
              <w:pStyle w:val="18"/>
              <w:rPr>
                <w:lang w:val="en-US"/>
              </w:rPr>
            </w:pPr>
            <w:r>
              <w:rPr>
                <w:rFonts w:hint="eastAsia"/>
                <w:lang w:val="en-US"/>
              </w:rPr>
              <w:t>安装工</w:t>
            </w:r>
          </w:p>
        </w:tc>
        <w:tc>
          <w:tcPr>
            <w:tcW w:w="619" w:type="pct"/>
            <w:shd w:val="clear" w:color="auto" w:fill="auto"/>
            <w:vAlign w:val="center"/>
          </w:tcPr>
          <w:p w14:paraId="09A4D9E1">
            <w:pPr>
              <w:pStyle w:val="18"/>
              <w:rPr>
                <w:lang w:val="en-US"/>
              </w:rPr>
            </w:pPr>
            <w:r>
              <w:rPr>
                <w:rFonts w:hint="eastAsia"/>
                <w:lang w:val="en-US"/>
              </w:rPr>
              <w:t>5</w:t>
            </w:r>
          </w:p>
        </w:tc>
        <w:tc>
          <w:tcPr>
            <w:tcW w:w="623" w:type="pct"/>
            <w:shd w:val="clear" w:color="auto" w:fill="auto"/>
            <w:vAlign w:val="center"/>
          </w:tcPr>
          <w:p w14:paraId="0974F1E3">
            <w:pPr>
              <w:pStyle w:val="18"/>
              <w:rPr>
                <w:lang w:val="en-US"/>
              </w:rPr>
            </w:pPr>
            <w:r>
              <w:rPr>
                <w:rFonts w:hint="eastAsia"/>
                <w:lang w:val="en-US"/>
              </w:rPr>
              <w:t>10</w:t>
            </w:r>
          </w:p>
        </w:tc>
        <w:tc>
          <w:tcPr>
            <w:tcW w:w="623" w:type="pct"/>
            <w:shd w:val="clear" w:color="auto" w:fill="auto"/>
            <w:vAlign w:val="center"/>
          </w:tcPr>
          <w:p w14:paraId="771C3137">
            <w:pPr>
              <w:pStyle w:val="18"/>
              <w:rPr>
                <w:lang w:val="en-US"/>
              </w:rPr>
            </w:pPr>
            <w:r>
              <w:rPr>
                <w:rFonts w:hint="eastAsia"/>
                <w:lang w:val="en-US"/>
              </w:rPr>
              <w:t>30</w:t>
            </w:r>
          </w:p>
        </w:tc>
        <w:tc>
          <w:tcPr>
            <w:tcW w:w="623" w:type="pct"/>
            <w:shd w:val="clear" w:color="auto" w:fill="auto"/>
            <w:vAlign w:val="center"/>
          </w:tcPr>
          <w:p w14:paraId="396A2ED6">
            <w:pPr>
              <w:pStyle w:val="18"/>
              <w:rPr>
                <w:lang w:val="en-US"/>
              </w:rPr>
            </w:pPr>
            <w:r>
              <w:rPr>
                <w:rFonts w:hint="eastAsia"/>
                <w:lang w:val="en-US"/>
              </w:rPr>
              <w:t>35</w:t>
            </w:r>
          </w:p>
        </w:tc>
        <w:tc>
          <w:tcPr>
            <w:tcW w:w="623" w:type="pct"/>
            <w:shd w:val="clear" w:color="auto" w:fill="auto"/>
            <w:vAlign w:val="center"/>
          </w:tcPr>
          <w:p w14:paraId="4BECA8A2">
            <w:pPr>
              <w:pStyle w:val="18"/>
              <w:rPr>
                <w:lang w:val="en-US"/>
              </w:rPr>
            </w:pPr>
            <w:r>
              <w:rPr>
                <w:rFonts w:hint="eastAsia"/>
                <w:lang w:val="en-US"/>
              </w:rPr>
              <w:t>10</w:t>
            </w:r>
          </w:p>
        </w:tc>
        <w:tc>
          <w:tcPr>
            <w:tcW w:w="623" w:type="pct"/>
            <w:shd w:val="clear" w:color="auto" w:fill="auto"/>
            <w:vAlign w:val="center"/>
          </w:tcPr>
          <w:p w14:paraId="43AE3F09">
            <w:pPr>
              <w:pStyle w:val="18"/>
              <w:rPr>
                <w:lang w:val="en-US"/>
              </w:rPr>
            </w:pPr>
            <w:r>
              <w:rPr>
                <w:rFonts w:hint="eastAsia"/>
                <w:lang w:val="en-US"/>
              </w:rPr>
              <w:t>20</w:t>
            </w:r>
          </w:p>
        </w:tc>
        <w:tc>
          <w:tcPr>
            <w:tcW w:w="640" w:type="pct"/>
            <w:shd w:val="clear" w:color="auto" w:fill="auto"/>
            <w:vAlign w:val="center"/>
          </w:tcPr>
          <w:p w14:paraId="4AAA6F63">
            <w:pPr>
              <w:pStyle w:val="18"/>
              <w:rPr>
                <w:lang w:val="en-US"/>
              </w:rPr>
            </w:pPr>
            <w:r>
              <w:rPr>
                <w:rFonts w:hint="eastAsia"/>
                <w:lang w:val="en-US"/>
              </w:rPr>
              <w:t>10</w:t>
            </w:r>
          </w:p>
        </w:tc>
      </w:tr>
      <w:tr w14:paraId="0D596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4D48FBE5">
            <w:pPr>
              <w:pStyle w:val="18"/>
              <w:rPr>
                <w:lang w:val="en-US"/>
              </w:rPr>
            </w:pPr>
            <w:r>
              <w:rPr>
                <w:rFonts w:hint="eastAsia"/>
                <w:lang w:val="en-US"/>
              </w:rPr>
              <w:t>管道工</w:t>
            </w:r>
          </w:p>
        </w:tc>
        <w:tc>
          <w:tcPr>
            <w:tcW w:w="619" w:type="pct"/>
            <w:shd w:val="clear" w:color="auto" w:fill="auto"/>
            <w:vAlign w:val="center"/>
          </w:tcPr>
          <w:p w14:paraId="6DEA3712">
            <w:pPr>
              <w:pStyle w:val="18"/>
              <w:rPr>
                <w:lang w:val="en-US"/>
              </w:rPr>
            </w:pPr>
            <w:r>
              <w:rPr>
                <w:rFonts w:hint="eastAsia"/>
                <w:lang w:val="en-US"/>
              </w:rPr>
              <w:t>10</w:t>
            </w:r>
          </w:p>
        </w:tc>
        <w:tc>
          <w:tcPr>
            <w:tcW w:w="623" w:type="pct"/>
            <w:shd w:val="clear" w:color="auto" w:fill="auto"/>
            <w:vAlign w:val="center"/>
          </w:tcPr>
          <w:p w14:paraId="387CDE3E">
            <w:pPr>
              <w:pStyle w:val="18"/>
              <w:rPr>
                <w:lang w:val="en-US"/>
              </w:rPr>
            </w:pPr>
            <w:r>
              <w:rPr>
                <w:rFonts w:hint="eastAsia"/>
                <w:lang w:val="en-US"/>
              </w:rPr>
              <w:t>10</w:t>
            </w:r>
          </w:p>
        </w:tc>
        <w:tc>
          <w:tcPr>
            <w:tcW w:w="623" w:type="pct"/>
            <w:shd w:val="clear" w:color="auto" w:fill="auto"/>
            <w:vAlign w:val="center"/>
          </w:tcPr>
          <w:p w14:paraId="7A61C2A6">
            <w:pPr>
              <w:pStyle w:val="18"/>
              <w:rPr>
                <w:lang w:val="en-US"/>
              </w:rPr>
            </w:pPr>
            <w:r>
              <w:rPr>
                <w:rFonts w:hint="eastAsia"/>
                <w:lang w:val="en-US"/>
              </w:rPr>
              <w:t>35</w:t>
            </w:r>
          </w:p>
        </w:tc>
        <w:tc>
          <w:tcPr>
            <w:tcW w:w="623" w:type="pct"/>
            <w:shd w:val="clear" w:color="auto" w:fill="auto"/>
            <w:vAlign w:val="center"/>
          </w:tcPr>
          <w:p w14:paraId="33FAD56F">
            <w:pPr>
              <w:pStyle w:val="18"/>
              <w:rPr>
                <w:lang w:val="en-US"/>
              </w:rPr>
            </w:pPr>
            <w:r>
              <w:rPr>
                <w:rFonts w:hint="eastAsia"/>
                <w:lang w:val="en-US"/>
              </w:rPr>
              <w:t>20</w:t>
            </w:r>
          </w:p>
        </w:tc>
        <w:tc>
          <w:tcPr>
            <w:tcW w:w="623" w:type="pct"/>
            <w:shd w:val="clear" w:color="auto" w:fill="auto"/>
            <w:vAlign w:val="center"/>
          </w:tcPr>
          <w:p w14:paraId="2C219E66">
            <w:pPr>
              <w:pStyle w:val="18"/>
              <w:rPr>
                <w:lang w:val="en-US"/>
              </w:rPr>
            </w:pPr>
            <w:r>
              <w:rPr>
                <w:rFonts w:hint="eastAsia"/>
                <w:lang w:val="en-US"/>
              </w:rPr>
              <w:t>10</w:t>
            </w:r>
          </w:p>
        </w:tc>
        <w:tc>
          <w:tcPr>
            <w:tcW w:w="623" w:type="pct"/>
            <w:shd w:val="clear" w:color="auto" w:fill="auto"/>
            <w:vAlign w:val="center"/>
          </w:tcPr>
          <w:p w14:paraId="29AF3A68">
            <w:pPr>
              <w:pStyle w:val="18"/>
              <w:rPr>
                <w:lang w:val="en-US"/>
              </w:rPr>
            </w:pPr>
            <w:r>
              <w:rPr>
                <w:rFonts w:hint="eastAsia"/>
                <w:lang w:val="en-US"/>
              </w:rPr>
              <w:t>15</w:t>
            </w:r>
          </w:p>
        </w:tc>
        <w:tc>
          <w:tcPr>
            <w:tcW w:w="640" w:type="pct"/>
            <w:shd w:val="clear" w:color="auto" w:fill="auto"/>
            <w:vAlign w:val="center"/>
          </w:tcPr>
          <w:p w14:paraId="5685292E">
            <w:pPr>
              <w:pStyle w:val="18"/>
              <w:rPr>
                <w:lang w:val="en-US"/>
              </w:rPr>
            </w:pPr>
            <w:r>
              <w:rPr>
                <w:rFonts w:hint="eastAsia"/>
                <w:lang w:val="en-US"/>
              </w:rPr>
              <w:t>5</w:t>
            </w:r>
          </w:p>
        </w:tc>
      </w:tr>
      <w:tr w14:paraId="44AE9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565E5681">
            <w:pPr>
              <w:pStyle w:val="18"/>
              <w:rPr>
                <w:lang w:val="en-US"/>
              </w:rPr>
            </w:pPr>
            <w:r>
              <w:rPr>
                <w:rFonts w:hint="eastAsia"/>
                <w:lang w:val="en-US"/>
              </w:rPr>
              <w:t>检验工</w:t>
            </w:r>
          </w:p>
        </w:tc>
        <w:tc>
          <w:tcPr>
            <w:tcW w:w="619" w:type="pct"/>
            <w:shd w:val="clear" w:color="auto" w:fill="auto"/>
            <w:vAlign w:val="center"/>
          </w:tcPr>
          <w:p w14:paraId="2FDA8DCC">
            <w:pPr>
              <w:pStyle w:val="18"/>
              <w:rPr>
                <w:lang w:val="en-US"/>
              </w:rPr>
            </w:pPr>
            <w:r>
              <w:rPr>
                <w:rFonts w:hint="eastAsia"/>
                <w:lang w:val="en-US"/>
              </w:rPr>
              <w:t>5</w:t>
            </w:r>
          </w:p>
        </w:tc>
        <w:tc>
          <w:tcPr>
            <w:tcW w:w="623" w:type="pct"/>
            <w:shd w:val="clear" w:color="auto" w:fill="auto"/>
            <w:vAlign w:val="center"/>
          </w:tcPr>
          <w:p w14:paraId="4A875A25">
            <w:pPr>
              <w:pStyle w:val="18"/>
              <w:rPr>
                <w:lang w:val="en-US"/>
              </w:rPr>
            </w:pPr>
            <w:r>
              <w:rPr>
                <w:rFonts w:hint="eastAsia"/>
                <w:lang w:val="en-US"/>
              </w:rPr>
              <w:t>10</w:t>
            </w:r>
          </w:p>
        </w:tc>
        <w:tc>
          <w:tcPr>
            <w:tcW w:w="623" w:type="pct"/>
            <w:shd w:val="clear" w:color="auto" w:fill="auto"/>
            <w:vAlign w:val="center"/>
          </w:tcPr>
          <w:p w14:paraId="22962FC7">
            <w:pPr>
              <w:pStyle w:val="18"/>
              <w:rPr>
                <w:lang w:val="en-US"/>
              </w:rPr>
            </w:pPr>
            <w:r>
              <w:rPr>
                <w:rFonts w:hint="eastAsia"/>
                <w:lang w:val="en-US"/>
              </w:rPr>
              <w:t>20</w:t>
            </w:r>
          </w:p>
        </w:tc>
        <w:tc>
          <w:tcPr>
            <w:tcW w:w="623" w:type="pct"/>
            <w:shd w:val="clear" w:color="auto" w:fill="auto"/>
            <w:vAlign w:val="center"/>
          </w:tcPr>
          <w:p w14:paraId="09293836">
            <w:pPr>
              <w:pStyle w:val="18"/>
              <w:rPr>
                <w:lang w:val="en-US"/>
              </w:rPr>
            </w:pPr>
            <w:r>
              <w:rPr>
                <w:rFonts w:hint="eastAsia"/>
                <w:lang w:val="en-US"/>
              </w:rPr>
              <w:t>15</w:t>
            </w:r>
          </w:p>
        </w:tc>
        <w:tc>
          <w:tcPr>
            <w:tcW w:w="623" w:type="pct"/>
            <w:shd w:val="clear" w:color="auto" w:fill="auto"/>
            <w:vAlign w:val="center"/>
          </w:tcPr>
          <w:p w14:paraId="5253CE32">
            <w:pPr>
              <w:pStyle w:val="18"/>
              <w:rPr>
                <w:lang w:val="en-US"/>
              </w:rPr>
            </w:pPr>
            <w:r>
              <w:rPr>
                <w:rFonts w:hint="eastAsia"/>
                <w:lang w:val="en-US"/>
              </w:rPr>
              <w:t>25</w:t>
            </w:r>
          </w:p>
        </w:tc>
        <w:tc>
          <w:tcPr>
            <w:tcW w:w="623" w:type="pct"/>
            <w:shd w:val="clear" w:color="auto" w:fill="auto"/>
            <w:vAlign w:val="center"/>
          </w:tcPr>
          <w:p w14:paraId="1340DFA3">
            <w:pPr>
              <w:pStyle w:val="18"/>
              <w:rPr>
                <w:lang w:val="en-US"/>
              </w:rPr>
            </w:pPr>
            <w:r>
              <w:rPr>
                <w:rFonts w:hint="eastAsia"/>
                <w:lang w:val="en-US"/>
              </w:rPr>
              <w:t>10</w:t>
            </w:r>
          </w:p>
        </w:tc>
        <w:tc>
          <w:tcPr>
            <w:tcW w:w="640" w:type="pct"/>
            <w:shd w:val="clear" w:color="auto" w:fill="auto"/>
            <w:vAlign w:val="center"/>
          </w:tcPr>
          <w:p w14:paraId="00D7E5F7">
            <w:pPr>
              <w:pStyle w:val="18"/>
              <w:rPr>
                <w:lang w:val="en-US"/>
              </w:rPr>
            </w:pPr>
            <w:r>
              <w:rPr>
                <w:rFonts w:hint="eastAsia"/>
                <w:lang w:val="en-US"/>
              </w:rPr>
              <w:t>5</w:t>
            </w:r>
          </w:p>
        </w:tc>
      </w:tr>
      <w:tr w14:paraId="1386A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7B4576F1">
            <w:pPr>
              <w:pStyle w:val="18"/>
              <w:rPr>
                <w:lang w:val="en-US"/>
              </w:rPr>
            </w:pPr>
            <w:r>
              <w:rPr>
                <w:rFonts w:hint="eastAsia"/>
                <w:lang w:val="en-US"/>
              </w:rPr>
              <w:t>电工</w:t>
            </w:r>
          </w:p>
        </w:tc>
        <w:tc>
          <w:tcPr>
            <w:tcW w:w="619" w:type="pct"/>
            <w:shd w:val="clear" w:color="auto" w:fill="auto"/>
            <w:vAlign w:val="center"/>
          </w:tcPr>
          <w:p w14:paraId="32AA7FEE">
            <w:pPr>
              <w:pStyle w:val="18"/>
              <w:rPr>
                <w:lang w:val="en-US"/>
              </w:rPr>
            </w:pPr>
            <w:r>
              <w:rPr>
                <w:rFonts w:hint="eastAsia"/>
                <w:lang w:val="en-US"/>
              </w:rPr>
              <w:t>5</w:t>
            </w:r>
          </w:p>
        </w:tc>
        <w:tc>
          <w:tcPr>
            <w:tcW w:w="623" w:type="pct"/>
            <w:shd w:val="clear" w:color="auto" w:fill="auto"/>
            <w:vAlign w:val="center"/>
          </w:tcPr>
          <w:p w14:paraId="29CE3FC2">
            <w:pPr>
              <w:pStyle w:val="18"/>
              <w:rPr>
                <w:lang w:val="en-US"/>
              </w:rPr>
            </w:pPr>
            <w:r>
              <w:rPr>
                <w:rFonts w:hint="eastAsia"/>
                <w:lang w:val="en-US"/>
              </w:rPr>
              <w:t>10</w:t>
            </w:r>
          </w:p>
        </w:tc>
        <w:tc>
          <w:tcPr>
            <w:tcW w:w="623" w:type="pct"/>
            <w:shd w:val="clear" w:color="auto" w:fill="auto"/>
            <w:vAlign w:val="center"/>
          </w:tcPr>
          <w:p w14:paraId="1C0014F7">
            <w:pPr>
              <w:pStyle w:val="18"/>
              <w:rPr>
                <w:lang w:val="en-US"/>
              </w:rPr>
            </w:pPr>
            <w:r>
              <w:rPr>
                <w:rFonts w:hint="eastAsia"/>
                <w:lang w:val="en-US"/>
              </w:rPr>
              <w:t>10</w:t>
            </w:r>
          </w:p>
        </w:tc>
        <w:tc>
          <w:tcPr>
            <w:tcW w:w="623" w:type="pct"/>
            <w:shd w:val="clear" w:color="auto" w:fill="auto"/>
            <w:vAlign w:val="center"/>
          </w:tcPr>
          <w:p w14:paraId="2268DE72">
            <w:pPr>
              <w:pStyle w:val="18"/>
              <w:rPr>
                <w:lang w:val="en-US"/>
              </w:rPr>
            </w:pPr>
            <w:r>
              <w:rPr>
                <w:rFonts w:hint="eastAsia"/>
                <w:lang w:val="en-US"/>
              </w:rPr>
              <w:t>10</w:t>
            </w:r>
          </w:p>
        </w:tc>
        <w:tc>
          <w:tcPr>
            <w:tcW w:w="623" w:type="pct"/>
            <w:shd w:val="clear" w:color="auto" w:fill="auto"/>
            <w:vAlign w:val="center"/>
          </w:tcPr>
          <w:p w14:paraId="13E78E3F">
            <w:pPr>
              <w:pStyle w:val="18"/>
              <w:rPr>
                <w:lang w:val="en-US"/>
              </w:rPr>
            </w:pPr>
            <w:r>
              <w:rPr>
                <w:rFonts w:hint="eastAsia"/>
                <w:lang w:val="en-US"/>
              </w:rPr>
              <w:t>10</w:t>
            </w:r>
          </w:p>
        </w:tc>
        <w:tc>
          <w:tcPr>
            <w:tcW w:w="623" w:type="pct"/>
            <w:shd w:val="clear" w:color="auto" w:fill="auto"/>
            <w:vAlign w:val="center"/>
          </w:tcPr>
          <w:p w14:paraId="6A2584C2">
            <w:pPr>
              <w:pStyle w:val="18"/>
              <w:rPr>
                <w:lang w:val="en-US"/>
              </w:rPr>
            </w:pPr>
            <w:r>
              <w:rPr>
                <w:rFonts w:hint="eastAsia"/>
                <w:lang w:val="en-US"/>
              </w:rPr>
              <w:t>10</w:t>
            </w:r>
          </w:p>
        </w:tc>
        <w:tc>
          <w:tcPr>
            <w:tcW w:w="640" w:type="pct"/>
            <w:shd w:val="clear" w:color="auto" w:fill="auto"/>
            <w:vAlign w:val="center"/>
          </w:tcPr>
          <w:p w14:paraId="560411D3">
            <w:pPr>
              <w:pStyle w:val="18"/>
              <w:rPr>
                <w:lang w:val="en-US"/>
              </w:rPr>
            </w:pPr>
            <w:r>
              <w:rPr>
                <w:rFonts w:hint="eastAsia"/>
                <w:lang w:val="en-US"/>
              </w:rPr>
              <w:t>5</w:t>
            </w:r>
          </w:p>
        </w:tc>
      </w:tr>
      <w:tr w14:paraId="7FD70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34B199A4">
            <w:pPr>
              <w:pStyle w:val="18"/>
              <w:rPr>
                <w:lang w:val="en-US"/>
              </w:rPr>
            </w:pPr>
            <w:r>
              <w:rPr>
                <w:rFonts w:hint="eastAsia"/>
                <w:lang w:val="en-US"/>
              </w:rPr>
              <w:t>机械工</w:t>
            </w:r>
          </w:p>
        </w:tc>
        <w:tc>
          <w:tcPr>
            <w:tcW w:w="619" w:type="pct"/>
            <w:shd w:val="clear" w:color="auto" w:fill="auto"/>
            <w:vAlign w:val="center"/>
          </w:tcPr>
          <w:p w14:paraId="60476566">
            <w:pPr>
              <w:pStyle w:val="18"/>
              <w:rPr>
                <w:lang w:val="en-US"/>
              </w:rPr>
            </w:pPr>
            <w:r>
              <w:rPr>
                <w:rFonts w:hint="eastAsia"/>
                <w:lang w:val="en-US"/>
              </w:rPr>
              <w:t>15</w:t>
            </w:r>
          </w:p>
        </w:tc>
        <w:tc>
          <w:tcPr>
            <w:tcW w:w="623" w:type="pct"/>
            <w:shd w:val="clear" w:color="auto" w:fill="auto"/>
            <w:vAlign w:val="center"/>
          </w:tcPr>
          <w:p w14:paraId="1740435D">
            <w:pPr>
              <w:pStyle w:val="18"/>
              <w:rPr>
                <w:lang w:val="en-US"/>
              </w:rPr>
            </w:pPr>
            <w:r>
              <w:rPr>
                <w:rFonts w:hint="eastAsia"/>
                <w:lang w:val="en-US"/>
              </w:rPr>
              <w:t>20</w:t>
            </w:r>
          </w:p>
        </w:tc>
        <w:tc>
          <w:tcPr>
            <w:tcW w:w="623" w:type="pct"/>
            <w:shd w:val="clear" w:color="auto" w:fill="auto"/>
            <w:vAlign w:val="center"/>
          </w:tcPr>
          <w:p w14:paraId="0BC66813">
            <w:pPr>
              <w:pStyle w:val="18"/>
              <w:rPr>
                <w:lang w:val="en-US"/>
              </w:rPr>
            </w:pPr>
            <w:r>
              <w:rPr>
                <w:rFonts w:hint="eastAsia"/>
                <w:lang w:val="en-US"/>
              </w:rPr>
              <w:t>25</w:t>
            </w:r>
          </w:p>
        </w:tc>
        <w:tc>
          <w:tcPr>
            <w:tcW w:w="623" w:type="pct"/>
            <w:shd w:val="clear" w:color="auto" w:fill="auto"/>
            <w:vAlign w:val="center"/>
          </w:tcPr>
          <w:p w14:paraId="78DD0006">
            <w:pPr>
              <w:pStyle w:val="18"/>
              <w:rPr>
                <w:lang w:val="en-US"/>
              </w:rPr>
            </w:pPr>
            <w:r>
              <w:rPr>
                <w:rFonts w:hint="eastAsia"/>
                <w:lang w:val="en-US"/>
              </w:rPr>
              <w:t>20</w:t>
            </w:r>
          </w:p>
        </w:tc>
        <w:tc>
          <w:tcPr>
            <w:tcW w:w="623" w:type="pct"/>
            <w:shd w:val="clear" w:color="auto" w:fill="auto"/>
            <w:vAlign w:val="center"/>
          </w:tcPr>
          <w:p w14:paraId="505E1867">
            <w:pPr>
              <w:pStyle w:val="18"/>
              <w:rPr>
                <w:lang w:val="en-US"/>
              </w:rPr>
            </w:pPr>
            <w:r>
              <w:rPr>
                <w:rFonts w:hint="eastAsia"/>
                <w:lang w:val="en-US"/>
              </w:rPr>
              <w:t>20</w:t>
            </w:r>
          </w:p>
        </w:tc>
        <w:tc>
          <w:tcPr>
            <w:tcW w:w="623" w:type="pct"/>
            <w:shd w:val="clear" w:color="auto" w:fill="auto"/>
            <w:vAlign w:val="center"/>
          </w:tcPr>
          <w:p w14:paraId="5CEECE8D">
            <w:pPr>
              <w:pStyle w:val="18"/>
              <w:rPr>
                <w:lang w:val="en-US"/>
              </w:rPr>
            </w:pPr>
            <w:r>
              <w:rPr>
                <w:rFonts w:hint="eastAsia"/>
                <w:lang w:val="en-US"/>
              </w:rPr>
              <w:t>20</w:t>
            </w:r>
          </w:p>
        </w:tc>
        <w:tc>
          <w:tcPr>
            <w:tcW w:w="640" w:type="pct"/>
            <w:shd w:val="clear" w:color="auto" w:fill="auto"/>
            <w:vAlign w:val="center"/>
          </w:tcPr>
          <w:p w14:paraId="107F65DE">
            <w:pPr>
              <w:pStyle w:val="18"/>
              <w:rPr>
                <w:lang w:val="en-US"/>
              </w:rPr>
            </w:pPr>
            <w:r>
              <w:rPr>
                <w:rFonts w:hint="eastAsia"/>
                <w:lang w:val="en-US"/>
              </w:rPr>
              <w:t>10</w:t>
            </w:r>
          </w:p>
        </w:tc>
      </w:tr>
      <w:tr w14:paraId="65A87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20E68AEC">
            <w:pPr>
              <w:pStyle w:val="18"/>
              <w:rPr>
                <w:lang w:val="en-US"/>
              </w:rPr>
            </w:pPr>
            <w:r>
              <w:rPr>
                <w:rFonts w:hint="eastAsia"/>
                <w:lang w:val="en-US"/>
              </w:rPr>
              <w:t>运输工</w:t>
            </w:r>
          </w:p>
        </w:tc>
        <w:tc>
          <w:tcPr>
            <w:tcW w:w="619" w:type="pct"/>
            <w:shd w:val="clear" w:color="auto" w:fill="auto"/>
            <w:vAlign w:val="center"/>
          </w:tcPr>
          <w:p w14:paraId="1CAC152A">
            <w:pPr>
              <w:pStyle w:val="18"/>
              <w:rPr>
                <w:lang w:val="en-US"/>
              </w:rPr>
            </w:pPr>
            <w:r>
              <w:rPr>
                <w:rFonts w:hint="eastAsia"/>
                <w:lang w:val="en-US"/>
              </w:rPr>
              <w:t>15</w:t>
            </w:r>
          </w:p>
        </w:tc>
        <w:tc>
          <w:tcPr>
            <w:tcW w:w="623" w:type="pct"/>
            <w:shd w:val="clear" w:color="auto" w:fill="auto"/>
            <w:vAlign w:val="center"/>
          </w:tcPr>
          <w:p w14:paraId="3FD1D07A">
            <w:pPr>
              <w:pStyle w:val="18"/>
              <w:rPr>
                <w:lang w:val="en-US"/>
              </w:rPr>
            </w:pPr>
            <w:r>
              <w:rPr>
                <w:rFonts w:hint="eastAsia"/>
                <w:lang w:val="en-US"/>
              </w:rPr>
              <w:t>30</w:t>
            </w:r>
          </w:p>
        </w:tc>
        <w:tc>
          <w:tcPr>
            <w:tcW w:w="623" w:type="pct"/>
            <w:shd w:val="clear" w:color="auto" w:fill="auto"/>
            <w:vAlign w:val="center"/>
          </w:tcPr>
          <w:p w14:paraId="6F63BAAE">
            <w:pPr>
              <w:pStyle w:val="18"/>
              <w:rPr>
                <w:lang w:val="en-US"/>
              </w:rPr>
            </w:pPr>
            <w:r>
              <w:rPr>
                <w:rFonts w:hint="eastAsia"/>
                <w:lang w:val="en-US"/>
              </w:rPr>
              <w:t>25</w:t>
            </w:r>
          </w:p>
        </w:tc>
        <w:tc>
          <w:tcPr>
            <w:tcW w:w="623" w:type="pct"/>
            <w:shd w:val="clear" w:color="auto" w:fill="auto"/>
            <w:vAlign w:val="center"/>
          </w:tcPr>
          <w:p w14:paraId="035A4ED6">
            <w:pPr>
              <w:pStyle w:val="18"/>
              <w:rPr>
                <w:lang w:val="en-US"/>
              </w:rPr>
            </w:pPr>
            <w:r>
              <w:rPr>
                <w:rFonts w:hint="eastAsia"/>
                <w:lang w:val="en-US"/>
              </w:rPr>
              <w:t>25</w:t>
            </w:r>
          </w:p>
        </w:tc>
        <w:tc>
          <w:tcPr>
            <w:tcW w:w="623" w:type="pct"/>
            <w:shd w:val="clear" w:color="auto" w:fill="auto"/>
            <w:vAlign w:val="center"/>
          </w:tcPr>
          <w:p w14:paraId="54306FB8">
            <w:pPr>
              <w:pStyle w:val="18"/>
              <w:rPr>
                <w:lang w:val="en-US"/>
              </w:rPr>
            </w:pPr>
            <w:r>
              <w:rPr>
                <w:rFonts w:hint="eastAsia"/>
                <w:lang w:val="en-US"/>
              </w:rPr>
              <w:t>20</w:t>
            </w:r>
          </w:p>
        </w:tc>
        <w:tc>
          <w:tcPr>
            <w:tcW w:w="623" w:type="pct"/>
            <w:shd w:val="clear" w:color="auto" w:fill="auto"/>
            <w:vAlign w:val="center"/>
          </w:tcPr>
          <w:p w14:paraId="46B5646F">
            <w:pPr>
              <w:pStyle w:val="18"/>
              <w:rPr>
                <w:lang w:val="en-US"/>
              </w:rPr>
            </w:pPr>
            <w:r>
              <w:rPr>
                <w:rFonts w:hint="eastAsia"/>
                <w:lang w:val="en-US"/>
              </w:rPr>
              <w:t>25</w:t>
            </w:r>
          </w:p>
        </w:tc>
        <w:tc>
          <w:tcPr>
            <w:tcW w:w="640" w:type="pct"/>
            <w:shd w:val="clear" w:color="auto" w:fill="auto"/>
            <w:vAlign w:val="center"/>
          </w:tcPr>
          <w:p w14:paraId="206283F3">
            <w:pPr>
              <w:pStyle w:val="18"/>
              <w:rPr>
                <w:lang w:val="en-US"/>
              </w:rPr>
            </w:pPr>
            <w:r>
              <w:rPr>
                <w:rFonts w:hint="eastAsia"/>
                <w:lang w:val="en-US"/>
              </w:rPr>
              <w:t>10</w:t>
            </w:r>
          </w:p>
        </w:tc>
      </w:tr>
      <w:tr w14:paraId="7F1F0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186554F5">
            <w:pPr>
              <w:pStyle w:val="18"/>
              <w:rPr>
                <w:lang w:val="en-US"/>
              </w:rPr>
            </w:pPr>
            <w:r>
              <w:rPr>
                <w:rFonts w:hint="eastAsia"/>
                <w:lang w:val="en-US"/>
              </w:rPr>
              <w:t>维护工</w:t>
            </w:r>
          </w:p>
        </w:tc>
        <w:tc>
          <w:tcPr>
            <w:tcW w:w="619" w:type="pct"/>
            <w:shd w:val="clear" w:color="auto" w:fill="auto"/>
            <w:vAlign w:val="center"/>
          </w:tcPr>
          <w:p w14:paraId="02858FEA">
            <w:pPr>
              <w:pStyle w:val="18"/>
              <w:rPr>
                <w:lang w:val="en-US"/>
              </w:rPr>
            </w:pPr>
            <w:r>
              <w:rPr>
                <w:rFonts w:hint="eastAsia"/>
                <w:lang w:val="en-US"/>
              </w:rPr>
              <w:t>-</w:t>
            </w:r>
          </w:p>
        </w:tc>
        <w:tc>
          <w:tcPr>
            <w:tcW w:w="623" w:type="pct"/>
            <w:shd w:val="clear" w:color="auto" w:fill="auto"/>
            <w:vAlign w:val="center"/>
          </w:tcPr>
          <w:p w14:paraId="14A01C6D">
            <w:pPr>
              <w:pStyle w:val="18"/>
              <w:rPr>
                <w:lang w:val="en-US"/>
              </w:rPr>
            </w:pPr>
            <w:r>
              <w:rPr>
                <w:rFonts w:hint="eastAsia"/>
                <w:lang w:val="en-US"/>
              </w:rPr>
              <w:t>-</w:t>
            </w:r>
          </w:p>
        </w:tc>
        <w:tc>
          <w:tcPr>
            <w:tcW w:w="623" w:type="pct"/>
            <w:shd w:val="clear" w:color="auto" w:fill="auto"/>
            <w:vAlign w:val="center"/>
          </w:tcPr>
          <w:p w14:paraId="4E9151A6">
            <w:pPr>
              <w:pStyle w:val="18"/>
              <w:rPr>
                <w:lang w:val="en-US"/>
              </w:rPr>
            </w:pPr>
            <w:r>
              <w:rPr>
                <w:rFonts w:hint="eastAsia"/>
                <w:lang w:val="en-US"/>
              </w:rPr>
              <w:t>-</w:t>
            </w:r>
          </w:p>
        </w:tc>
        <w:tc>
          <w:tcPr>
            <w:tcW w:w="623" w:type="pct"/>
            <w:shd w:val="clear" w:color="auto" w:fill="auto"/>
            <w:vAlign w:val="center"/>
          </w:tcPr>
          <w:p w14:paraId="46A14868">
            <w:pPr>
              <w:pStyle w:val="18"/>
              <w:rPr>
                <w:lang w:val="en-US"/>
              </w:rPr>
            </w:pPr>
            <w:r>
              <w:rPr>
                <w:rFonts w:hint="eastAsia"/>
                <w:lang w:val="en-US"/>
              </w:rPr>
              <w:t>-</w:t>
            </w:r>
          </w:p>
        </w:tc>
        <w:tc>
          <w:tcPr>
            <w:tcW w:w="623" w:type="pct"/>
            <w:shd w:val="clear" w:color="auto" w:fill="auto"/>
            <w:vAlign w:val="center"/>
          </w:tcPr>
          <w:p w14:paraId="279293D0">
            <w:pPr>
              <w:pStyle w:val="18"/>
              <w:rPr>
                <w:lang w:val="en-US"/>
              </w:rPr>
            </w:pPr>
            <w:r>
              <w:rPr>
                <w:rFonts w:hint="eastAsia"/>
                <w:lang w:val="en-US"/>
              </w:rPr>
              <w:t>-</w:t>
            </w:r>
          </w:p>
        </w:tc>
        <w:tc>
          <w:tcPr>
            <w:tcW w:w="623" w:type="pct"/>
            <w:shd w:val="clear" w:color="auto" w:fill="auto"/>
            <w:vAlign w:val="center"/>
          </w:tcPr>
          <w:p w14:paraId="551C3F8F">
            <w:pPr>
              <w:pStyle w:val="18"/>
              <w:rPr>
                <w:lang w:val="en-US"/>
              </w:rPr>
            </w:pPr>
            <w:r>
              <w:rPr>
                <w:rFonts w:hint="eastAsia"/>
                <w:lang w:val="en-US"/>
              </w:rPr>
              <w:t>-</w:t>
            </w:r>
          </w:p>
        </w:tc>
        <w:tc>
          <w:tcPr>
            <w:tcW w:w="640" w:type="pct"/>
            <w:shd w:val="clear" w:color="auto" w:fill="auto"/>
            <w:vAlign w:val="center"/>
          </w:tcPr>
          <w:p w14:paraId="26B310E4">
            <w:pPr>
              <w:pStyle w:val="18"/>
              <w:rPr>
                <w:lang w:val="en-US"/>
              </w:rPr>
            </w:pPr>
            <w:r>
              <w:rPr>
                <w:rFonts w:hint="eastAsia"/>
                <w:lang w:val="en-US"/>
              </w:rPr>
              <w:t>10</w:t>
            </w:r>
          </w:p>
        </w:tc>
      </w:tr>
      <w:tr w14:paraId="4CF79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51783CB1">
            <w:pPr>
              <w:pStyle w:val="18"/>
              <w:rPr>
                <w:lang w:val="en-US"/>
              </w:rPr>
            </w:pPr>
            <w:r>
              <w:rPr>
                <w:rFonts w:hint="eastAsia"/>
                <w:lang w:val="en-US"/>
              </w:rPr>
              <w:t>管理员</w:t>
            </w:r>
          </w:p>
        </w:tc>
        <w:tc>
          <w:tcPr>
            <w:tcW w:w="619" w:type="pct"/>
            <w:shd w:val="clear" w:color="auto" w:fill="auto"/>
            <w:vAlign w:val="center"/>
          </w:tcPr>
          <w:p w14:paraId="63D803C9">
            <w:pPr>
              <w:pStyle w:val="18"/>
              <w:rPr>
                <w:lang w:val="en-US"/>
              </w:rPr>
            </w:pPr>
            <w:r>
              <w:rPr>
                <w:rFonts w:hint="eastAsia"/>
                <w:lang w:val="en-US"/>
              </w:rPr>
              <w:t>10</w:t>
            </w:r>
          </w:p>
        </w:tc>
        <w:tc>
          <w:tcPr>
            <w:tcW w:w="623" w:type="pct"/>
            <w:shd w:val="clear" w:color="auto" w:fill="auto"/>
            <w:vAlign w:val="center"/>
          </w:tcPr>
          <w:p w14:paraId="4E2495EB">
            <w:pPr>
              <w:pStyle w:val="18"/>
              <w:rPr>
                <w:lang w:val="en-US"/>
              </w:rPr>
            </w:pPr>
            <w:r>
              <w:rPr>
                <w:rFonts w:hint="eastAsia"/>
                <w:lang w:val="en-US"/>
              </w:rPr>
              <w:t>10</w:t>
            </w:r>
          </w:p>
        </w:tc>
        <w:tc>
          <w:tcPr>
            <w:tcW w:w="623" w:type="pct"/>
            <w:shd w:val="clear" w:color="auto" w:fill="auto"/>
            <w:vAlign w:val="center"/>
          </w:tcPr>
          <w:p w14:paraId="122E845B">
            <w:pPr>
              <w:pStyle w:val="18"/>
              <w:rPr>
                <w:lang w:val="en-US"/>
              </w:rPr>
            </w:pPr>
            <w:r>
              <w:rPr>
                <w:rFonts w:hint="eastAsia"/>
                <w:lang w:val="en-US"/>
              </w:rPr>
              <w:t>10</w:t>
            </w:r>
          </w:p>
        </w:tc>
        <w:tc>
          <w:tcPr>
            <w:tcW w:w="623" w:type="pct"/>
            <w:shd w:val="clear" w:color="auto" w:fill="auto"/>
            <w:vAlign w:val="center"/>
          </w:tcPr>
          <w:p w14:paraId="2236ECB7">
            <w:pPr>
              <w:pStyle w:val="18"/>
              <w:rPr>
                <w:lang w:val="en-US"/>
              </w:rPr>
            </w:pPr>
            <w:r>
              <w:rPr>
                <w:rFonts w:hint="eastAsia"/>
                <w:lang w:val="en-US"/>
              </w:rPr>
              <w:t>10</w:t>
            </w:r>
          </w:p>
        </w:tc>
        <w:tc>
          <w:tcPr>
            <w:tcW w:w="623" w:type="pct"/>
            <w:shd w:val="clear" w:color="auto" w:fill="auto"/>
            <w:vAlign w:val="center"/>
          </w:tcPr>
          <w:p w14:paraId="55AB4E6A">
            <w:pPr>
              <w:pStyle w:val="18"/>
              <w:rPr>
                <w:lang w:val="en-US"/>
              </w:rPr>
            </w:pPr>
            <w:r>
              <w:rPr>
                <w:rFonts w:hint="eastAsia"/>
                <w:lang w:val="en-US"/>
              </w:rPr>
              <w:t>10</w:t>
            </w:r>
          </w:p>
        </w:tc>
        <w:tc>
          <w:tcPr>
            <w:tcW w:w="623" w:type="pct"/>
            <w:shd w:val="clear" w:color="auto" w:fill="auto"/>
            <w:vAlign w:val="center"/>
          </w:tcPr>
          <w:p w14:paraId="31CE5A36">
            <w:pPr>
              <w:pStyle w:val="18"/>
              <w:rPr>
                <w:lang w:val="en-US"/>
              </w:rPr>
            </w:pPr>
            <w:r>
              <w:rPr>
                <w:rFonts w:hint="eastAsia"/>
                <w:lang w:val="en-US"/>
              </w:rPr>
              <w:t>10</w:t>
            </w:r>
          </w:p>
        </w:tc>
        <w:tc>
          <w:tcPr>
            <w:tcW w:w="640" w:type="pct"/>
            <w:shd w:val="clear" w:color="auto" w:fill="auto"/>
            <w:vAlign w:val="center"/>
          </w:tcPr>
          <w:p w14:paraId="2F84F2C9">
            <w:pPr>
              <w:pStyle w:val="18"/>
              <w:rPr>
                <w:lang w:val="en-US"/>
              </w:rPr>
            </w:pPr>
            <w:r>
              <w:rPr>
                <w:rFonts w:hint="eastAsia"/>
                <w:lang w:val="en-US"/>
              </w:rPr>
              <w:t>10</w:t>
            </w:r>
          </w:p>
        </w:tc>
      </w:tr>
      <w:tr w14:paraId="6284F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1602557B">
            <w:pPr>
              <w:pStyle w:val="18"/>
              <w:rPr>
                <w:lang w:val="en-US"/>
              </w:rPr>
            </w:pPr>
            <w:r>
              <w:rPr>
                <w:rFonts w:hint="eastAsia"/>
                <w:lang w:val="en-US"/>
              </w:rPr>
              <w:t>材料管理专员</w:t>
            </w:r>
          </w:p>
        </w:tc>
        <w:tc>
          <w:tcPr>
            <w:tcW w:w="619" w:type="pct"/>
            <w:shd w:val="clear" w:color="auto" w:fill="auto"/>
            <w:vAlign w:val="center"/>
          </w:tcPr>
          <w:p w14:paraId="247070F9">
            <w:pPr>
              <w:pStyle w:val="18"/>
              <w:rPr>
                <w:lang w:val="en-US"/>
              </w:rPr>
            </w:pPr>
            <w:r>
              <w:rPr>
                <w:rFonts w:hint="eastAsia"/>
                <w:lang w:val="en-US"/>
              </w:rPr>
              <w:t>2</w:t>
            </w:r>
          </w:p>
        </w:tc>
        <w:tc>
          <w:tcPr>
            <w:tcW w:w="623" w:type="pct"/>
            <w:shd w:val="clear" w:color="auto" w:fill="auto"/>
            <w:vAlign w:val="center"/>
          </w:tcPr>
          <w:p w14:paraId="071BDA70">
            <w:pPr>
              <w:pStyle w:val="18"/>
              <w:rPr>
                <w:lang w:val="en-US"/>
              </w:rPr>
            </w:pPr>
            <w:r>
              <w:rPr>
                <w:rFonts w:hint="eastAsia"/>
                <w:lang w:val="en-US"/>
              </w:rPr>
              <w:t>2</w:t>
            </w:r>
          </w:p>
        </w:tc>
        <w:tc>
          <w:tcPr>
            <w:tcW w:w="623" w:type="pct"/>
            <w:shd w:val="clear" w:color="auto" w:fill="auto"/>
            <w:vAlign w:val="center"/>
          </w:tcPr>
          <w:p w14:paraId="5D0FFABB">
            <w:pPr>
              <w:pStyle w:val="18"/>
              <w:rPr>
                <w:lang w:val="en-US"/>
              </w:rPr>
            </w:pPr>
            <w:r>
              <w:rPr>
                <w:rFonts w:hint="eastAsia"/>
                <w:lang w:val="en-US"/>
              </w:rPr>
              <w:t>2</w:t>
            </w:r>
          </w:p>
        </w:tc>
        <w:tc>
          <w:tcPr>
            <w:tcW w:w="623" w:type="pct"/>
            <w:shd w:val="clear" w:color="auto" w:fill="auto"/>
            <w:vAlign w:val="center"/>
          </w:tcPr>
          <w:p w14:paraId="071F9C03">
            <w:pPr>
              <w:pStyle w:val="18"/>
              <w:rPr>
                <w:lang w:val="en-US"/>
              </w:rPr>
            </w:pPr>
            <w:r>
              <w:rPr>
                <w:rFonts w:hint="eastAsia"/>
                <w:lang w:val="en-US"/>
              </w:rPr>
              <w:t>2</w:t>
            </w:r>
          </w:p>
        </w:tc>
        <w:tc>
          <w:tcPr>
            <w:tcW w:w="623" w:type="pct"/>
            <w:shd w:val="clear" w:color="auto" w:fill="auto"/>
            <w:vAlign w:val="center"/>
          </w:tcPr>
          <w:p w14:paraId="0C9C498D">
            <w:pPr>
              <w:pStyle w:val="18"/>
              <w:rPr>
                <w:lang w:val="en-US"/>
              </w:rPr>
            </w:pPr>
            <w:r>
              <w:rPr>
                <w:rFonts w:hint="eastAsia"/>
                <w:lang w:val="en-US"/>
              </w:rPr>
              <w:t>2</w:t>
            </w:r>
          </w:p>
        </w:tc>
        <w:tc>
          <w:tcPr>
            <w:tcW w:w="623" w:type="pct"/>
            <w:shd w:val="clear" w:color="auto" w:fill="auto"/>
            <w:vAlign w:val="center"/>
          </w:tcPr>
          <w:p w14:paraId="5508F9A6">
            <w:pPr>
              <w:pStyle w:val="18"/>
              <w:rPr>
                <w:lang w:val="en-US"/>
              </w:rPr>
            </w:pPr>
            <w:r>
              <w:rPr>
                <w:rFonts w:hint="eastAsia"/>
                <w:lang w:val="en-US"/>
              </w:rPr>
              <w:t>2</w:t>
            </w:r>
          </w:p>
        </w:tc>
        <w:tc>
          <w:tcPr>
            <w:tcW w:w="640" w:type="pct"/>
            <w:shd w:val="clear" w:color="auto" w:fill="auto"/>
            <w:vAlign w:val="center"/>
          </w:tcPr>
          <w:p w14:paraId="33CFAEA1">
            <w:pPr>
              <w:pStyle w:val="18"/>
              <w:rPr>
                <w:lang w:val="en-US"/>
              </w:rPr>
            </w:pPr>
            <w:r>
              <w:rPr>
                <w:rFonts w:hint="eastAsia"/>
                <w:lang w:val="en-US"/>
              </w:rPr>
              <w:t>-</w:t>
            </w:r>
          </w:p>
        </w:tc>
      </w:tr>
      <w:tr w14:paraId="59B60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shd w:val="clear" w:color="auto" w:fill="auto"/>
            <w:vAlign w:val="center"/>
          </w:tcPr>
          <w:p w14:paraId="5D43FBD3">
            <w:pPr>
              <w:pStyle w:val="18"/>
              <w:rPr>
                <w:lang w:val="en-US"/>
              </w:rPr>
            </w:pPr>
            <w:bookmarkStart w:id="8588" w:name="_Toc20328"/>
            <w:bookmarkStart w:id="8589" w:name="_Toc29206"/>
            <w:bookmarkStart w:id="8590" w:name="_Toc19168"/>
            <w:bookmarkStart w:id="8591" w:name="_Toc4496"/>
            <w:bookmarkStart w:id="8592" w:name="_Toc28226"/>
            <w:bookmarkStart w:id="8593" w:name="_Toc12670"/>
            <w:bookmarkStart w:id="8594" w:name="_Toc4146"/>
            <w:bookmarkStart w:id="8595" w:name="_Toc1815"/>
            <w:bookmarkStart w:id="8596" w:name="_Toc3854"/>
            <w:bookmarkStart w:id="8597" w:name="_Toc7315"/>
            <w:bookmarkStart w:id="8598" w:name="_Toc8601"/>
            <w:bookmarkStart w:id="8599" w:name="_Toc28388"/>
            <w:bookmarkStart w:id="8600" w:name="_Toc30026"/>
            <w:bookmarkStart w:id="8601" w:name="_Toc10905"/>
            <w:bookmarkStart w:id="8602" w:name="_Toc31416"/>
            <w:bookmarkStart w:id="8603" w:name="_Toc18241"/>
            <w:bookmarkStart w:id="8604" w:name="_Toc4923"/>
            <w:bookmarkStart w:id="8605" w:name="_Toc27726"/>
            <w:bookmarkStart w:id="8606" w:name="_Toc17511"/>
            <w:bookmarkStart w:id="8607" w:name="_Toc20216"/>
            <w:bookmarkStart w:id="8608" w:name="_Toc21575"/>
            <w:bookmarkStart w:id="8609" w:name="_Toc3209"/>
            <w:bookmarkStart w:id="8610" w:name="_Toc10058"/>
            <w:bookmarkStart w:id="8611" w:name="_Toc153"/>
            <w:bookmarkStart w:id="8612" w:name="_Toc3685"/>
            <w:bookmarkStart w:id="8613" w:name="_Toc4857"/>
            <w:bookmarkStart w:id="8614" w:name="_Toc16087"/>
            <w:bookmarkStart w:id="8615" w:name="_Toc24538"/>
            <w:bookmarkStart w:id="8616" w:name="_Toc23515"/>
            <w:bookmarkStart w:id="8617" w:name="_Toc9244"/>
            <w:bookmarkStart w:id="8618" w:name="_Toc26871"/>
            <w:bookmarkStart w:id="8619" w:name="_Toc13913"/>
            <w:bookmarkStart w:id="8620" w:name="_Toc23666"/>
            <w:bookmarkStart w:id="8621" w:name="_Toc21525"/>
            <w:bookmarkStart w:id="8622" w:name="_Toc30004"/>
            <w:bookmarkStart w:id="8623" w:name="_Toc5175"/>
            <w:bookmarkStart w:id="8624" w:name="_Toc14050"/>
            <w:bookmarkStart w:id="8625" w:name="_Toc7320"/>
            <w:bookmarkStart w:id="8626" w:name="_Toc2183"/>
            <w:bookmarkStart w:id="8627" w:name="_Toc8242"/>
            <w:bookmarkStart w:id="8628" w:name="_Toc29298"/>
            <w:bookmarkStart w:id="8629" w:name="_Toc2053"/>
            <w:bookmarkStart w:id="8630" w:name="_Toc16967"/>
            <w:bookmarkStart w:id="8631" w:name="_Toc7974"/>
            <w:bookmarkStart w:id="8632" w:name="_Toc13239"/>
            <w:bookmarkStart w:id="8633" w:name="_Toc15162"/>
            <w:bookmarkStart w:id="8634" w:name="_Toc14020"/>
            <w:bookmarkStart w:id="8635" w:name="_Toc10352"/>
            <w:bookmarkStart w:id="8636" w:name="_Toc5227"/>
            <w:bookmarkStart w:id="8637" w:name="_Toc708"/>
            <w:bookmarkStart w:id="8638" w:name="_Toc10086"/>
            <w:bookmarkStart w:id="8639" w:name="_Toc18540"/>
            <w:bookmarkStart w:id="8640" w:name="_Toc28675"/>
            <w:bookmarkStart w:id="8641" w:name="_Toc7579"/>
            <w:bookmarkStart w:id="8642" w:name="_Toc15716"/>
            <w:bookmarkStart w:id="8643" w:name="_Toc29448"/>
            <w:r>
              <w:rPr>
                <w:rFonts w:hint="eastAsia"/>
                <w:lang w:val="en-US"/>
              </w:rPr>
              <w:t>总计</w:t>
            </w:r>
          </w:p>
        </w:tc>
        <w:tc>
          <w:tcPr>
            <w:tcW w:w="619" w:type="pct"/>
            <w:shd w:val="clear" w:color="auto" w:fill="auto"/>
            <w:vAlign w:val="center"/>
          </w:tcPr>
          <w:p w14:paraId="490F4B55">
            <w:pPr>
              <w:pStyle w:val="18"/>
              <w:rPr>
                <w:lang w:val="en-US"/>
              </w:rPr>
            </w:pPr>
            <w:r>
              <w:rPr>
                <w:rFonts w:hint="eastAsia"/>
                <w:lang w:val="en-US"/>
              </w:rPr>
              <w:t>127</w:t>
            </w:r>
          </w:p>
        </w:tc>
        <w:tc>
          <w:tcPr>
            <w:tcW w:w="623" w:type="pct"/>
            <w:shd w:val="clear" w:color="auto" w:fill="auto"/>
            <w:vAlign w:val="center"/>
          </w:tcPr>
          <w:p w14:paraId="4AE592C3">
            <w:pPr>
              <w:pStyle w:val="18"/>
              <w:rPr>
                <w:lang w:val="en-US"/>
              </w:rPr>
            </w:pPr>
            <w:r>
              <w:rPr>
                <w:rFonts w:hint="eastAsia"/>
                <w:lang w:val="en-US"/>
              </w:rPr>
              <w:t>202</w:t>
            </w:r>
          </w:p>
        </w:tc>
        <w:tc>
          <w:tcPr>
            <w:tcW w:w="623" w:type="pct"/>
            <w:shd w:val="clear" w:color="auto" w:fill="auto"/>
            <w:vAlign w:val="center"/>
          </w:tcPr>
          <w:p w14:paraId="4F2E3AF7">
            <w:pPr>
              <w:pStyle w:val="18"/>
              <w:rPr>
                <w:lang w:val="en-US"/>
              </w:rPr>
            </w:pPr>
            <w:r>
              <w:rPr>
                <w:rFonts w:hint="eastAsia"/>
                <w:lang w:val="en-US"/>
              </w:rPr>
              <w:t>292</w:t>
            </w:r>
          </w:p>
        </w:tc>
        <w:tc>
          <w:tcPr>
            <w:tcW w:w="623" w:type="pct"/>
            <w:shd w:val="clear" w:color="auto" w:fill="auto"/>
            <w:vAlign w:val="center"/>
          </w:tcPr>
          <w:p w14:paraId="71F9E01A">
            <w:pPr>
              <w:pStyle w:val="18"/>
              <w:rPr>
                <w:lang w:val="en-US"/>
              </w:rPr>
            </w:pPr>
            <w:r>
              <w:rPr>
                <w:rFonts w:hint="eastAsia"/>
                <w:lang w:val="en-US"/>
              </w:rPr>
              <w:t>237</w:t>
            </w:r>
          </w:p>
        </w:tc>
        <w:tc>
          <w:tcPr>
            <w:tcW w:w="623" w:type="pct"/>
            <w:shd w:val="clear" w:color="auto" w:fill="auto"/>
            <w:vAlign w:val="center"/>
          </w:tcPr>
          <w:p w14:paraId="714758C0">
            <w:pPr>
              <w:pStyle w:val="18"/>
              <w:rPr>
                <w:lang w:val="en-US"/>
              </w:rPr>
            </w:pPr>
            <w:r>
              <w:rPr>
                <w:rFonts w:hint="eastAsia"/>
                <w:lang w:val="en-US"/>
              </w:rPr>
              <w:t>212</w:t>
            </w:r>
          </w:p>
        </w:tc>
        <w:tc>
          <w:tcPr>
            <w:tcW w:w="623" w:type="pct"/>
            <w:shd w:val="clear" w:color="auto" w:fill="auto"/>
            <w:vAlign w:val="center"/>
          </w:tcPr>
          <w:p w14:paraId="26FB873A">
            <w:pPr>
              <w:pStyle w:val="18"/>
              <w:rPr>
                <w:lang w:val="en-US"/>
              </w:rPr>
            </w:pPr>
            <w:r>
              <w:rPr>
                <w:rFonts w:hint="eastAsia"/>
                <w:lang w:val="en-US"/>
              </w:rPr>
              <w:t>197</w:t>
            </w:r>
          </w:p>
        </w:tc>
        <w:tc>
          <w:tcPr>
            <w:tcW w:w="640" w:type="pct"/>
            <w:shd w:val="clear" w:color="auto" w:fill="auto"/>
            <w:vAlign w:val="center"/>
          </w:tcPr>
          <w:p w14:paraId="48EECEC2">
            <w:pPr>
              <w:pStyle w:val="18"/>
              <w:rPr>
                <w:lang w:val="en-US"/>
              </w:rPr>
            </w:pPr>
            <w:r>
              <w:rPr>
                <w:rFonts w:hint="eastAsia"/>
                <w:lang w:val="en-US"/>
              </w:rPr>
              <w:t>125</w:t>
            </w:r>
          </w:p>
        </w:tc>
      </w:tr>
    </w:tbl>
    <w:p w14:paraId="36611D23">
      <w:pPr>
        <w:pStyle w:val="5"/>
        <w:spacing w:before="31" w:after="31"/>
        <w:ind w:firstLine="562"/>
      </w:pPr>
      <w:r>
        <w:rPr>
          <w:rFonts w:hint="eastAsia"/>
        </w:rPr>
        <w:t>（二）项目劳动力管理</w:t>
      </w:r>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p>
    <w:p w14:paraId="62F9F53F">
      <w:pPr>
        <w:pStyle w:val="18"/>
        <w:rPr>
          <w:lang w:val="en-US"/>
        </w:rPr>
      </w:pPr>
      <w:r>
        <w:rPr>
          <w:lang w:val="en-US" w:bidi="ar-SA"/>
        </w:rPr>
        <w:drawing>
          <wp:inline distT="0" distB="0" distL="114300" distR="114300">
            <wp:extent cx="3616960" cy="2922905"/>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71">
                      <a:grayscl/>
                    </a:blip>
                    <a:stretch>
                      <a:fillRect/>
                    </a:stretch>
                  </pic:blipFill>
                  <pic:spPr>
                    <a:xfrm>
                      <a:off x="0" y="0"/>
                      <a:ext cx="3616960" cy="2922905"/>
                    </a:xfrm>
                    <a:prstGeom prst="rect">
                      <a:avLst/>
                    </a:prstGeom>
                    <a:noFill/>
                    <a:ln>
                      <a:noFill/>
                    </a:ln>
                  </pic:spPr>
                </pic:pic>
              </a:graphicData>
            </a:graphic>
          </wp:inline>
        </w:drawing>
      </w:r>
    </w:p>
    <w:p w14:paraId="67F4B705">
      <w:pPr>
        <w:ind w:firstLine="560"/>
      </w:pPr>
      <w:r>
        <w:rPr>
          <w:rFonts w:hint="eastAsia"/>
        </w:rPr>
        <w:t>1、项目经理部根据施工进度计划和作业特点制定现场劳动力需求计划。</w:t>
      </w:r>
    </w:p>
    <w:p w14:paraId="6EA5FC10">
      <w:pPr>
        <w:ind w:firstLine="560"/>
      </w:pPr>
      <w:r>
        <w:rPr>
          <w:rFonts w:hint="eastAsia"/>
        </w:rPr>
        <w:t>2、公司劳动科与劳务公司签订劳务合同。</w:t>
      </w:r>
    </w:p>
    <w:p w14:paraId="52032204">
      <w:pPr>
        <w:ind w:firstLine="560"/>
      </w:pPr>
      <w:r>
        <w:rPr>
          <w:rFonts w:hint="eastAsia"/>
        </w:rPr>
        <w:t>3、劳务合同内容包括：</w:t>
      </w:r>
    </w:p>
    <w:p w14:paraId="1EA34A7D">
      <w:pPr>
        <w:ind w:firstLine="560"/>
      </w:pPr>
      <w:r>
        <w:rPr>
          <w:rFonts w:hint="eastAsia"/>
        </w:rPr>
        <w:t>（1）作业任务及应提供的劳动力人数；</w:t>
      </w:r>
    </w:p>
    <w:p w14:paraId="1F86D72E">
      <w:pPr>
        <w:ind w:firstLine="560"/>
      </w:pPr>
      <w:r>
        <w:rPr>
          <w:rFonts w:hint="eastAsia"/>
        </w:rPr>
        <w:t>（2）进度要求及进、退场时间；双方的管理责任；</w:t>
      </w:r>
    </w:p>
    <w:p w14:paraId="74D577B7">
      <w:pPr>
        <w:ind w:firstLine="560"/>
      </w:pPr>
      <w:r>
        <w:rPr>
          <w:rFonts w:hint="eastAsia"/>
        </w:rPr>
        <w:t>（3）劳务费计取及结算方式；奖励与处罚条款。</w:t>
      </w:r>
    </w:p>
    <w:p w14:paraId="4E36F998">
      <w:pPr>
        <w:ind w:firstLine="560"/>
      </w:pPr>
      <w:r>
        <w:rPr>
          <w:rFonts w:hint="eastAsia"/>
        </w:rPr>
        <w:t>4、项目经理部对劳动力进行动态管理，内容如下：</w:t>
      </w:r>
    </w:p>
    <w:p w14:paraId="5A5E9446">
      <w:pPr>
        <w:ind w:firstLine="560"/>
      </w:pPr>
      <w:r>
        <w:rPr>
          <w:rFonts w:hint="eastAsia"/>
        </w:rPr>
        <w:t>（1）对施工现场的劳动力进行跟踪平衡，酌情进行劳动力补充与减员；</w:t>
      </w:r>
    </w:p>
    <w:p w14:paraId="195B70AC">
      <w:pPr>
        <w:ind w:firstLine="560"/>
      </w:pPr>
      <w:r>
        <w:rPr>
          <w:rFonts w:hint="eastAsia"/>
        </w:rPr>
        <w:t>（2）向进入施工现场的作业班组下达施工任务书；</w:t>
      </w:r>
    </w:p>
    <w:p w14:paraId="4B7D213E">
      <w:pPr>
        <w:ind w:firstLine="560"/>
      </w:pPr>
      <w:r>
        <w:rPr>
          <w:rFonts w:hint="eastAsia"/>
        </w:rPr>
        <w:t>（3）考核并兑现费用支付和奖惩。</w:t>
      </w:r>
    </w:p>
    <w:p w14:paraId="5402D735">
      <w:pPr>
        <w:ind w:firstLine="560"/>
      </w:pPr>
      <w:r>
        <w:rPr>
          <w:rFonts w:hint="eastAsia"/>
        </w:rPr>
        <w:t>5、项目经理部加强对人力资源的教育培训和思想管理。</w:t>
      </w:r>
    </w:p>
    <w:p w14:paraId="562BE02B">
      <w:pPr>
        <w:ind w:firstLine="560"/>
      </w:pPr>
      <w:r>
        <w:rPr>
          <w:rFonts w:hint="eastAsia"/>
        </w:rPr>
        <w:t>6、加强对劳务人员作业质量和效率的检查。</w:t>
      </w:r>
    </w:p>
    <w:p w14:paraId="297EB690">
      <w:pPr>
        <w:pStyle w:val="5"/>
        <w:spacing w:before="31" w:after="31"/>
        <w:ind w:firstLine="562"/>
      </w:pPr>
      <w:bookmarkStart w:id="8644" w:name="_Toc20824"/>
      <w:bookmarkStart w:id="8645" w:name="_Toc7866"/>
      <w:bookmarkStart w:id="8646" w:name="_Toc12410"/>
      <w:bookmarkStart w:id="8647" w:name="_Toc15198"/>
      <w:bookmarkStart w:id="8648" w:name="_Toc20549"/>
      <w:bookmarkStart w:id="8649" w:name="_Toc13558"/>
      <w:bookmarkStart w:id="8650" w:name="_Toc13433"/>
      <w:bookmarkStart w:id="8651" w:name="_Toc3276"/>
      <w:bookmarkStart w:id="8652" w:name="_Toc5066"/>
      <w:bookmarkStart w:id="8653" w:name="_Toc28395"/>
      <w:bookmarkStart w:id="8654" w:name="_Toc32405"/>
      <w:bookmarkStart w:id="8655" w:name="_Toc22642"/>
      <w:bookmarkStart w:id="8656" w:name="_Toc12053"/>
      <w:bookmarkStart w:id="8657" w:name="_Toc26671"/>
      <w:bookmarkStart w:id="8658" w:name="_Toc29201"/>
      <w:bookmarkStart w:id="8659" w:name="_Toc19754"/>
      <w:bookmarkStart w:id="8660" w:name="_Toc17004"/>
      <w:bookmarkStart w:id="8661" w:name="_Toc12859"/>
      <w:bookmarkStart w:id="8662" w:name="_Toc13053"/>
      <w:bookmarkStart w:id="8663" w:name="_Toc1158"/>
      <w:bookmarkStart w:id="8664" w:name="_Toc17944"/>
      <w:bookmarkStart w:id="8665" w:name="_Toc11712"/>
      <w:bookmarkStart w:id="8666" w:name="_Toc8422"/>
      <w:bookmarkStart w:id="8667" w:name="_Toc2375"/>
      <w:bookmarkStart w:id="8668" w:name="_Toc17262"/>
      <w:bookmarkStart w:id="8669" w:name="_Toc22327"/>
      <w:bookmarkStart w:id="8670" w:name="_Toc12190"/>
      <w:bookmarkStart w:id="8671" w:name="_Toc23872"/>
      <w:bookmarkStart w:id="8672" w:name="_Toc8821"/>
      <w:bookmarkStart w:id="8673" w:name="_Toc4761"/>
      <w:bookmarkStart w:id="8674" w:name="_Toc4388"/>
      <w:bookmarkStart w:id="8675" w:name="_Toc11570"/>
      <w:bookmarkStart w:id="8676" w:name="_Toc4507"/>
      <w:bookmarkStart w:id="8677" w:name="_Toc2950"/>
      <w:bookmarkStart w:id="8678" w:name="_Toc21394"/>
      <w:bookmarkStart w:id="8679" w:name="_Toc19877"/>
      <w:bookmarkStart w:id="8680" w:name="_Toc21118"/>
      <w:bookmarkStart w:id="8681" w:name="_Toc8447"/>
      <w:bookmarkStart w:id="8682" w:name="_Toc29157"/>
      <w:bookmarkStart w:id="8683" w:name="_Toc28570"/>
      <w:bookmarkStart w:id="8684" w:name="_Toc6131"/>
      <w:bookmarkStart w:id="8685" w:name="_Toc19336"/>
      <w:bookmarkStart w:id="8686" w:name="_Toc6187"/>
      <w:bookmarkStart w:id="8687" w:name="_Toc6480"/>
      <w:bookmarkStart w:id="8688" w:name="_Toc14687"/>
      <w:bookmarkStart w:id="8689" w:name="_Toc13867"/>
      <w:bookmarkStart w:id="8690" w:name="_Toc18704"/>
      <w:bookmarkStart w:id="8691" w:name="_Toc12355"/>
      <w:bookmarkStart w:id="8692" w:name="_Toc15751"/>
      <w:bookmarkStart w:id="8693" w:name="_Toc13754"/>
      <w:bookmarkStart w:id="8694" w:name="_Toc24553"/>
      <w:bookmarkStart w:id="8695" w:name="_Toc20672"/>
      <w:bookmarkStart w:id="8696" w:name="_Toc13718"/>
      <w:bookmarkStart w:id="8697" w:name="_Toc7484"/>
      <w:bookmarkStart w:id="8698" w:name="_Toc4887"/>
      <w:bookmarkStart w:id="8699" w:name="_Toc17639"/>
      <w:bookmarkStart w:id="8700" w:name="_Toc26698"/>
      <w:bookmarkStart w:id="8701" w:name="_Toc3042"/>
      <w:r>
        <w:rPr>
          <w:rFonts w:hint="eastAsia"/>
        </w:rPr>
        <w:t>（三）劳动力保证措施</w:t>
      </w:r>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p>
    <w:p w14:paraId="76BAD452">
      <w:pPr>
        <w:ind w:firstLine="560"/>
      </w:pPr>
      <w:r>
        <w:rPr>
          <w:rFonts w:hint="eastAsia"/>
        </w:rPr>
        <w:t>1、根据方案实施要求及施工进度和劳动力需求计划，组织劳动力分批进场，并建立相应的领导体系和管理制度。</w:t>
      </w:r>
    </w:p>
    <w:p w14:paraId="0AA40789">
      <w:pPr>
        <w:ind w:firstLine="560"/>
      </w:pPr>
      <w:r>
        <w:rPr>
          <w:rFonts w:hint="eastAsia"/>
        </w:rPr>
        <w:t>①编制劳动力需用量计划，施工前根据施工进度计划、施工阶段的划分、各个专业工种的需要、劳动定额，编制切实可行的劳动力需用量计划，并根据工程实际进展情况，由项目经理部负责对各施工队劳动力进退场时间、数量提出指导性计划并及时调整，避免劳动力资源的浪费。</w:t>
      </w:r>
    </w:p>
    <w:p w14:paraId="4F1F092F">
      <w:pPr>
        <w:ind w:firstLine="560"/>
      </w:pPr>
      <w:r>
        <w:rPr>
          <w:rFonts w:hint="eastAsia"/>
        </w:rPr>
        <w:t>②进行岗前培训，根据本工程分项工程的特殊要求，做好岗前岗位技术培训，提高劳动者的操作技能，加强质量意识教育，组织学习国家有关规范、标准、规程、进行施工组织设计的总设计交底，使施工人员了解该工程的特点，熟练规范的要求，高质量地完成额定任务，确保计划用量，满足施工生产需要。</w:t>
      </w:r>
    </w:p>
    <w:p w14:paraId="73A9F5C2">
      <w:pPr>
        <w:ind w:firstLine="560"/>
      </w:pPr>
      <w:r>
        <w:rPr>
          <w:rFonts w:hint="eastAsia"/>
        </w:rPr>
        <w:t>③在本工程范围内根据施工进度的需要对各个施工处进行必要的调节，实行动态管理，使之合理流动，达到最佳劳动效率。</w:t>
      </w:r>
    </w:p>
    <w:p w14:paraId="135A08C6">
      <w:pPr>
        <w:ind w:firstLine="560"/>
      </w:pPr>
      <w:r>
        <w:rPr>
          <w:rFonts w:hint="eastAsia"/>
        </w:rPr>
        <w:t>④制定合理可行的激励机制，充分调动广大职工的积极性、创造性，为工程成本的降低尽力。做好职工的后勤保障工作，在大批人员进场之后，责成有关职能部门的有关人员做好后勤工作的安排，主要解决职工的衣、食、行等问题。确保职工无后顾之忧，安心现场工作。</w:t>
      </w:r>
    </w:p>
    <w:p w14:paraId="18A06C1F">
      <w:pPr>
        <w:ind w:firstLine="560"/>
      </w:pPr>
      <w:r>
        <w:rPr>
          <w:rFonts w:hint="eastAsia"/>
        </w:rPr>
        <w:t>2、节假日期间及农忙季节劳动力保证措施</w:t>
      </w:r>
    </w:p>
    <w:p w14:paraId="632CECF4">
      <w:pPr>
        <w:ind w:firstLine="560"/>
      </w:pPr>
      <w:r>
        <w:rPr>
          <w:rFonts w:hint="eastAsia"/>
        </w:rPr>
        <w:t>为了保证本标段工程在农忙季节及节日期间能正常施工，不因缺乏劳动力导致工程进度缓慢，将采取如下措施保证农忙季节及节日期间有足够的劳动力。</w:t>
      </w:r>
    </w:p>
    <w:p w14:paraId="209AD88B">
      <w:pPr>
        <w:ind w:firstLine="560"/>
      </w:pPr>
      <w:r>
        <w:rPr>
          <w:rFonts w:hint="eastAsia"/>
        </w:rPr>
        <w:t>①节假日期间工程正常施工，项目经理部人员实行轮休制，作业队不放假。</w:t>
      </w:r>
    </w:p>
    <w:p w14:paraId="0EACB5AF">
      <w:pPr>
        <w:ind w:firstLine="560"/>
      </w:pPr>
      <w:r>
        <w:rPr>
          <w:rFonts w:hint="eastAsia"/>
        </w:rPr>
        <w:t>②职工的假期统一考虑，合理安排在非高峰期进行调休，节假日期一般不休探亲假，保证节假日的劳动力数量。</w:t>
      </w:r>
    </w:p>
    <w:p w14:paraId="6DC69476">
      <w:pPr>
        <w:ind w:firstLine="560"/>
      </w:pPr>
      <w:r>
        <w:rPr>
          <w:rFonts w:hint="eastAsia"/>
        </w:rPr>
        <w:t>③节假日实行领导干部值班制度，主要领导干部不能离开工作岗位，安排节假日期部分家属到工地。</w:t>
      </w:r>
    </w:p>
    <w:p w14:paraId="7D7C2731">
      <w:pPr>
        <w:ind w:firstLine="560"/>
      </w:pPr>
      <w:r>
        <w:rPr>
          <w:rFonts w:hint="eastAsia"/>
        </w:rPr>
        <w:t>④在工程不紧张时，有计划地安排部分人员回家探亲，并按公司规定的时间按时返回单位。</w:t>
      </w:r>
    </w:p>
    <w:p w14:paraId="425F887D">
      <w:pPr>
        <w:ind w:firstLine="560"/>
      </w:pPr>
      <w:r>
        <w:rPr>
          <w:rFonts w:hint="eastAsia"/>
        </w:rPr>
        <w:t>⑤农忙季节及节日来临之前，加强员工的思想政治教育工作。实现全面经济承包责任制，遵循多劳多得、少劳少得、不劳不得的分配原则，使劳动者深刻意识到缺勤可能造成的经济损失及对工程施工可能造成的影响，充分发扬劳动者的主人翁责任感，减少特殊季节及节假日劳动力缺失。</w:t>
      </w:r>
    </w:p>
    <w:p w14:paraId="2457E421">
      <w:pPr>
        <w:ind w:firstLine="560"/>
      </w:pPr>
      <w:r>
        <w:rPr>
          <w:rFonts w:hint="eastAsia"/>
        </w:rPr>
        <w:t>⑥建立劳动者之家，搞好业余文化生活，活跃业余生活气氛，缓解劳动者工作压力，稳定劳动者情绪，减少特殊季节及节假日劳动力缺失。</w:t>
      </w:r>
    </w:p>
    <w:p w14:paraId="57A06573">
      <w:pPr>
        <w:ind w:firstLine="560"/>
      </w:pPr>
      <w:r>
        <w:rPr>
          <w:rFonts w:hint="eastAsia"/>
        </w:rPr>
        <w:t>⑦加强政治思想工作，解除劳动者后顾之忧，稳定劳动者思想，减少特殊季节及节假日劳动力的缺失。</w:t>
      </w:r>
    </w:p>
    <w:p w14:paraId="6F91148C">
      <w:pPr>
        <w:ind w:firstLine="560"/>
      </w:pPr>
      <w:r>
        <w:rPr>
          <w:rFonts w:hint="eastAsia"/>
        </w:rPr>
        <w:t>⑧建立员工家属区，鼓励员工家属反探亲并给予适当补助，减少节假日员工的探亲人数，以减少节假日期间的劳动力缺失；对农忙季节和节假日不能回家的员工，除向家人发慰问信外，给予适当补助，以人性化的管理，减少劳动力的缺失。</w:t>
      </w:r>
    </w:p>
    <w:p w14:paraId="606164E0">
      <w:pPr>
        <w:ind w:firstLine="560"/>
      </w:pPr>
      <w:r>
        <w:rPr>
          <w:rFonts w:hint="eastAsia"/>
        </w:rPr>
        <w:t>⑨做好特殊季节及节假日劳动力意向及动态的摸底工作，提前做好补充预案，保证施工正常进行。</w:t>
      </w:r>
    </w:p>
    <w:p w14:paraId="7F5E2BD3">
      <w:pPr>
        <w:ind w:firstLine="560"/>
      </w:pPr>
      <w:r>
        <w:rPr>
          <w:rFonts w:hint="eastAsia"/>
        </w:rPr>
        <w:t>⑩对职工家在农村的，首先进行思想动员，让每位参建职工明确工期和信誉对公司的重要性，提前安排好家中的农活，做到农忙季节不回家，同时对坚持施工的职工给予一定的农忙补贴，让职工安心工作。</w:t>
      </w:r>
    </w:p>
    <w:p w14:paraId="2EBCAB6C">
      <w:pPr>
        <w:pStyle w:val="5"/>
        <w:spacing w:before="31" w:after="31"/>
        <w:ind w:firstLine="562"/>
      </w:pPr>
      <w:bookmarkStart w:id="8702" w:name="_Toc14261"/>
      <w:bookmarkStart w:id="8703" w:name="_Toc16194"/>
      <w:bookmarkStart w:id="8704" w:name="_Toc24788"/>
      <w:bookmarkStart w:id="8705" w:name="_Toc23232"/>
      <w:bookmarkStart w:id="8706" w:name="_Toc25045"/>
      <w:bookmarkStart w:id="8707" w:name="_Toc3945"/>
      <w:bookmarkStart w:id="8708" w:name="_Toc25569"/>
      <w:bookmarkStart w:id="8709" w:name="_Toc17291"/>
      <w:bookmarkStart w:id="8710" w:name="_Toc28588"/>
      <w:bookmarkStart w:id="8711" w:name="_Toc13479"/>
      <w:bookmarkStart w:id="8712" w:name="_Toc6171"/>
      <w:bookmarkStart w:id="8713" w:name="_Toc5772"/>
      <w:bookmarkStart w:id="8714" w:name="_Toc5313"/>
      <w:bookmarkStart w:id="8715" w:name="_Toc18237"/>
      <w:bookmarkStart w:id="8716" w:name="_Toc20394"/>
      <w:bookmarkStart w:id="8717" w:name="_Toc27862"/>
      <w:bookmarkStart w:id="8718" w:name="_Toc6117"/>
      <w:bookmarkStart w:id="8719" w:name="_Toc20975"/>
      <w:bookmarkStart w:id="8720" w:name="_Toc12366"/>
      <w:bookmarkStart w:id="8721" w:name="_Toc27799"/>
      <w:bookmarkStart w:id="8722" w:name="_Toc21072"/>
      <w:bookmarkStart w:id="8723" w:name="_Toc16616"/>
      <w:bookmarkStart w:id="8724" w:name="_Toc25549"/>
      <w:bookmarkStart w:id="8725" w:name="_Toc21085"/>
      <w:bookmarkStart w:id="8726" w:name="_Toc6481"/>
      <w:bookmarkStart w:id="8727" w:name="_Toc21440"/>
      <w:bookmarkStart w:id="8728" w:name="_Toc17208"/>
      <w:bookmarkStart w:id="8729" w:name="_Toc14960"/>
      <w:bookmarkStart w:id="8730" w:name="_Toc28586"/>
      <w:bookmarkStart w:id="8731" w:name="_Toc5705"/>
      <w:bookmarkStart w:id="8732" w:name="_Toc26688"/>
      <w:bookmarkStart w:id="8733" w:name="_Toc20791"/>
      <w:bookmarkStart w:id="8734" w:name="_Toc15880"/>
      <w:bookmarkStart w:id="8735" w:name="_Toc4530"/>
      <w:bookmarkStart w:id="8736" w:name="_Toc16550"/>
      <w:bookmarkStart w:id="8737" w:name="_Toc908"/>
      <w:bookmarkStart w:id="8738" w:name="_Toc9974"/>
      <w:bookmarkStart w:id="8739" w:name="_Toc27030"/>
      <w:bookmarkStart w:id="8740" w:name="_Toc4013"/>
      <w:bookmarkStart w:id="8741" w:name="_Toc16085"/>
      <w:bookmarkStart w:id="8742" w:name="_Toc32629"/>
      <w:bookmarkStart w:id="8743" w:name="_Toc22525"/>
      <w:bookmarkStart w:id="8744" w:name="_Toc24092"/>
      <w:bookmarkStart w:id="8745" w:name="_Toc18593"/>
      <w:bookmarkStart w:id="8746" w:name="_Toc13932"/>
      <w:bookmarkStart w:id="8747" w:name="_Toc14795"/>
      <w:bookmarkStart w:id="8748" w:name="_Toc24852"/>
      <w:bookmarkStart w:id="8749" w:name="_Toc24882"/>
      <w:bookmarkStart w:id="8750" w:name="_Toc24274"/>
      <w:bookmarkStart w:id="8751" w:name="_Toc15220"/>
      <w:bookmarkStart w:id="8752" w:name="_Toc3162"/>
      <w:bookmarkStart w:id="8753" w:name="_Toc31503"/>
      <w:bookmarkStart w:id="8754" w:name="_Toc24602"/>
      <w:bookmarkStart w:id="8755" w:name="_Toc28629"/>
      <w:r>
        <w:rPr>
          <w:rFonts w:hint="eastAsia"/>
        </w:rPr>
        <w:t>（四）农民工突发事件应急预案</w:t>
      </w:r>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p>
    <w:p w14:paraId="7C91ADF2">
      <w:pPr>
        <w:ind w:firstLine="560"/>
      </w:pPr>
      <w:r>
        <w:rPr>
          <w:rFonts w:hint="eastAsia"/>
        </w:rPr>
        <w:t>1、目的</w:t>
      </w:r>
    </w:p>
    <w:p w14:paraId="31CEBEFD">
      <w:pPr>
        <w:ind w:firstLine="560"/>
      </w:pPr>
      <w:r>
        <w:rPr>
          <w:rFonts w:hint="eastAsia"/>
        </w:rPr>
        <w:t>项目部劳务管理资源及运作的方式方法，是处理项目上可能发生的各种与劳务纠纷有关的紧急情况，减少事件处理时间，保障事件解决的及时性并将事件影响控制在一定范围内。</w:t>
      </w:r>
    </w:p>
    <w:p w14:paraId="00C2A275">
      <w:pPr>
        <w:ind w:firstLine="560"/>
      </w:pPr>
      <w:r>
        <w:rPr>
          <w:rFonts w:hint="eastAsia"/>
        </w:rPr>
        <w:t>2、应急组织机构及职责</w:t>
      </w:r>
    </w:p>
    <w:p w14:paraId="0A12BE8A">
      <w:pPr>
        <w:ind w:firstLine="560"/>
      </w:pPr>
      <w:r>
        <w:rPr>
          <w:rFonts w:hint="eastAsia"/>
        </w:rPr>
        <w:t>（1）应急救援组织机构</w:t>
      </w:r>
    </w:p>
    <w:p w14:paraId="40DCFE8E">
      <w:pPr>
        <w:ind w:firstLine="560"/>
      </w:pPr>
      <w:r>
        <w:rPr>
          <w:rFonts w:hint="eastAsia"/>
        </w:rPr>
        <w:t>根据项目部情况，建立应急救援组织机构，由项目经理担任应急小组组长；副经理担任副组长，各部门相关责任人担任主要组员，建立强有力的应急救援组织机构。</w:t>
      </w:r>
    </w:p>
    <w:p w14:paraId="131D8576">
      <w:pPr>
        <w:ind w:firstLine="560"/>
      </w:pPr>
      <w:r>
        <w:rPr>
          <w:rFonts w:hint="eastAsia"/>
        </w:rPr>
        <w:t>（2）应急处理组织分工及职责</w:t>
      </w:r>
    </w:p>
    <w:p w14:paraId="4AD1A433">
      <w:pPr>
        <w:ind w:firstLine="560"/>
      </w:pPr>
      <w:r>
        <w:rPr>
          <w:rFonts w:hint="eastAsia"/>
        </w:rPr>
        <w:t>①组长职责：</w:t>
      </w:r>
    </w:p>
    <w:p w14:paraId="7599D698">
      <w:pPr>
        <w:ind w:firstLine="560"/>
      </w:pPr>
      <w:r>
        <w:rPr>
          <w:rFonts w:hint="eastAsia"/>
        </w:rPr>
        <w:t>A、审批《劳务纠纷应急响应预案》，建立和保持应急准备状态。</w:t>
      </w:r>
    </w:p>
    <w:p w14:paraId="1D23D33B">
      <w:pPr>
        <w:ind w:firstLine="560"/>
      </w:pPr>
      <w:r>
        <w:rPr>
          <w:rFonts w:hint="eastAsia"/>
        </w:rPr>
        <w:t>B、全面部署应急工作，统筹安排整个应急行动。</w:t>
      </w:r>
    </w:p>
    <w:p w14:paraId="5070D158">
      <w:pPr>
        <w:ind w:firstLine="560"/>
      </w:pPr>
      <w:r>
        <w:rPr>
          <w:rFonts w:hint="eastAsia"/>
        </w:rPr>
        <w:t>C、及时传达贯彻市、区等上级单位的有关要求及工作精神。</w:t>
      </w:r>
    </w:p>
    <w:p w14:paraId="5FC655AB">
      <w:pPr>
        <w:ind w:firstLine="560"/>
      </w:pPr>
      <w:r>
        <w:rPr>
          <w:rFonts w:hint="eastAsia"/>
        </w:rPr>
        <w:t>D、调配相应的人力和物力，决定资金的有效投入。</w:t>
      </w:r>
    </w:p>
    <w:p w14:paraId="11F2CA56">
      <w:pPr>
        <w:ind w:firstLine="560"/>
      </w:pPr>
      <w:r>
        <w:rPr>
          <w:rFonts w:hint="eastAsia"/>
        </w:rPr>
        <w:t>②副组长</w:t>
      </w:r>
    </w:p>
    <w:p w14:paraId="2933BBC5">
      <w:pPr>
        <w:ind w:firstLine="560"/>
      </w:pPr>
      <w:r>
        <w:rPr>
          <w:rFonts w:hint="eastAsia"/>
        </w:rPr>
        <w:t>A、及时传递信息，监督防控措施的有效落实。</w:t>
      </w:r>
    </w:p>
    <w:p w14:paraId="5A2AA4EA">
      <w:pPr>
        <w:ind w:firstLine="560"/>
      </w:pPr>
      <w:r>
        <w:rPr>
          <w:rFonts w:hint="eastAsia"/>
        </w:rPr>
        <w:t>B、负责监控信息交流渠道的畅通。</w:t>
      </w:r>
    </w:p>
    <w:p w14:paraId="1A3F89C3">
      <w:pPr>
        <w:ind w:firstLine="560"/>
      </w:pPr>
      <w:r>
        <w:rPr>
          <w:rFonts w:hint="eastAsia"/>
        </w:rPr>
        <w:t>C、一旦接到发生劳务纠纷报告，及时采取有效措施，防止事件影响进一步扩大。</w:t>
      </w:r>
    </w:p>
    <w:p w14:paraId="5197432F">
      <w:pPr>
        <w:ind w:firstLine="560"/>
      </w:pPr>
      <w:r>
        <w:rPr>
          <w:rFonts w:hint="eastAsia"/>
        </w:rPr>
        <w:t>D、安排部署日常劳务管理宣传贯彻劳务工作检查落实，提高项目劳务管理意识。</w:t>
      </w:r>
    </w:p>
    <w:p w14:paraId="2C794F45">
      <w:pPr>
        <w:ind w:firstLine="560"/>
      </w:pPr>
      <w:r>
        <w:rPr>
          <w:rFonts w:hint="eastAsia"/>
        </w:rPr>
        <w:t>③组员</w:t>
      </w:r>
    </w:p>
    <w:p w14:paraId="45EB88B2">
      <w:pPr>
        <w:ind w:firstLine="560"/>
      </w:pPr>
      <w:r>
        <w:rPr>
          <w:rFonts w:hint="eastAsia"/>
        </w:rPr>
        <w:t>A、根据市及我公司劳务管理办法，监督、落实项目劳务管理工作的开展情况，及时收集项目劳务管理现状，经整理后提出劳务工作改进意见。</w:t>
      </w:r>
    </w:p>
    <w:p w14:paraId="1F93EB50">
      <w:pPr>
        <w:ind w:firstLine="560"/>
      </w:pPr>
      <w:r>
        <w:rPr>
          <w:rFonts w:hint="eastAsia"/>
        </w:rPr>
        <w:t>B、在方案制定后，认真学习方案内容，明确职责，确保在发生事故后，能迅速处理问题，将影响降至最低。</w:t>
      </w:r>
    </w:p>
    <w:p w14:paraId="66F7562E">
      <w:pPr>
        <w:ind w:firstLine="560"/>
      </w:pPr>
      <w:r>
        <w:rPr>
          <w:rFonts w:hint="eastAsia"/>
        </w:rPr>
        <w:t>C、当接到劳务事件报告后，应沉着冷静，安排各项工作，提供相关的人力、资金保证，确保应急预案的准确实施。</w:t>
      </w:r>
    </w:p>
    <w:p w14:paraId="09EFAE71">
      <w:pPr>
        <w:ind w:firstLine="560"/>
      </w:pPr>
      <w:r>
        <w:rPr>
          <w:rFonts w:hint="eastAsia"/>
        </w:rPr>
        <w:t>D、事件处理完后，组织相关人员进行总结、分析，吸取教训。</w:t>
      </w:r>
    </w:p>
    <w:p w14:paraId="311180A6">
      <w:pPr>
        <w:ind w:firstLine="560"/>
      </w:pPr>
      <w:r>
        <w:rPr>
          <w:rFonts w:hint="eastAsia"/>
        </w:rPr>
        <w:t>1）协调与劳动局的关系，及时沟通信息反馈。</w:t>
      </w:r>
    </w:p>
    <w:p w14:paraId="6EBA8691">
      <w:pPr>
        <w:ind w:firstLine="560"/>
      </w:pPr>
      <w:r>
        <w:rPr>
          <w:rFonts w:hint="eastAsia"/>
        </w:rPr>
        <w:t>2）提供解决事件所需的资金。</w:t>
      </w:r>
    </w:p>
    <w:p w14:paraId="572EAAD9">
      <w:pPr>
        <w:ind w:firstLine="560"/>
      </w:pPr>
      <w:r>
        <w:rPr>
          <w:rFonts w:hint="eastAsia"/>
        </w:rPr>
        <w:t>3）提供与事件相关的合同、协议。</w:t>
      </w:r>
    </w:p>
    <w:p w14:paraId="27A37F8B">
      <w:pPr>
        <w:ind w:firstLine="560"/>
      </w:pPr>
      <w:r>
        <w:rPr>
          <w:rFonts w:hint="eastAsia"/>
        </w:rPr>
        <w:t>4）提供与事件有关的往来款证明，协助作好结算工作并收集资金支出的必要凭证。</w:t>
      </w:r>
    </w:p>
    <w:p w14:paraId="50E7E193">
      <w:pPr>
        <w:ind w:firstLine="560"/>
      </w:pPr>
      <w:r>
        <w:rPr>
          <w:rFonts w:hint="eastAsia"/>
        </w:rPr>
        <w:t>5）处理与事件有关的其他所有事项，妥善解决出现的劳务纠纷时间。</w:t>
      </w:r>
    </w:p>
    <w:p w14:paraId="2FFDC187">
      <w:pPr>
        <w:ind w:firstLine="560"/>
      </w:pPr>
      <w:r>
        <w:rPr>
          <w:rFonts w:hint="eastAsia"/>
        </w:rPr>
        <w:t>④信息员</w:t>
      </w:r>
    </w:p>
    <w:p w14:paraId="2A950961">
      <w:pPr>
        <w:ind w:firstLine="560"/>
      </w:pPr>
      <w:r>
        <w:rPr>
          <w:rFonts w:hint="eastAsia"/>
        </w:rPr>
        <w:t>与各劳务队建立畅通的联系方式，对收集到的可能存在的劳务纠纷和发生的劳务纠纷时间的有关信息，及时上报领导小组，做到不迟报、不瞒报、不漏报。</w:t>
      </w:r>
    </w:p>
    <w:p w14:paraId="4B9036E6">
      <w:pPr>
        <w:ind w:firstLine="560"/>
      </w:pPr>
      <w:r>
        <w:rPr>
          <w:rFonts w:hint="eastAsia"/>
        </w:rPr>
        <w:t>3、事件的应急管理</w:t>
      </w:r>
    </w:p>
    <w:p w14:paraId="01CEAC0C">
      <w:pPr>
        <w:ind w:firstLine="560"/>
      </w:pPr>
      <w:r>
        <w:rPr>
          <w:rFonts w:hint="eastAsia"/>
        </w:rPr>
        <w:t>（1）事故应急流程：</w:t>
      </w:r>
    </w:p>
    <w:p w14:paraId="5AD176F1">
      <w:pPr>
        <w:ind w:firstLine="560"/>
      </w:pPr>
      <w:r>
        <w:rPr>
          <w:rFonts w:hint="eastAsia"/>
        </w:rPr>
        <w:t>收集、学习本市关于劳务管理的相关要求→制定应急响应预案→落实项目的劳务管理工作→对劳务管理工作的监督、检查→消除劳务管理隐患→一但发生劳务纠纷事件→上报应急处理小组→展开应急处理行动→事件后的总结及处理</w:t>
      </w:r>
    </w:p>
    <w:p w14:paraId="46955A84">
      <w:pPr>
        <w:ind w:firstLine="560"/>
      </w:pPr>
      <w:r>
        <w:rPr>
          <w:rFonts w:hint="eastAsia"/>
        </w:rPr>
        <w:t>（2）事件的处理</w:t>
      </w:r>
    </w:p>
    <w:p w14:paraId="151EA98C">
      <w:pPr>
        <w:ind w:firstLine="560"/>
      </w:pPr>
      <w:r>
        <w:rPr>
          <w:rFonts w:hint="eastAsia"/>
        </w:rPr>
        <w:t>①对发现的劳务管理隐患由项目负责人处理解决，如不能与劳务人员达成一致意见必须立即上报劳务处理小组信息员或小组其它成员处理，由公司进行协调解决。如隐瞒不报导致发生劳务纠纷事件的，公司将追究其责任。</w:t>
      </w:r>
    </w:p>
    <w:p w14:paraId="18CAA5A7">
      <w:pPr>
        <w:ind w:firstLine="560"/>
      </w:pPr>
      <w:r>
        <w:rPr>
          <w:rFonts w:hint="eastAsia"/>
        </w:rPr>
        <w:t>②一但发生劳务纠纷事件，如向建设主管部门上告，围攻政府机关，伤害项目部人身、财产安全，通过网络等传媒方式给公司造成不良影响的，项目负责人或纠纷事件的发现人必须第一时间通知劳务处理小组信息员或小组其它任何成员，不论任何原因造成上报时间的拖延，公司均将追究其责任。</w:t>
      </w:r>
    </w:p>
    <w:p w14:paraId="6AA20029">
      <w:pPr>
        <w:pStyle w:val="4"/>
        <w:spacing w:before="93" w:after="31"/>
      </w:pPr>
      <w:bookmarkStart w:id="8756" w:name="_Toc32128"/>
      <w:bookmarkStart w:id="8757" w:name="_Toc1260"/>
      <w:bookmarkStart w:id="8758" w:name="_Toc18464"/>
      <w:bookmarkStart w:id="8759" w:name="_Toc15295"/>
      <w:bookmarkStart w:id="8760" w:name="_Toc17698"/>
      <w:bookmarkStart w:id="8761" w:name="_Toc20479"/>
      <w:bookmarkStart w:id="8762" w:name="_Toc21208"/>
      <w:bookmarkStart w:id="8763" w:name="_Toc17796"/>
      <w:bookmarkStart w:id="8764" w:name="_Toc29704"/>
      <w:bookmarkStart w:id="8765" w:name="_Toc28120"/>
      <w:bookmarkStart w:id="8766" w:name="_Toc16960"/>
      <w:bookmarkStart w:id="8767" w:name="_Toc4044"/>
      <w:bookmarkStart w:id="8768" w:name="_Toc30795"/>
      <w:bookmarkStart w:id="8769" w:name="_Toc17906"/>
      <w:bookmarkStart w:id="8770" w:name="_Toc8766"/>
      <w:bookmarkStart w:id="8771" w:name="_Toc3967"/>
      <w:bookmarkStart w:id="8772" w:name="_Toc12421"/>
      <w:bookmarkStart w:id="8773" w:name="_Toc28630"/>
      <w:bookmarkStart w:id="8774" w:name="_Toc5883"/>
      <w:bookmarkStart w:id="8775" w:name="_Toc23328"/>
      <w:bookmarkStart w:id="8776" w:name="_Toc7235"/>
      <w:bookmarkStart w:id="8777" w:name="_Toc18757"/>
      <w:bookmarkStart w:id="8778" w:name="_Toc25223"/>
      <w:bookmarkStart w:id="8779" w:name="_Toc27537"/>
      <w:bookmarkStart w:id="8780" w:name="_Toc14764"/>
      <w:bookmarkStart w:id="8781" w:name="_Toc23352"/>
      <w:bookmarkStart w:id="8782" w:name="_Toc23045"/>
      <w:bookmarkStart w:id="8783" w:name="_Toc11129"/>
      <w:bookmarkStart w:id="8784" w:name="_Toc4754"/>
      <w:bookmarkStart w:id="8785" w:name="_Toc27023"/>
      <w:bookmarkStart w:id="8786" w:name="_Toc20559"/>
      <w:bookmarkStart w:id="8787" w:name="_Toc23652"/>
      <w:bookmarkStart w:id="8788" w:name="_Toc1351"/>
      <w:bookmarkStart w:id="8789" w:name="_Toc18163"/>
      <w:bookmarkStart w:id="8790" w:name="_Toc2830"/>
      <w:bookmarkStart w:id="8791" w:name="_Toc23576"/>
      <w:bookmarkStart w:id="8792" w:name="_Toc31546"/>
      <w:bookmarkStart w:id="8793" w:name="_Toc11431"/>
      <w:bookmarkStart w:id="8794" w:name="_Toc15018"/>
      <w:bookmarkStart w:id="8795" w:name="_Toc1507"/>
      <w:bookmarkStart w:id="8796" w:name="_Toc27762"/>
      <w:bookmarkStart w:id="8797" w:name="_Toc10608"/>
      <w:bookmarkStart w:id="8798" w:name="_Toc54"/>
      <w:bookmarkStart w:id="8799" w:name="_Toc244"/>
      <w:bookmarkStart w:id="8800" w:name="_Toc1227"/>
      <w:bookmarkStart w:id="8801" w:name="_Toc10880"/>
      <w:bookmarkStart w:id="8802" w:name="_Toc20981"/>
      <w:bookmarkStart w:id="8803" w:name="_Toc17394"/>
      <w:bookmarkStart w:id="8804" w:name="_Toc14724"/>
      <w:bookmarkStart w:id="8805" w:name="_Toc12295"/>
      <w:bookmarkStart w:id="8806" w:name="_Toc8313"/>
      <w:bookmarkStart w:id="8807" w:name="_Toc26633"/>
      <w:bookmarkStart w:id="8808" w:name="_Toc24817"/>
      <w:r>
        <w:rPr>
          <w:rFonts w:hint="eastAsia"/>
        </w:rPr>
        <w:t>二、劳动力安排及保障措施</w:t>
      </w:r>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p>
    <w:p w14:paraId="3856A2E5">
      <w:pPr>
        <w:pStyle w:val="5"/>
        <w:spacing w:before="31" w:after="31"/>
        <w:ind w:firstLine="562"/>
      </w:pPr>
      <w:bookmarkStart w:id="8809" w:name="_Toc28817"/>
      <w:bookmarkStart w:id="8810" w:name="_Toc23754"/>
      <w:bookmarkStart w:id="8811" w:name="_Toc30607"/>
      <w:bookmarkStart w:id="8812" w:name="_Toc8765"/>
      <w:bookmarkStart w:id="8813" w:name="_Toc16493"/>
      <w:bookmarkStart w:id="8814" w:name="_Toc17218"/>
      <w:bookmarkStart w:id="8815" w:name="_Toc29687"/>
      <w:bookmarkStart w:id="8816" w:name="_Toc23127"/>
      <w:bookmarkStart w:id="8817" w:name="_Toc27211"/>
      <w:bookmarkStart w:id="8818" w:name="_Toc16686"/>
      <w:bookmarkStart w:id="8819" w:name="_Toc25032"/>
      <w:bookmarkStart w:id="8820" w:name="_Toc32461"/>
      <w:bookmarkStart w:id="8821" w:name="_Toc11004"/>
      <w:bookmarkStart w:id="8822" w:name="_Toc295"/>
      <w:bookmarkStart w:id="8823" w:name="_Toc3171"/>
      <w:bookmarkStart w:id="8824" w:name="_Toc28141"/>
      <w:bookmarkStart w:id="8825" w:name="_Toc6765"/>
      <w:bookmarkStart w:id="8826" w:name="_Toc32102"/>
      <w:bookmarkStart w:id="8827" w:name="_Toc13980"/>
      <w:bookmarkStart w:id="8828" w:name="_Toc32385"/>
      <w:bookmarkStart w:id="8829" w:name="_Toc13756"/>
      <w:bookmarkStart w:id="8830" w:name="_Toc12109"/>
      <w:bookmarkStart w:id="8831" w:name="_Toc25166"/>
      <w:bookmarkStart w:id="8832" w:name="_Toc16413"/>
      <w:bookmarkStart w:id="8833" w:name="_Toc14572"/>
      <w:bookmarkStart w:id="8834" w:name="_Toc13645"/>
      <w:bookmarkStart w:id="8835" w:name="_Toc32653"/>
      <w:bookmarkStart w:id="8836" w:name="_Toc19004"/>
      <w:bookmarkStart w:id="8837" w:name="_Toc16150"/>
      <w:bookmarkStart w:id="8838" w:name="_Toc16312"/>
      <w:bookmarkStart w:id="8839" w:name="_Toc31214"/>
      <w:bookmarkStart w:id="8840" w:name="_Toc4980"/>
      <w:bookmarkStart w:id="8841" w:name="_Toc4844"/>
      <w:bookmarkStart w:id="8842" w:name="_Toc6904"/>
      <w:bookmarkStart w:id="8843" w:name="_Toc2389"/>
      <w:bookmarkStart w:id="8844" w:name="_Toc25456"/>
      <w:bookmarkStart w:id="8845" w:name="_Toc8501"/>
      <w:bookmarkStart w:id="8846" w:name="_Toc19701"/>
      <w:bookmarkStart w:id="8847" w:name="_Toc28887"/>
      <w:bookmarkStart w:id="8848" w:name="_Toc7761"/>
      <w:bookmarkStart w:id="8849" w:name="_Toc23984"/>
      <w:bookmarkStart w:id="8850" w:name="_Toc21983"/>
      <w:bookmarkStart w:id="8851" w:name="_Toc12981"/>
      <w:bookmarkStart w:id="8852" w:name="_Toc12699"/>
      <w:bookmarkStart w:id="8853" w:name="_Toc569"/>
      <w:bookmarkStart w:id="8854" w:name="_Toc12242"/>
      <w:bookmarkStart w:id="8855" w:name="_Toc32209"/>
      <w:bookmarkStart w:id="8856" w:name="_Toc13727"/>
      <w:bookmarkStart w:id="8857" w:name="_Toc6790"/>
      <w:bookmarkStart w:id="8858" w:name="_Toc28516"/>
      <w:bookmarkStart w:id="8859" w:name="_Toc7543"/>
      <w:r>
        <w:rPr>
          <w:rFonts w:hint="eastAsia"/>
        </w:rPr>
        <w:t>（一）施工劳动力投入的原则及管理要求</w:t>
      </w:r>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3"/>
        <w:gridCol w:w="7567"/>
      </w:tblGrid>
      <w:tr w14:paraId="30238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7" w:type="pct"/>
            <w:shd w:val="clear" w:color="auto" w:fill="auto"/>
          </w:tcPr>
          <w:p w14:paraId="5C91FCC7">
            <w:pPr>
              <w:pStyle w:val="18"/>
              <w:rPr>
                <w:lang w:val="en-US"/>
              </w:rPr>
            </w:pPr>
            <w:r>
              <w:rPr>
                <w:rFonts w:hint="eastAsia"/>
                <w:lang w:val="en-US"/>
              </w:rPr>
              <w:t>原则</w:t>
            </w:r>
          </w:p>
        </w:tc>
        <w:tc>
          <w:tcPr>
            <w:tcW w:w="3542" w:type="pct"/>
            <w:shd w:val="clear" w:color="auto" w:fill="auto"/>
          </w:tcPr>
          <w:p w14:paraId="3F7617CC">
            <w:pPr>
              <w:pStyle w:val="18"/>
              <w:rPr>
                <w:lang w:val="en-US"/>
              </w:rPr>
            </w:pPr>
            <w:r>
              <w:rPr>
                <w:rFonts w:hint="eastAsia"/>
                <w:lang w:val="en-US"/>
              </w:rPr>
              <w:t>管理要求</w:t>
            </w:r>
          </w:p>
        </w:tc>
      </w:tr>
      <w:tr w14:paraId="54F56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7" w:type="pct"/>
            <w:shd w:val="clear" w:color="auto" w:fill="auto"/>
            <w:vAlign w:val="center"/>
          </w:tcPr>
          <w:p w14:paraId="4C57FB0E">
            <w:pPr>
              <w:pStyle w:val="18"/>
              <w:rPr>
                <w:lang w:val="en-US"/>
              </w:rPr>
            </w:pPr>
            <w:r>
              <w:rPr>
                <w:rFonts w:hint="eastAsia"/>
                <w:lang w:val="en-US"/>
              </w:rPr>
              <w:t>技术素质高劳务工人</w:t>
            </w:r>
          </w:p>
        </w:tc>
        <w:tc>
          <w:tcPr>
            <w:tcW w:w="3542" w:type="pct"/>
            <w:shd w:val="clear" w:color="auto" w:fill="auto"/>
          </w:tcPr>
          <w:p w14:paraId="379BA7E5">
            <w:pPr>
              <w:pStyle w:val="18"/>
              <w:ind w:firstLine="560" w:firstLineChars="200"/>
              <w:jc w:val="left"/>
              <w:rPr>
                <w:lang w:val="en-US"/>
              </w:rPr>
            </w:pPr>
            <w:r>
              <w:rPr>
                <w:rFonts w:hint="eastAsia"/>
                <w:lang w:val="en-US"/>
              </w:rPr>
              <w:t>为确保工程顺利进行施工，在本工程劳动力组织时，将从劳务公司中抽出具有良好的质量和安全意识强的、技术素质高的、身体健康，且有类似工程施工经验的一线操作工人安排进场施工，施工人员进场前统一经过公司劳务技能及质量、安全技术等培训，考核合格后上岗挂牌施工。</w:t>
            </w:r>
          </w:p>
        </w:tc>
      </w:tr>
      <w:tr w14:paraId="3908B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7" w:type="pct"/>
            <w:shd w:val="clear" w:color="auto" w:fill="auto"/>
            <w:vAlign w:val="center"/>
          </w:tcPr>
          <w:p w14:paraId="5FDA4D9B">
            <w:pPr>
              <w:pStyle w:val="18"/>
              <w:rPr>
                <w:lang w:val="en-US"/>
              </w:rPr>
            </w:pPr>
            <w:r>
              <w:rPr>
                <w:rFonts w:hint="eastAsia"/>
                <w:lang w:val="en-US"/>
              </w:rPr>
              <w:t>施工劳动力的投入</w:t>
            </w:r>
          </w:p>
        </w:tc>
        <w:tc>
          <w:tcPr>
            <w:tcW w:w="3542" w:type="pct"/>
            <w:shd w:val="clear" w:color="auto" w:fill="auto"/>
          </w:tcPr>
          <w:p w14:paraId="0B8A70E7">
            <w:pPr>
              <w:pStyle w:val="18"/>
              <w:ind w:firstLine="560" w:firstLineChars="200"/>
              <w:jc w:val="left"/>
              <w:rPr>
                <w:lang w:val="en-US"/>
              </w:rPr>
            </w:pPr>
            <w:r>
              <w:rPr>
                <w:rFonts w:hint="eastAsia"/>
                <w:lang w:val="en-US"/>
              </w:rPr>
              <w:t>施工劳动力的投入按工程施工进度的需要，逐步到位做好思想动员和采取经济措施使得假期保证足够劳动力，以确保工程施工进度。</w:t>
            </w:r>
          </w:p>
        </w:tc>
      </w:tr>
      <w:tr w14:paraId="7C5A0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7" w:type="pct"/>
            <w:shd w:val="clear" w:color="auto" w:fill="auto"/>
            <w:vAlign w:val="center"/>
          </w:tcPr>
          <w:p w14:paraId="2E338484">
            <w:pPr>
              <w:pStyle w:val="18"/>
              <w:rPr>
                <w:lang w:val="en-US"/>
              </w:rPr>
            </w:pPr>
            <w:r>
              <w:rPr>
                <w:rFonts w:hint="eastAsia"/>
                <w:lang w:val="en-US"/>
              </w:rPr>
              <w:t>劳动力组织及投入</w:t>
            </w:r>
          </w:p>
        </w:tc>
        <w:tc>
          <w:tcPr>
            <w:tcW w:w="3542" w:type="pct"/>
            <w:shd w:val="clear" w:color="auto" w:fill="auto"/>
          </w:tcPr>
          <w:p w14:paraId="20F34D95">
            <w:pPr>
              <w:pStyle w:val="18"/>
              <w:ind w:firstLine="560" w:firstLineChars="200"/>
              <w:jc w:val="left"/>
              <w:rPr>
                <w:lang w:val="en-US"/>
              </w:rPr>
            </w:pPr>
            <w:r>
              <w:rPr>
                <w:rFonts w:hint="eastAsia"/>
                <w:lang w:val="en-US"/>
              </w:rPr>
              <w:t>本工程劳动力组织及投入均由劳务公司根据项目月度劳动力计划表，在本公司内部进行合理调配，确保项目部对各种劳动力的需要，确保施工进度计划能够按期完成。</w:t>
            </w:r>
          </w:p>
        </w:tc>
      </w:tr>
      <w:tr w14:paraId="75ECA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7" w:type="pct"/>
            <w:shd w:val="clear" w:color="auto" w:fill="auto"/>
            <w:vAlign w:val="center"/>
          </w:tcPr>
          <w:p w14:paraId="0259EFA7">
            <w:pPr>
              <w:pStyle w:val="18"/>
              <w:rPr>
                <w:lang w:val="en-US"/>
              </w:rPr>
            </w:pPr>
            <w:r>
              <w:rPr>
                <w:rFonts w:hint="eastAsia"/>
                <w:lang w:val="en-US"/>
              </w:rPr>
              <w:t>施工劳动力组织的要求</w:t>
            </w:r>
          </w:p>
        </w:tc>
        <w:tc>
          <w:tcPr>
            <w:tcW w:w="3542" w:type="pct"/>
            <w:shd w:val="clear" w:color="auto" w:fill="auto"/>
          </w:tcPr>
          <w:p w14:paraId="57F23C24">
            <w:pPr>
              <w:pStyle w:val="18"/>
              <w:ind w:firstLine="560" w:firstLineChars="200"/>
              <w:jc w:val="left"/>
              <w:rPr>
                <w:lang w:val="en-US"/>
              </w:rPr>
            </w:pPr>
            <w:r>
              <w:rPr>
                <w:rFonts w:hint="eastAsia"/>
                <w:lang w:val="en-US"/>
              </w:rPr>
              <w:t>施工组织主要分为人员组织、机械设备组织、材料组织、运输组织、协调组织等五部分，这些组织内容安排是否合理将直接影响整个施工的生产过程能否顺利完成。</w:t>
            </w:r>
          </w:p>
        </w:tc>
      </w:tr>
    </w:tbl>
    <w:p w14:paraId="32A90289">
      <w:pPr>
        <w:pStyle w:val="5"/>
        <w:spacing w:before="31" w:after="31"/>
        <w:ind w:firstLine="562"/>
      </w:pPr>
      <w:bookmarkStart w:id="8860" w:name="_Toc21839"/>
      <w:bookmarkStart w:id="8861" w:name="_Toc6695"/>
      <w:bookmarkStart w:id="8862" w:name="_Toc24899"/>
      <w:bookmarkStart w:id="8863" w:name="_Toc22728"/>
      <w:bookmarkStart w:id="8864" w:name="_Toc7732"/>
      <w:bookmarkStart w:id="8865" w:name="_Toc17755"/>
      <w:bookmarkStart w:id="8866" w:name="_Toc5440"/>
      <w:bookmarkStart w:id="8867" w:name="_Toc29784"/>
      <w:bookmarkStart w:id="8868" w:name="_Toc18732"/>
      <w:bookmarkStart w:id="8869" w:name="_Toc22088"/>
      <w:bookmarkStart w:id="8870" w:name="_Toc29254"/>
      <w:bookmarkStart w:id="8871" w:name="_Toc14224"/>
      <w:bookmarkStart w:id="8872" w:name="_Toc6148"/>
      <w:bookmarkStart w:id="8873" w:name="_Toc18469"/>
      <w:bookmarkStart w:id="8874" w:name="_Toc14851"/>
      <w:bookmarkStart w:id="8875" w:name="_Toc13940"/>
      <w:bookmarkStart w:id="8876" w:name="_Toc30334"/>
      <w:bookmarkStart w:id="8877" w:name="_Toc23935"/>
      <w:bookmarkStart w:id="8878" w:name="_Toc10815"/>
      <w:bookmarkStart w:id="8879" w:name="_Toc26771"/>
      <w:bookmarkStart w:id="8880" w:name="_Toc12977"/>
      <w:bookmarkStart w:id="8881" w:name="_Toc9067"/>
      <w:bookmarkStart w:id="8882" w:name="_Toc21748"/>
      <w:bookmarkStart w:id="8883" w:name="_Toc7464"/>
      <w:bookmarkStart w:id="8884" w:name="_Toc25242"/>
      <w:bookmarkStart w:id="8885" w:name="_Toc10239"/>
      <w:bookmarkStart w:id="8886" w:name="_Toc23884"/>
      <w:bookmarkStart w:id="8887" w:name="_Toc27520"/>
      <w:bookmarkStart w:id="8888" w:name="_Toc9294"/>
      <w:bookmarkStart w:id="8889" w:name="_Toc32594"/>
      <w:bookmarkStart w:id="8890" w:name="_Toc29203"/>
      <w:bookmarkStart w:id="8891" w:name="_Toc21263"/>
      <w:bookmarkStart w:id="8892" w:name="_Toc9420"/>
      <w:bookmarkStart w:id="8893" w:name="_Toc24751"/>
      <w:bookmarkStart w:id="8894" w:name="_Toc10667"/>
      <w:bookmarkStart w:id="8895" w:name="_Toc10638"/>
      <w:bookmarkStart w:id="8896" w:name="_Toc27021"/>
      <w:bookmarkStart w:id="8897" w:name="_Toc18058"/>
      <w:bookmarkStart w:id="8898" w:name="_Toc27321"/>
      <w:bookmarkStart w:id="8899" w:name="_Toc27642"/>
      <w:bookmarkStart w:id="8900" w:name="_Toc6221"/>
      <w:bookmarkStart w:id="8901" w:name="_Toc30548"/>
      <w:bookmarkStart w:id="8902" w:name="_Toc13923"/>
      <w:bookmarkStart w:id="8903" w:name="_Toc7736"/>
      <w:bookmarkStart w:id="8904" w:name="_Toc10287"/>
      <w:bookmarkStart w:id="8905" w:name="_Toc30571"/>
      <w:bookmarkStart w:id="8906" w:name="_Toc29208"/>
      <w:r>
        <w:rPr>
          <w:rFonts w:hint="eastAsia"/>
        </w:rPr>
        <w:t>（二）人员组织</w:t>
      </w:r>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p>
    <w:p w14:paraId="47A21159">
      <w:pPr>
        <w:ind w:firstLine="560"/>
      </w:pPr>
      <w:r>
        <w:rPr>
          <w:rFonts w:hint="eastAsia"/>
        </w:rPr>
        <w:t>1、管理人员配备我公司在施工管理、协调控制能力上都有很大的优势，且在施工管理层人员组织上更是有广泛的选择，在组建本工程项目管理班子时，我公司将选派曾施工过类似本工程结构形式的具有丰富施工经验的项目管理班子进驻现场直接参与本工程的建设和管理。</w:t>
      </w:r>
    </w:p>
    <w:p w14:paraId="5D151FAB">
      <w:pPr>
        <w:ind w:firstLine="560"/>
      </w:pPr>
      <w:r>
        <w:rPr>
          <w:rFonts w:hint="eastAsia"/>
        </w:rPr>
        <w:t>我们将配备齐项目班子，根据本工程的规模和特点，项目经理部拟定采用直线职能式的管理模式。项目经理部设工程施工部、工程技术部、器材供应部、质量安全部和办公室等职能部门。在生产组织上，施工管理部设综合工长和各专业工长，由他们具体组织施工实施。此模式具有职责分明、指令畅通、管理高效的特点。</w:t>
      </w:r>
    </w:p>
    <w:p w14:paraId="29C4A421">
      <w:pPr>
        <w:ind w:firstLine="560"/>
      </w:pPr>
      <w:r>
        <w:rPr>
          <w:rFonts w:hint="eastAsia"/>
        </w:rPr>
        <w:t>2、劳务人员的配备</w:t>
      </w:r>
    </w:p>
    <w:p w14:paraId="53245C12">
      <w:pPr>
        <w:ind w:firstLine="560"/>
      </w:pPr>
      <w:r>
        <w:t>1.劳动力的选择进行劳动力的选择时应考虑以下因素：</w:t>
      </w:r>
    </w:p>
    <w:p w14:paraId="52D6C76A">
      <w:pPr>
        <w:ind w:firstLine="560"/>
      </w:pPr>
      <w:r>
        <w:t>劳动力素质：为保证现场施工质量，需根据本工程的特点，选用素质较高、有类似工程施工经验的劳动力，并通过现场短期的培训不断提高劳动力的综合素质。</w:t>
      </w:r>
    </w:p>
    <w:p w14:paraId="1C6DB6D8">
      <w:pPr>
        <w:ind w:firstLine="560"/>
      </w:pPr>
      <w:r>
        <w:t>劳动力数量：根据工程的规模和施工技术特性及进度安排，按比例配备一定数量的劳动力，以避免窝工，又不出现缺人现象，使得现有劳动力得以充分利用。</w:t>
      </w:r>
    </w:p>
    <w:p w14:paraId="15255992">
      <w:pPr>
        <w:ind w:firstLine="560"/>
      </w:pPr>
      <w:r>
        <w:t>劳动力组织形式：建立适合于本工程特点的精干、高效的劳动力组织形式，做到管理到位、人员调动灵活且能降低管理费用。</w:t>
      </w:r>
    </w:p>
    <w:p w14:paraId="0E526F6D">
      <w:pPr>
        <w:ind w:firstLine="560"/>
      </w:pPr>
      <w:r>
        <w:t>根据本工程的特点结合我单位的实际情况，调遣具有较高施工技术水平和丰富施工经验的施工队。</w:t>
      </w:r>
    </w:p>
    <w:p w14:paraId="64F123FE">
      <w:pPr>
        <w:ind w:firstLine="560"/>
      </w:pPr>
      <w:r>
        <w:t>2.劳动力保障措施劳动力投入及培训保证</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3387"/>
        <w:gridCol w:w="6675"/>
      </w:tblGrid>
      <w:tr w14:paraId="334D5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shd w:val="clear" w:color="auto" w:fill="auto"/>
          </w:tcPr>
          <w:p w14:paraId="15A98777">
            <w:pPr>
              <w:pStyle w:val="18"/>
              <w:rPr>
                <w:rFonts w:eastAsia="仿宋"/>
                <w:lang w:val="en-US"/>
              </w:rPr>
            </w:pPr>
            <w:r>
              <w:rPr>
                <w:rFonts w:hint="eastAsia"/>
                <w:lang w:val="en-US"/>
              </w:rPr>
              <w:t>序号</w:t>
            </w:r>
          </w:p>
        </w:tc>
        <w:tc>
          <w:tcPr>
            <w:tcW w:w="1585" w:type="pct"/>
            <w:shd w:val="clear" w:color="auto" w:fill="auto"/>
          </w:tcPr>
          <w:p w14:paraId="0F3EA2A1">
            <w:pPr>
              <w:pStyle w:val="18"/>
              <w:rPr>
                <w:rFonts w:eastAsia="仿宋"/>
              </w:rPr>
            </w:pPr>
            <w:r>
              <w:rPr>
                <w:rFonts w:hint="eastAsia"/>
              </w:rPr>
              <w:t>内容名称</w:t>
            </w:r>
          </w:p>
        </w:tc>
        <w:tc>
          <w:tcPr>
            <w:tcW w:w="3124" w:type="pct"/>
            <w:shd w:val="clear" w:color="auto" w:fill="auto"/>
          </w:tcPr>
          <w:p w14:paraId="56DFC20F">
            <w:pPr>
              <w:pStyle w:val="18"/>
            </w:pPr>
            <w:r>
              <w:rPr>
                <w:rFonts w:hint="eastAsia"/>
              </w:rPr>
              <w:t>劳动力投入及培训保障内容</w:t>
            </w:r>
          </w:p>
        </w:tc>
      </w:tr>
      <w:tr w14:paraId="40C63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shd w:val="clear" w:color="auto" w:fill="auto"/>
            <w:vAlign w:val="center"/>
          </w:tcPr>
          <w:p w14:paraId="15BAF8FD">
            <w:pPr>
              <w:pStyle w:val="18"/>
              <w:rPr>
                <w:rFonts w:eastAsia="仿宋"/>
                <w:lang w:val="en-US"/>
              </w:rPr>
            </w:pPr>
            <w:r>
              <w:rPr>
                <w:rFonts w:hint="eastAsia"/>
                <w:lang w:val="en-US"/>
              </w:rPr>
              <w:t>1</w:t>
            </w:r>
          </w:p>
        </w:tc>
        <w:tc>
          <w:tcPr>
            <w:tcW w:w="1585" w:type="pct"/>
            <w:shd w:val="clear" w:color="auto" w:fill="auto"/>
            <w:vAlign w:val="center"/>
          </w:tcPr>
          <w:p w14:paraId="7040DC0E">
            <w:pPr>
              <w:pStyle w:val="18"/>
            </w:pPr>
            <w:r>
              <w:rPr>
                <w:rFonts w:hint="eastAsia"/>
              </w:rPr>
              <w:t>工资保证</w:t>
            </w:r>
          </w:p>
        </w:tc>
        <w:tc>
          <w:tcPr>
            <w:tcW w:w="3124" w:type="pct"/>
            <w:shd w:val="clear" w:color="auto" w:fill="auto"/>
          </w:tcPr>
          <w:p w14:paraId="4D3C2B8E">
            <w:pPr>
              <w:pStyle w:val="18"/>
              <w:ind w:firstLine="560" w:firstLineChars="200"/>
              <w:jc w:val="left"/>
              <w:rPr>
                <w:rFonts w:eastAsia="仿宋"/>
              </w:rPr>
            </w:pPr>
            <w:r>
              <w:rPr>
                <w:rFonts w:hint="eastAsia"/>
              </w:rPr>
              <w:t>准备充足的资金，及时支付各专业队伍的劳务费用，保证不拖欠施工人员的工资，为施工作业人员的充足准备提供保证。</w:t>
            </w:r>
          </w:p>
        </w:tc>
      </w:tr>
      <w:tr w14:paraId="62D7D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shd w:val="clear" w:color="auto" w:fill="auto"/>
            <w:vAlign w:val="center"/>
          </w:tcPr>
          <w:p w14:paraId="28682280">
            <w:pPr>
              <w:pStyle w:val="18"/>
              <w:rPr>
                <w:rFonts w:eastAsia="仿宋"/>
                <w:lang w:val="en-US"/>
              </w:rPr>
            </w:pPr>
            <w:r>
              <w:rPr>
                <w:rFonts w:hint="eastAsia"/>
                <w:lang w:val="en-US"/>
              </w:rPr>
              <w:t>2</w:t>
            </w:r>
          </w:p>
        </w:tc>
        <w:tc>
          <w:tcPr>
            <w:tcW w:w="1585" w:type="pct"/>
            <w:shd w:val="clear" w:color="auto" w:fill="auto"/>
            <w:vAlign w:val="center"/>
          </w:tcPr>
          <w:p w14:paraId="4921A390">
            <w:pPr>
              <w:pStyle w:val="18"/>
            </w:pPr>
            <w:r>
              <w:rPr>
                <w:rFonts w:hint="eastAsia"/>
              </w:rPr>
              <w:t>良好的后勤保障</w:t>
            </w:r>
          </w:p>
        </w:tc>
        <w:tc>
          <w:tcPr>
            <w:tcW w:w="3124" w:type="pct"/>
            <w:shd w:val="clear" w:color="auto" w:fill="auto"/>
          </w:tcPr>
          <w:p w14:paraId="12A0AB16">
            <w:pPr>
              <w:pStyle w:val="18"/>
              <w:ind w:firstLine="560" w:firstLineChars="200"/>
              <w:jc w:val="left"/>
              <w:rPr>
                <w:rFonts w:eastAsia="仿宋"/>
              </w:rPr>
            </w:pPr>
            <w:r>
              <w:rPr>
                <w:rFonts w:hint="eastAsia"/>
              </w:rPr>
              <w:t>搞好生活后勤保障工作：在施工人员进场前，必须做好后勤工作的安排，为职工的衣、食、住、行、医等予以全面考虑，认真落实，以便充分调动职工人的生产积极性。</w:t>
            </w:r>
          </w:p>
        </w:tc>
      </w:tr>
      <w:tr w14:paraId="77F69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shd w:val="clear" w:color="auto" w:fill="auto"/>
            <w:vAlign w:val="center"/>
          </w:tcPr>
          <w:p w14:paraId="3B39BD87">
            <w:pPr>
              <w:pStyle w:val="18"/>
              <w:rPr>
                <w:rFonts w:eastAsia="仿宋"/>
                <w:lang w:val="en-US"/>
              </w:rPr>
            </w:pPr>
            <w:r>
              <w:rPr>
                <w:rFonts w:hint="eastAsia"/>
                <w:lang w:val="en-US"/>
              </w:rPr>
              <w:t>3</w:t>
            </w:r>
          </w:p>
        </w:tc>
        <w:tc>
          <w:tcPr>
            <w:tcW w:w="1585" w:type="pct"/>
            <w:shd w:val="clear" w:color="auto" w:fill="auto"/>
            <w:vAlign w:val="center"/>
          </w:tcPr>
          <w:p w14:paraId="1A6AF3E5">
            <w:pPr>
              <w:pStyle w:val="18"/>
            </w:pPr>
            <w:r>
              <w:rPr>
                <w:rFonts w:hint="eastAsia"/>
              </w:rPr>
              <w:t>组织学习</w:t>
            </w:r>
          </w:p>
        </w:tc>
        <w:tc>
          <w:tcPr>
            <w:tcW w:w="3124" w:type="pct"/>
            <w:shd w:val="clear" w:color="auto" w:fill="auto"/>
          </w:tcPr>
          <w:p w14:paraId="0AFBBD09">
            <w:pPr>
              <w:pStyle w:val="18"/>
              <w:ind w:firstLine="560" w:firstLineChars="200"/>
              <w:jc w:val="left"/>
            </w:pPr>
            <w:r>
              <w:rPr>
                <w:rFonts w:hint="eastAsia"/>
              </w:rPr>
              <w:t>组织工人学习本单位规章管理制度及项目规章管理制度。</w:t>
            </w:r>
          </w:p>
        </w:tc>
      </w:tr>
      <w:tr w14:paraId="3D93E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shd w:val="clear" w:color="auto" w:fill="auto"/>
            <w:vAlign w:val="center"/>
          </w:tcPr>
          <w:p w14:paraId="37B82D8E">
            <w:pPr>
              <w:pStyle w:val="18"/>
              <w:rPr>
                <w:rFonts w:eastAsia="仿宋"/>
                <w:lang w:val="en-US"/>
              </w:rPr>
            </w:pPr>
            <w:r>
              <w:rPr>
                <w:rFonts w:hint="eastAsia"/>
                <w:lang w:val="en-US"/>
              </w:rPr>
              <w:t>4</w:t>
            </w:r>
          </w:p>
        </w:tc>
        <w:tc>
          <w:tcPr>
            <w:tcW w:w="1585" w:type="pct"/>
            <w:shd w:val="clear" w:color="auto" w:fill="auto"/>
            <w:vAlign w:val="center"/>
          </w:tcPr>
          <w:p w14:paraId="10798A54">
            <w:pPr>
              <w:pStyle w:val="18"/>
              <w:rPr>
                <w:rFonts w:eastAsia="仿宋"/>
              </w:rPr>
            </w:pPr>
            <w:r>
              <w:rPr>
                <w:rFonts w:hint="eastAsia"/>
              </w:rPr>
              <w:t>集中教育</w:t>
            </w:r>
          </w:p>
        </w:tc>
        <w:tc>
          <w:tcPr>
            <w:tcW w:w="3124" w:type="pct"/>
            <w:shd w:val="clear" w:color="auto" w:fill="auto"/>
          </w:tcPr>
          <w:p w14:paraId="6F6AD958">
            <w:pPr>
              <w:pStyle w:val="18"/>
              <w:ind w:firstLine="560" w:firstLineChars="200"/>
              <w:jc w:val="left"/>
            </w:pPr>
            <w:r>
              <w:rPr>
                <w:rFonts w:hint="eastAsia"/>
              </w:rPr>
              <w:t>对所有员工集中进行必要的技术、安全、消防教育。</w:t>
            </w:r>
          </w:p>
        </w:tc>
      </w:tr>
      <w:tr w14:paraId="4236D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shd w:val="clear" w:color="auto" w:fill="auto"/>
            <w:vAlign w:val="center"/>
          </w:tcPr>
          <w:p w14:paraId="3834EC8D">
            <w:pPr>
              <w:pStyle w:val="18"/>
              <w:rPr>
                <w:rFonts w:eastAsia="仿宋"/>
                <w:lang w:val="en-US"/>
              </w:rPr>
            </w:pPr>
            <w:r>
              <w:rPr>
                <w:rFonts w:hint="eastAsia"/>
                <w:lang w:val="en-US"/>
              </w:rPr>
              <w:t>5</w:t>
            </w:r>
          </w:p>
        </w:tc>
        <w:tc>
          <w:tcPr>
            <w:tcW w:w="1585" w:type="pct"/>
            <w:shd w:val="clear" w:color="auto" w:fill="auto"/>
            <w:vAlign w:val="center"/>
          </w:tcPr>
          <w:p w14:paraId="37693F45">
            <w:pPr>
              <w:pStyle w:val="18"/>
            </w:pPr>
            <w:r>
              <w:rPr>
                <w:rFonts w:hint="eastAsia"/>
              </w:rPr>
              <w:t>各项交底</w:t>
            </w:r>
          </w:p>
        </w:tc>
        <w:tc>
          <w:tcPr>
            <w:tcW w:w="3124" w:type="pct"/>
            <w:shd w:val="clear" w:color="auto" w:fill="auto"/>
          </w:tcPr>
          <w:p w14:paraId="3D502224">
            <w:pPr>
              <w:pStyle w:val="18"/>
              <w:ind w:firstLine="560" w:firstLineChars="200"/>
              <w:jc w:val="left"/>
              <w:rPr>
                <w:rFonts w:eastAsia="仿宋"/>
              </w:rPr>
            </w:pPr>
            <w:r>
              <w:rPr>
                <w:rFonts w:hint="eastAsia"/>
              </w:rPr>
              <w:t>各分项工程在开工前的技术交底，明确施工的重点和难点。</w:t>
            </w:r>
          </w:p>
        </w:tc>
      </w:tr>
      <w:tr w14:paraId="1F950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shd w:val="clear" w:color="auto" w:fill="auto"/>
            <w:vAlign w:val="center"/>
          </w:tcPr>
          <w:p w14:paraId="04E132FB">
            <w:pPr>
              <w:pStyle w:val="18"/>
              <w:rPr>
                <w:rFonts w:eastAsia="仿宋"/>
                <w:lang w:val="en-US"/>
              </w:rPr>
            </w:pPr>
            <w:r>
              <w:rPr>
                <w:rFonts w:hint="eastAsia"/>
                <w:lang w:val="en-US"/>
              </w:rPr>
              <w:t>6</w:t>
            </w:r>
          </w:p>
        </w:tc>
        <w:tc>
          <w:tcPr>
            <w:tcW w:w="1585" w:type="pct"/>
            <w:shd w:val="clear" w:color="auto" w:fill="auto"/>
            <w:vAlign w:val="center"/>
          </w:tcPr>
          <w:p w14:paraId="7F5213C9">
            <w:pPr>
              <w:pStyle w:val="18"/>
              <w:rPr>
                <w:rFonts w:eastAsia="仿宋"/>
              </w:rPr>
            </w:pPr>
            <w:r>
              <w:rPr>
                <w:rFonts w:hint="eastAsia"/>
              </w:rPr>
              <w:t>强化培训</w:t>
            </w:r>
          </w:p>
        </w:tc>
        <w:tc>
          <w:tcPr>
            <w:tcW w:w="3124" w:type="pct"/>
            <w:shd w:val="clear" w:color="auto" w:fill="auto"/>
          </w:tcPr>
          <w:p w14:paraId="64CB071B">
            <w:pPr>
              <w:pStyle w:val="18"/>
              <w:ind w:firstLine="560" w:firstLineChars="200"/>
              <w:jc w:val="left"/>
            </w:pPr>
            <w:r>
              <w:rPr>
                <w:rFonts w:hint="eastAsia"/>
              </w:rPr>
              <w:t>把项目的质量，文明施工目标层层分解、交底，让每一个员工明确自己的目标和要求。对关键性的工艺，工法有针对性地组织相关工种人员进行培训。</w:t>
            </w:r>
          </w:p>
        </w:tc>
      </w:tr>
      <w:tr w14:paraId="515DA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shd w:val="clear" w:color="auto" w:fill="auto"/>
            <w:vAlign w:val="center"/>
          </w:tcPr>
          <w:p w14:paraId="238DDE7D">
            <w:pPr>
              <w:pStyle w:val="18"/>
              <w:rPr>
                <w:rFonts w:eastAsia="仿宋"/>
                <w:lang w:val="en-US"/>
              </w:rPr>
            </w:pPr>
            <w:r>
              <w:rPr>
                <w:rFonts w:hint="eastAsia"/>
                <w:lang w:val="en-US"/>
              </w:rPr>
              <w:t>7</w:t>
            </w:r>
          </w:p>
        </w:tc>
        <w:tc>
          <w:tcPr>
            <w:tcW w:w="1585" w:type="pct"/>
            <w:shd w:val="clear" w:color="auto" w:fill="auto"/>
            <w:vAlign w:val="center"/>
          </w:tcPr>
          <w:p w14:paraId="2C436F02">
            <w:pPr>
              <w:pStyle w:val="18"/>
              <w:rPr>
                <w:rFonts w:eastAsia="仿宋"/>
              </w:rPr>
            </w:pPr>
            <w:r>
              <w:rPr>
                <w:rFonts w:hint="eastAsia"/>
              </w:rPr>
              <w:t>树立正确思想</w:t>
            </w:r>
          </w:p>
        </w:tc>
        <w:tc>
          <w:tcPr>
            <w:tcW w:w="3124" w:type="pct"/>
            <w:shd w:val="clear" w:color="auto" w:fill="auto"/>
          </w:tcPr>
          <w:p w14:paraId="52037923">
            <w:pPr>
              <w:pStyle w:val="18"/>
              <w:ind w:firstLine="560" w:firstLineChars="200"/>
              <w:jc w:val="left"/>
            </w:pPr>
            <w:r>
              <w:rPr>
                <w:rFonts w:hint="eastAsia"/>
              </w:rPr>
              <w:t>教育工人树立“质量第一、安全第一”的正确思想；遵守有关施工和安全技术法规；遵守地方治安法规。</w:t>
            </w:r>
          </w:p>
        </w:tc>
      </w:tr>
    </w:tbl>
    <w:p w14:paraId="2DB694E9">
      <w:pPr>
        <w:ind w:firstLine="560"/>
        <w:rPr>
          <w:rFonts w:eastAsia="仿宋"/>
        </w:rPr>
      </w:pPr>
      <w:r>
        <w:rPr>
          <w:rFonts w:hint="eastAsia"/>
        </w:rPr>
        <w:t>3.劳动力的考核</w:t>
      </w:r>
    </w:p>
    <w:p w14:paraId="7CD07C00">
      <w:pPr>
        <w:ind w:firstLine="560"/>
        <w:rPr>
          <w:rFonts w:eastAsia="仿宋"/>
        </w:rPr>
      </w:pPr>
      <w:r>
        <w:rPr>
          <w:rFonts w:hint="eastAsia"/>
        </w:rPr>
        <w:t>所有入场的施工作业人员必须接受我单位组织的各专业内容考核，包括专业基础知识、专业安全知识等，合格后方可上岗作业，我单位将对所有施工作业人员建立考核登记档案和安全学习记录。</w:t>
      </w:r>
    </w:p>
    <w:p w14:paraId="60D1762C">
      <w:pPr>
        <w:ind w:firstLine="560"/>
      </w:pPr>
      <w:r>
        <w:rPr>
          <w:rFonts w:hint="eastAsia"/>
        </w:rPr>
        <w:t>特种施工作业人员必须持证上岗，如电工、焊工、吊车司机等。施工作业人员录用标准为18～50岁的进行录用，18岁以下，50岁以上拒用。</w:t>
      </w:r>
    </w:p>
    <w:p w14:paraId="7AE03EBE">
      <w:pPr>
        <w:ind w:firstLine="560"/>
      </w:pPr>
      <w:r>
        <w:rPr>
          <w:rFonts w:hint="eastAsia"/>
        </w:rPr>
        <w:t>劳动力综合管理</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0"/>
        <w:gridCol w:w="2932"/>
        <w:gridCol w:w="4447"/>
        <w:gridCol w:w="2671"/>
      </w:tblGrid>
      <w:tr w14:paraId="7A7F8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shd w:val="clear" w:color="auto" w:fill="auto"/>
            <w:vAlign w:val="center"/>
          </w:tcPr>
          <w:p w14:paraId="2CB3A806">
            <w:pPr>
              <w:pStyle w:val="18"/>
              <w:rPr>
                <w:rFonts w:eastAsia="仿宋"/>
              </w:rPr>
            </w:pPr>
            <w:r>
              <w:rPr>
                <w:rFonts w:hint="eastAsia"/>
              </w:rPr>
              <w:t>序号</w:t>
            </w:r>
          </w:p>
        </w:tc>
        <w:tc>
          <w:tcPr>
            <w:tcW w:w="1372" w:type="pct"/>
            <w:shd w:val="clear" w:color="auto" w:fill="auto"/>
            <w:vAlign w:val="center"/>
          </w:tcPr>
          <w:p w14:paraId="5D830068">
            <w:pPr>
              <w:pStyle w:val="18"/>
            </w:pPr>
            <w:r>
              <w:rPr>
                <w:rFonts w:hint="eastAsia"/>
              </w:rPr>
              <w:t>管理措施名称</w:t>
            </w:r>
          </w:p>
        </w:tc>
        <w:tc>
          <w:tcPr>
            <w:tcW w:w="2081" w:type="pct"/>
            <w:shd w:val="clear" w:color="auto" w:fill="auto"/>
            <w:vAlign w:val="center"/>
          </w:tcPr>
          <w:p w14:paraId="6EA8917E">
            <w:pPr>
              <w:pStyle w:val="18"/>
            </w:pPr>
            <w:r>
              <w:rPr>
                <w:rFonts w:hint="eastAsia"/>
              </w:rPr>
              <w:t>管理措施内容</w:t>
            </w:r>
          </w:p>
        </w:tc>
        <w:tc>
          <w:tcPr>
            <w:tcW w:w="1250" w:type="pct"/>
            <w:shd w:val="clear" w:color="auto" w:fill="auto"/>
            <w:vAlign w:val="center"/>
          </w:tcPr>
          <w:p w14:paraId="4E540483">
            <w:pPr>
              <w:pStyle w:val="18"/>
            </w:pPr>
            <w:r>
              <w:rPr>
                <w:rFonts w:hint="eastAsia"/>
              </w:rPr>
              <w:t>备注</w:t>
            </w:r>
          </w:p>
        </w:tc>
      </w:tr>
      <w:tr w14:paraId="5E34B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shd w:val="clear" w:color="auto" w:fill="auto"/>
            <w:vAlign w:val="center"/>
          </w:tcPr>
          <w:p w14:paraId="5BF6A86D">
            <w:pPr>
              <w:pStyle w:val="18"/>
              <w:rPr>
                <w:rFonts w:eastAsia="仿宋"/>
                <w:lang w:val="en-US"/>
              </w:rPr>
            </w:pPr>
            <w:r>
              <w:rPr>
                <w:rFonts w:hint="eastAsia"/>
                <w:lang w:val="en-US"/>
              </w:rPr>
              <w:t>1</w:t>
            </w:r>
          </w:p>
        </w:tc>
        <w:tc>
          <w:tcPr>
            <w:tcW w:w="1372" w:type="pct"/>
            <w:shd w:val="clear" w:color="auto" w:fill="auto"/>
            <w:vAlign w:val="center"/>
          </w:tcPr>
          <w:p w14:paraId="3D4EFC83">
            <w:pPr>
              <w:pStyle w:val="18"/>
              <w:rPr>
                <w:rFonts w:eastAsia="仿宋"/>
                <w:lang w:val="en-US"/>
              </w:rPr>
            </w:pPr>
            <w:r>
              <w:rPr>
                <w:rFonts w:hint="eastAsia"/>
                <w:lang w:val="en-US"/>
              </w:rPr>
              <w:t>集中管理</w:t>
            </w:r>
          </w:p>
        </w:tc>
        <w:tc>
          <w:tcPr>
            <w:tcW w:w="2081" w:type="pct"/>
            <w:shd w:val="clear" w:color="auto" w:fill="auto"/>
            <w:vAlign w:val="center"/>
          </w:tcPr>
          <w:p w14:paraId="79DAE300">
            <w:pPr>
              <w:pStyle w:val="18"/>
              <w:ind w:firstLine="560" w:firstLineChars="200"/>
              <w:jc w:val="both"/>
            </w:pPr>
            <w:r>
              <w:rPr>
                <w:rFonts w:hint="eastAsia"/>
              </w:rPr>
              <w:t>本工程在整个施工过程中，所有工人在同一生活区，分专业、分区域管理。</w:t>
            </w:r>
          </w:p>
        </w:tc>
        <w:tc>
          <w:tcPr>
            <w:tcW w:w="1250" w:type="pct"/>
            <w:shd w:val="clear" w:color="auto" w:fill="auto"/>
            <w:vAlign w:val="center"/>
          </w:tcPr>
          <w:p w14:paraId="4F01DFD6">
            <w:pPr>
              <w:pStyle w:val="18"/>
            </w:pPr>
          </w:p>
        </w:tc>
      </w:tr>
      <w:tr w14:paraId="631E2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shd w:val="clear" w:color="auto" w:fill="auto"/>
            <w:vAlign w:val="center"/>
          </w:tcPr>
          <w:p w14:paraId="44EC5E66">
            <w:pPr>
              <w:pStyle w:val="18"/>
              <w:rPr>
                <w:rFonts w:eastAsia="仿宋"/>
                <w:lang w:val="en-US"/>
              </w:rPr>
            </w:pPr>
            <w:r>
              <w:rPr>
                <w:rFonts w:hint="eastAsia"/>
                <w:lang w:val="en-US"/>
              </w:rPr>
              <w:t>2</w:t>
            </w:r>
          </w:p>
        </w:tc>
        <w:tc>
          <w:tcPr>
            <w:tcW w:w="1372" w:type="pct"/>
            <w:shd w:val="clear" w:color="auto" w:fill="auto"/>
            <w:vAlign w:val="center"/>
          </w:tcPr>
          <w:p w14:paraId="1AA8149F">
            <w:pPr>
              <w:pStyle w:val="18"/>
            </w:pPr>
            <w:r>
              <w:rPr>
                <w:rFonts w:hint="eastAsia"/>
              </w:rPr>
              <w:t>错开上班时间</w:t>
            </w:r>
          </w:p>
        </w:tc>
        <w:tc>
          <w:tcPr>
            <w:tcW w:w="2081" w:type="pct"/>
            <w:shd w:val="clear" w:color="auto" w:fill="auto"/>
            <w:vAlign w:val="center"/>
          </w:tcPr>
          <w:p w14:paraId="524F8E8A">
            <w:pPr>
              <w:pStyle w:val="18"/>
              <w:ind w:firstLine="560" w:firstLineChars="200"/>
              <w:jc w:val="both"/>
            </w:pPr>
            <w:r>
              <w:rPr>
                <w:rFonts w:hint="eastAsia"/>
              </w:rPr>
              <w:t>为保证工人能够及时上下班，现场可采取错开各工种上下班时间的方法，错开时间以半个小时为宜，避免同一时间上下班出现运输紧张或运力不足的情况。</w:t>
            </w:r>
          </w:p>
        </w:tc>
        <w:tc>
          <w:tcPr>
            <w:tcW w:w="1250" w:type="pct"/>
            <w:shd w:val="clear" w:color="auto" w:fill="auto"/>
            <w:vAlign w:val="center"/>
          </w:tcPr>
          <w:p w14:paraId="74639DD2">
            <w:pPr>
              <w:pStyle w:val="18"/>
            </w:pPr>
          </w:p>
        </w:tc>
      </w:tr>
      <w:tr w14:paraId="0338C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shd w:val="clear" w:color="auto" w:fill="auto"/>
            <w:vAlign w:val="center"/>
          </w:tcPr>
          <w:p w14:paraId="2D6BC040">
            <w:pPr>
              <w:pStyle w:val="18"/>
              <w:rPr>
                <w:rFonts w:eastAsia="仿宋"/>
                <w:lang w:val="en-US"/>
              </w:rPr>
            </w:pPr>
            <w:r>
              <w:rPr>
                <w:rFonts w:hint="eastAsia"/>
                <w:lang w:val="en-US"/>
              </w:rPr>
              <w:t>3</w:t>
            </w:r>
          </w:p>
        </w:tc>
        <w:tc>
          <w:tcPr>
            <w:tcW w:w="1372" w:type="pct"/>
            <w:shd w:val="clear" w:color="auto" w:fill="auto"/>
            <w:vAlign w:val="center"/>
          </w:tcPr>
          <w:p w14:paraId="7AAA56F9">
            <w:pPr>
              <w:pStyle w:val="18"/>
            </w:pPr>
            <w:r>
              <w:rPr>
                <w:rFonts w:hint="eastAsia"/>
              </w:rPr>
              <w:t>避免疲劳作业</w:t>
            </w:r>
          </w:p>
        </w:tc>
        <w:tc>
          <w:tcPr>
            <w:tcW w:w="2081" w:type="pct"/>
            <w:shd w:val="clear" w:color="auto" w:fill="auto"/>
            <w:vAlign w:val="center"/>
          </w:tcPr>
          <w:p w14:paraId="3084196B">
            <w:pPr>
              <w:pStyle w:val="18"/>
              <w:ind w:firstLine="280" w:firstLineChars="100"/>
              <w:jc w:val="both"/>
              <w:rPr>
                <w:rFonts w:eastAsia="仿宋"/>
              </w:rPr>
            </w:pPr>
            <w:r>
              <w:rPr>
                <w:rFonts w:hint="eastAsia"/>
              </w:rPr>
              <w:t>按照现场的文明施工确保民工的工作环境，根据《关于企业实行不定时工作制和综合计算工时工作制的审批办法》适当的调整工作和休息时间，确保民工不疲劳作业。</w:t>
            </w:r>
          </w:p>
        </w:tc>
        <w:tc>
          <w:tcPr>
            <w:tcW w:w="1250" w:type="pct"/>
            <w:shd w:val="clear" w:color="auto" w:fill="auto"/>
            <w:vAlign w:val="center"/>
          </w:tcPr>
          <w:p w14:paraId="7ED25ABC">
            <w:pPr>
              <w:pStyle w:val="18"/>
            </w:pPr>
          </w:p>
        </w:tc>
      </w:tr>
      <w:tr w14:paraId="1DEC2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shd w:val="clear" w:color="auto" w:fill="auto"/>
            <w:vAlign w:val="center"/>
          </w:tcPr>
          <w:p w14:paraId="4547E0B9">
            <w:pPr>
              <w:pStyle w:val="18"/>
              <w:rPr>
                <w:rFonts w:eastAsia="仿宋"/>
                <w:lang w:val="en-US"/>
              </w:rPr>
            </w:pPr>
            <w:r>
              <w:rPr>
                <w:rFonts w:hint="eastAsia"/>
                <w:lang w:val="en-US"/>
              </w:rPr>
              <w:t>4</w:t>
            </w:r>
          </w:p>
        </w:tc>
        <w:tc>
          <w:tcPr>
            <w:tcW w:w="1372" w:type="pct"/>
            <w:shd w:val="clear" w:color="auto" w:fill="auto"/>
            <w:vAlign w:val="center"/>
          </w:tcPr>
          <w:p w14:paraId="07F754F8">
            <w:pPr>
              <w:pStyle w:val="18"/>
            </w:pPr>
            <w:r>
              <w:rPr>
                <w:rFonts w:hint="eastAsia"/>
              </w:rPr>
              <w:t>生活保障措施</w:t>
            </w:r>
          </w:p>
        </w:tc>
        <w:tc>
          <w:tcPr>
            <w:tcW w:w="2081" w:type="pct"/>
            <w:shd w:val="clear" w:color="auto" w:fill="auto"/>
            <w:vAlign w:val="center"/>
          </w:tcPr>
          <w:p w14:paraId="70761BD0">
            <w:pPr>
              <w:pStyle w:val="18"/>
              <w:ind w:firstLine="560" w:firstLineChars="200"/>
              <w:jc w:val="both"/>
            </w:pPr>
            <w:r>
              <w:rPr>
                <w:rFonts w:hint="eastAsia"/>
              </w:rPr>
              <w:t>搞好生活后勤工作，为员工提供日常的衣、食、住、行、医服务及设施，认真落实，以充分调动职工生产积极性。</w:t>
            </w:r>
          </w:p>
        </w:tc>
        <w:tc>
          <w:tcPr>
            <w:tcW w:w="1250" w:type="pct"/>
            <w:shd w:val="clear" w:color="auto" w:fill="auto"/>
            <w:vAlign w:val="center"/>
          </w:tcPr>
          <w:p w14:paraId="78BE0B13">
            <w:pPr>
              <w:pStyle w:val="18"/>
            </w:pPr>
          </w:p>
        </w:tc>
      </w:tr>
      <w:tr w14:paraId="2BE76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shd w:val="clear" w:color="auto" w:fill="auto"/>
            <w:vAlign w:val="center"/>
          </w:tcPr>
          <w:p w14:paraId="09836DD8">
            <w:pPr>
              <w:pStyle w:val="18"/>
              <w:rPr>
                <w:rFonts w:eastAsia="仿宋"/>
                <w:lang w:val="en-US"/>
              </w:rPr>
            </w:pPr>
            <w:r>
              <w:rPr>
                <w:rFonts w:hint="eastAsia"/>
                <w:lang w:val="en-US"/>
              </w:rPr>
              <w:t>5</w:t>
            </w:r>
          </w:p>
        </w:tc>
        <w:tc>
          <w:tcPr>
            <w:tcW w:w="1372" w:type="pct"/>
            <w:shd w:val="clear" w:color="auto" w:fill="auto"/>
            <w:vAlign w:val="center"/>
          </w:tcPr>
          <w:p w14:paraId="61CD0252">
            <w:pPr>
              <w:pStyle w:val="18"/>
            </w:pPr>
            <w:r>
              <w:rPr>
                <w:rFonts w:hint="eastAsia"/>
              </w:rPr>
              <w:t>劳动合同</w:t>
            </w:r>
          </w:p>
        </w:tc>
        <w:tc>
          <w:tcPr>
            <w:tcW w:w="2081" w:type="pct"/>
            <w:shd w:val="clear" w:color="auto" w:fill="auto"/>
            <w:vAlign w:val="center"/>
          </w:tcPr>
          <w:p w14:paraId="27E9671B">
            <w:pPr>
              <w:pStyle w:val="18"/>
              <w:ind w:firstLine="560" w:firstLineChars="200"/>
              <w:jc w:val="both"/>
            </w:pPr>
            <w:r>
              <w:rPr>
                <w:rFonts w:hint="eastAsia"/>
              </w:rPr>
              <w:t>加强劳务队伍与其劳动者签订劳动合同的监督，对未与劳务队伍签订劳动合同的劳动者禁止在施工现场从事施工活动。</w:t>
            </w:r>
          </w:p>
        </w:tc>
        <w:tc>
          <w:tcPr>
            <w:tcW w:w="1250" w:type="pct"/>
            <w:shd w:val="clear" w:color="auto" w:fill="auto"/>
            <w:vAlign w:val="center"/>
          </w:tcPr>
          <w:p w14:paraId="096536B1">
            <w:pPr>
              <w:pStyle w:val="18"/>
              <w:rPr>
                <w:rFonts w:eastAsia="仿宋"/>
                <w:lang w:val="en-US"/>
              </w:rPr>
            </w:pPr>
            <w:r>
              <w:rPr>
                <w:rFonts w:hint="eastAsia"/>
                <w:lang w:val="en-US"/>
              </w:rPr>
              <w:t>强制执行</w:t>
            </w:r>
          </w:p>
        </w:tc>
      </w:tr>
      <w:tr w14:paraId="14523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shd w:val="clear" w:color="auto" w:fill="auto"/>
            <w:vAlign w:val="center"/>
          </w:tcPr>
          <w:p w14:paraId="697769C8">
            <w:pPr>
              <w:pStyle w:val="18"/>
              <w:rPr>
                <w:rFonts w:eastAsia="仿宋"/>
                <w:lang w:val="en-US"/>
              </w:rPr>
            </w:pPr>
            <w:r>
              <w:rPr>
                <w:rFonts w:hint="eastAsia"/>
                <w:lang w:val="en-US"/>
              </w:rPr>
              <w:t>6</w:t>
            </w:r>
          </w:p>
        </w:tc>
        <w:tc>
          <w:tcPr>
            <w:tcW w:w="1372" w:type="pct"/>
            <w:shd w:val="clear" w:color="auto" w:fill="auto"/>
            <w:vAlign w:val="center"/>
          </w:tcPr>
          <w:p w14:paraId="6DE3BC58">
            <w:pPr>
              <w:pStyle w:val="18"/>
            </w:pPr>
            <w:r>
              <w:rPr>
                <w:rFonts w:hint="eastAsia"/>
              </w:rPr>
              <w:t>专职管理</w:t>
            </w:r>
          </w:p>
        </w:tc>
        <w:tc>
          <w:tcPr>
            <w:tcW w:w="2081" w:type="pct"/>
            <w:shd w:val="clear" w:color="auto" w:fill="auto"/>
            <w:vAlign w:val="center"/>
          </w:tcPr>
          <w:p w14:paraId="1637B063">
            <w:pPr>
              <w:pStyle w:val="18"/>
              <w:ind w:firstLine="560" w:firstLineChars="200"/>
              <w:jc w:val="both"/>
            </w:pPr>
            <w:r>
              <w:rPr>
                <w:rFonts w:hint="eastAsia"/>
              </w:rPr>
              <w:t>建立施工管理作业人员劳务档案，记录人员身份证号、职业资格证书号、劳动合同编号以及业绩和信用等情况。</w:t>
            </w:r>
          </w:p>
        </w:tc>
        <w:tc>
          <w:tcPr>
            <w:tcW w:w="1250" w:type="pct"/>
            <w:shd w:val="clear" w:color="auto" w:fill="auto"/>
            <w:vAlign w:val="center"/>
          </w:tcPr>
          <w:p w14:paraId="0D4E6782">
            <w:pPr>
              <w:pStyle w:val="18"/>
              <w:rPr>
                <w:rFonts w:eastAsia="仿宋"/>
                <w:lang w:val="en-US"/>
              </w:rPr>
            </w:pPr>
            <w:r>
              <w:rPr>
                <w:rFonts w:hint="eastAsia"/>
                <w:lang w:val="en-US"/>
              </w:rPr>
              <w:t>专人专管</w:t>
            </w:r>
          </w:p>
        </w:tc>
      </w:tr>
      <w:tr w14:paraId="6E74F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shd w:val="clear" w:color="auto" w:fill="auto"/>
            <w:vAlign w:val="center"/>
          </w:tcPr>
          <w:p w14:paraId="4C121A35">
            <w:pPr>
              <w:pStyle w:val="18"/>
              <w:rPr>
                <w:rFonts w:eastAsia="仿宋"/>
                <w:lang w:val="en-US"/>
              </w:rPr>
            </w:pPr>
            <w:r>
              <w:rPr>
                <w:rFonts w:hint="eastAsia"/>
                <w:lang w:val="en-US"/>
              </w:rPr>
              <w:t>7</w:t>
            </w:r>
          </w:p>
        </w:tc>
        <w:tc>
          <w:tcPr>
            <w:tcW w:w="1372" w:type="pct"/>
            <w:shd w:val="clear" w:color="auto" w:fill="auto"/>
            <w:vAlign w:val="center"/>
          </w:tcPr>
          <w:p w14:paraId="0A84BC6F">
            <w:pPr>
              <w:pStyle w:val="18"/>
              <w:rPr>
                <w:rFonts w:eastAsia="仿宋"/>
                <w:lang w:val="en-US"/>
              </w:rPr>
            </w:pPr>
            <w:r>
              <w:rPr>
                <w:rFonts w:hint="eastAsia"/>
                <w:lang w:val="en-US"/>
              </w:rPr>
              <w:t>建立奖罚制度</w:t>
            </w:r>
          </w:p>
        </w:tc>
        <w:tc>
          <w:tcPr>
            <w:tcW w:w="2081" w:type="pct"/>
            <w:shd w:val="clear" w:color="auto" w:fill="auto"/>
            <w:vAlign w:val="center"/>
          </w:tcPr>
          <w:p w14:paraId="6DF727A3">
            <w:pPr>
              <w:pStyle w:val="18"/>
              <w:ind w:firstLine="560" w:firstLineChars="200"/>
              <w:jc w:val="both"/>
            </w:pPr>
            <w:r>
              <w:rPr>
                <w:rFonts w:hint="eastAsia"/>
              </w:rPr>
              <w:t>为调动现场劳动力的积极性，我单位在进场时将与劳动队伍签订现场施工奖罚协议书，从工期、质量、安全、文明施工等各个方面制定相应的奖罚措施，作到现场管理“有法可依”。</w:t>
            </w:r>
          </w:p>
        </w:tc>
        <w:tc>
          <w:tcPr>
            <w:tcW w:w="1250" w:type="pct"/>
            <w:shd w:val="clear" w:color="auto" w:fill="auto"/>
            <w:vAlign w:val="center"/>
          </w:tcPr>
          <w:p w14:paraId="7FFE29BE">
            <w:pPr>
              <w:pStyle w:val="18"/>
            </w:pPr>
          </w:p>
        </w:tc>
      </w:tr>
      <w:tr w14:paraId="68568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shd w:val="clear" w:color="auto" w:fill="auto"/>
            <w:vAlign w:val="center"/>
          </w:tcPr>
          <w:p w14:paraId="3C0AFCBF">
            <w:pPr>
              <w:pStyle w:val="18"/>
              <w:rPr>
                <w:lang w:val="en-US"/>
              </w:rPr>
            </w:pPr>
            <w:r>
              <w:rPr>
                <w:rFonts w:hint="eastAsia"/>
                <w:lang w:val="en-US"/>
              </w:rPr>
              <w:t>8</w:t>
            </w:r>
          </w:p>
        </w:tc>
        <w:tc>
          <w:tcPr>
            <w:tcW w:w="1372" w:type="pct"/>
            <w:shd w:val="clear" w:color="auto" w:fill="auto"/>
            <w:vAlign w:val="center"/>
          </w:tcPr>
          <w:p w14:paraId="6267D553">
            <w:pPr>
              <w:pStyle w:val="18"/>
            </w:pPr>
            <w:r>
              <w:rPr>
                <w:rFonts w:hint="eastAsia"/>
              </w:rPr>
              <w:t>旁站式监督</w:t>
            </w:r>
          </w:p>
        </w:tc>
        <w:tc>
          <w:tcPr>
            <w:tcW w:w="2081" w:type="pct"/>
            <w:shd w:val="clear" w:color="auto" w:fill="auto"/>
            <w:vAlign w:val="center"/>
          </w:tcPr>
          <w:p w14:paraId="7CA16FAF">
            <w:pPr>
              <w:pStyle w:val="18"/>
              <w:ind w:firstLine="560" w:firstLineChars="200"/>
              <w:jc w:val="both"/>
            </w:pPr>
            <w:r>
              <w:rPr>
                <w:rFonts w:hint="eastAsia"/>
              </w:rPr>
              <w:t>施工期间，现场技术人员对关键工序进行旁站式监督，劳动队伍的管理人员保证施工期间不离现场。夜间施工期间，安排现场值班表，保证现场24小时有管理人员在现场。</w:t>
            </w:r>
          </w:p>
        </w:tc>
        <w:tc>
          <w:tcPr>
            <w:tcW w:w="1250" w:type="pct"/>
            <w:shd w:val="clear" w:color="auto" w:fill="auto"/>
            <w:vAlign w:val="center"/>
          </w:tcPr>
          <w:p w14:paraId="1C0DA3BF">
            <w:pPr>
              <w:pStyle w:val="18"/>
            </w:pPr>
          </w:p>
        </w:tc>
      </w:tr>
    </w:tbl>
    <w:p w14:paraId="01CC8EF8">
      <w:pPr>
        <w:ind w:firstLine="560"/>
        <w:rPr>
          <w:rFonts w:eastAsia="仿宋"/>
        </w:rPr>
      </w:pPr>
      <w:r>
        <w:rPr>
          <w:rFonts w:hint="eastAsia"/>
        </w:rPr>
        <w:t>4.劳动力的调配</w:t>
      </w:r>
    </w:p>
    <w:p w14:paraId="7B63923E">
      <w:pPr>
        <w:ind w:firstLine="560"/>
        <w:rPr>
          <w:rFonts w:eastAsia="仿宋"/>
        </w:rPr>
      </w:pPr>
      <w:r>
        <w:rPr>
          <w:rFonts w:hint="eastAsia"/>
        </w:rPr>
        <w:t>合理调配劳动力是保证施工进度的关键。我司将充分利用企业内部整体的劳动力资源，在项目需要时，将及时进行统一调配，确保有充足的劳动力，保障该项目的顺利施工。</w:t>
      </w:r>
    </w:p>
    <w:p w14:paraId="6BC72D52">
      <w:pPr>
        <w:ind w:firstLine="560"/>
        <w:rPr>
          <w:rFonts w:eastAsia="仿宋"/>
        </w:rPr>
      </w:pPr>
      <w:r>
        <w:rPr>
          <w:rFonts w:hint="eastAsia"/>
        </w:rPr>
        <w:t>5.建立联合工会</w:t>
      </w:r>
    </w:p>
    <w:p w14:paraId="3AE08511">
      <w:pPr>
        <w:ind w:firstLine="560"/>
      </w:pPr>
      <w:r>
        <w:rPr>
          <w:rFonts w:hint="eastAsia"/>
        </w:rPr>
        <w:t>为保障工人权益，项目部组织建立劳动力联合工会，联合工会工作内容见下表：</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766"/>
        <w:gridCol w:w="2209"/>
      </w:tblGrid>
      <w:tr w14:paraId="0708C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 w:type="pct"/>
            <w:shd w:val="clear" w:color="auto" w:fill="auto"/>
          </w:tcPr>
          <w:p w14:paraId="2AD40439">
            <w:pPr>
              <w:pStyle w:val="18"/>
            </w:pPr>
            <w:r>
              <w:rPr>
                <w:rFonts w:hint="eastAsia"/>
              </w:rPr>
              <w:t>序号</w:t>
            </w:r>
          </w:p>
        </w:tc>
        <w:tc>
          <w:tcPr>
            <w:tcW w:w="3635" w:type="pct"/>
            <w:shd w:val="clear" w:color="auto" w:fill="auto"/>
            <w:vAlign w:val="center"/>
          </w:tcPr>
          <w:p w14:paraId="0D3AE762">
            <w:pPr>
              <w:pStyle w:val="18"/>
            </w:pPr>
            <w:r>
              <w:rPr>
                <w:rFonts w:hint="eastAsia"/>
              </w:rPr>
              <w:t>联合工会主要工作内容</w:t>
            </w:r>
          </w:p>
        </w:tc>
        <w:tc>
          <w:tcPr>
            <w:tcW w:w="1034" w:type="pct"/>
            <w:shd w:val="clear" w:color="auto" w:fill="auto"/>
            <w:vAlign w:val="center"/>
          </w:tcPr>
          <w:p w14:paraId="2239DC21">
            <w:pPr>
              <w:pStyle w:val="18"/>
            </w:pPr>
            <w:r>
              <w:rPr>
                <w:rFonts w:hint="eastAsia"/>
              </w:rPr>
              <w:t>备注</w:t>
            </w:r>
          </w:p>
        </w:tc>
      </w:tr>
      <w:tr w14:paraId="5CAD4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 w:type="pct"/>
            <w:shd w:val="clear" w:color="auto" w:fill="auto"/>
            <w:vAlign w:val="center"/>
          </w:tcPr>
          <w:p w14:paraId="68FA6E22">
            <w:pPr>
              <w:pStyle w:val="18"/>
              <w:rPr>
                <w:rFonts w:eastAsia="仿宋"/>
                <w:lang w:val="en-US"/>
              </w:rPr>
            </w:pPr>
            <w:r>
              <w:rPr>
                <w:rFonts w:hint="eastAsia"/>
                <w:lang w:val="en-US"/>
              </w:rPr>
              <w:t>1</w:t>
            </w:r>
          </w:p>
        </w:tc>
        <w:tc>
          <w:tcPr>
            <w:tcW w:w="3635" w:type="pct"/>
            <w:shd w:val="clear" w:color="auto" w:fill="auto"/>
          </w:tcPr>
          <w:p w14:paraId="0B8523D6">
            <w:pPr>
              <w:pStyle w:val="18"/>
              <w:ind w:firstLine="560" w:firstLineChars="200"/>
              <w:jc w:val="both"/>
              <w:rPr>
                <w:rFonts w:eastAsia="仿宋"/>
              </w:rPr>
            </w:pPr>
            <w:r>
              <w:rPr>
                <w:rFonts w:hint="eastAsia"/>
              </w:rPr>
              <w:t>建立联合工会，工会的作用是为职工群众说话办事。联合工会将进一步加强我单位和作业层之间的沟通联系，及时为困难职工群体办实事，帮助他们排忧解难。</w:t>
            </w:r>
          </w:p>
        </w:tc>
        <w:tc>
          <w:tcPr>
            <w:tcW w:w="1034" w:type="pct"/>
            <w:shd w:val="clear" w:color="auto" w:fill="auto"/>
            <w:vAlign w:val="center"/>
          </w:tcPr>
          <w:p w14:paraId="2CFBED5B">
            <w:pPr>
              <w:pStyle w:val="18"/>
            </w:pPr>
            <w:r>
              <w:rPr>
                <w:rFonts w:hint="eastAsia"/>
              </w:rPr>
              <w:t>联合工会作用</w:t>
            </w:r>
          </w:p>
        </w:tc>
      </w:tr>
      <w:tr w14:paraId="6C940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 w:type="pct"/>
            <w:shd w:val="clear" w:color="auto" w:fill="auto"/>
            <w:vAlign w:val="center"/>
          </w:tcPr>
          <w:p w14:paraId="3A422441">
            <w:pPr>
              <w:pStyle w:val="18"/>
              <w:rPr>
                <w:rFonts w:eastAsia="仿宋"/>
                <w:lang w:val="en-US"/>
              </w:rPr>
            </w:pPr>
            <w:r>
              <w:rPr>
                <w:rFonts w:hint="eastAsia"/>
                <w:lang w:val="en-US"/>
              </w:rPr>
              <w:t>2</w:t>
            </w:r>
          </w:p>
        </w:tc>
        <w:tc>
          <w:tcPr>
            <w:tcW w:w="3635" w:type="pct"/>
            <w:shd w:val="clear" w:color="auto" w:fill="auto"/>
          </w:tcPr>
          <w:p w14:paraId="05740548">
            <w:pPr>
              <w:pStyle w:val="18"/>
              <w:ind w:firstLine="560" w:firstLineChars="200"/>
              <w:jc w:val="both"/>
            </w:pPr>
            <w:r>
              <w:rPr>
                <w:rFonts w:hint="eastAsia"/>
              </w:rPr>
              <w:t>执行8小时工作制，需进行夜间加班时，提前做好组织、安排，发放加班工资，并安排夜餐。</w:t>
            </w:r>
          </w:p>
        </w:tc>
        <w:tc>
          <w:tcPr>
            <w:tcW w:w="1034" w:type="pct"/>
            <w:shd w:val="clear" w:color="auto" w:fill="auto"/>
          </w:tcPr>
          <w:p w14:paraId="424B066F">
            <w:pPr>
              <w:pStyle w:val="18"/>
            </w:pPr>
          </w:p>
        </w:tc>
      </w:tr>
      <w:tr w14:paraId="612DF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 w:type="pct"/>
            <w:shd w:val="clear" w:color="auto" w:fill="auto"/>
            <w:vAlign w:val="center"/>
          </w:tcPr>
          <w:p w14:paraId="363E140B">
            <w:pPr>
              <w:pStyle w:val="18"/>
              <w:rPr>
                <w:rFonts w:eastAsia="仿宋"/>
                <w:lang w:val="en-US"/>
              </w:rPr>
            </w:pPr>
            <w:r>
              <w:rPr>
                <w:rFonts w:hint="eastAsia"/>
                <w:lang w:val="en-US"/>
              </w:rPr>
              <w:t>3</w:t>
            </w:r>
          </w:p>
        </w:tc>
        <w:tc>
          <w:tcPr>
            <w:tcW w:w="3635" w:type="pct"/>
            <w:shd w:val="clear" w:color="auto" w:fill="auto"/>
          </w:tcPr>
          <w:p w14:paraId="53B8DCA7">
            <w:pPr>
              <w:pStyle w:val="18"/>
              <w:ind w:firstLine="560" w:firstLineChars="200"/>
              <w:jc w:val="both"/>
            </w:pPr>
            <w:r>
              <w:rPr>
                <w:rFonts w:hint="eastAsia"/>
              </w:rPr>
              <w:t>支持和推动贯彻落实社会保障政策，联合工会将加强对劳务的监督管理，定期检查工人工资的发放状况。</w:t>
            </w:r>
          </w:p>
        </w:tc>
        <w:tc>
          <w:tcPr>
            <w:tcW w:w="1034" w:type="pct"/>
            <w:shd w:val="clear" w:color="auto" w:fill="auto"/>
          </w:tcPr>
          <w:p w14:paraId="0C99E2F1">
            <w:pPr>
              <w:pStyle w:val="18"/>
            </w:pPr>
          </w:p>
        </w:tc>
      </w:tr>
      <w:tr w14:paraId="6F700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 w:type="pct"/>
            <w:shd w:val="clear" w:color="auto" w:fill="auto"/>
            <w:vAlign w:val="center"/>
          </w:tcPr>
          <w:p w14:paraId="69D177CF">
            <w:pPr>
              <w:pStyle w:val="18"/>
              <w:rPr>
                <w:rFonts w:eastAsia="仿宋"/>
                <w:lang w:val="en-US"/>
              </w:rPr>
            </w:pPr>
            <w:r>
              <w:rPr>
                <w:rFonts w:hint="eastAsia"/>
                <w:lang w:val="en-US"/>
              </w:rPr>
              <w:t>4</w:t>
            </w:r>
          </w:p>
        </w:tc>
        <w:tc>
          <w:tcPr>
            <w:tcW w:w="3635" w:type="pct"/>
            <w:shd w:val="clear" w:color="auto" w:fill="auto"/>
          </w:tcPr>
          <w:p w14:paraId="1801C424">
            <w:pPr>
              <w:pStyle w:val="18"/>
              <w:ind w:firstLine="560" w:firstLineChars="200"/>
              <w:jc w:val="both"/>
            </w:pPr>
            <w:r>
              <w:rPr>
                <w:rFonts w:hint="eastAsia"/>
              </w:rPr>
              <w:t>在工人的安全健康方面，坚持“安全第一、预防为主、群防群治、依法监督”的原则，联合工会将开展多种形式的安全生产监督检查活动，积极推动劳动安全卫生监督检查体系的建立健全，确保工人的劳动安全。</w:t>
            </w:r>
          </w:p>
        </w:tc>
        <w:tc>
          <w:tcPr>
            <w:tcW w:w="1034" w:type="pct"/>
            <w:shd w:val="clear" w:color="auto" w:fill="auto"/>
          </w:tcPr>
          <w:p w14:paraId="04FF1130">
            <w:pPr>
              <w:pStyle w:val="18"/>
            </w:pPr>
          </w:p>
        </w:tc>
      </w:tr>
      <w:tr w14:paraId="1CFFD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 w:type="pct"/>
            <w:shd w:val="clear" w:color="auto" w:fill="auto"/>
            <w:vAlign w:val="center"/>
          </w:tcPr>
          <w:p w14:paraId="0A0DF755">
            <w:pPr>
              <w:pStyle w:val="18"/>
              <w:rPr>
                <w:rFonts w:eastAsia="仿宋"/>
                <w:lang w:val="en-US"/>
              </w:rPr>
            </w:pPr>
            <w:r>
              <w:rPr>
                <w:rFonts w:hint="eastAsia"/>
                <w:lang w:val="en-US"/>
              </w:rPr>
              <w:t>5</w:t>
            </w:r>
          </w:p>
        </w:tc>
        <w:tc>
          <w:tcPr>
            <w:tcW w:w="3635" w:type="pct"/>
            <w:shd w:val="clear" w:color="auto" w:fill="auto"/>
          </w:tcPr>
          <w:p w14:paraId="03EC414B">
            <w:pPr>
              <w:pStyle w:val="18"/>
              <w:ind w:firstLine="560" w:firstLineChars="200"/>
              <w:jc w:val="both"/>
            </w:pPr>
            <w:r>
              <w:rPr>
                <w:rFonts w:hint="eastAsia"/>
              </w:rPr>
              <w:t>联合工会成立后要加强组织建设工作。让部分思想先进，能够代表大多数工人想法的职工加入工会组织，出现不能解决或解决起来困难的问题时，及时在联合工会内部反应。</w:t>
            </w:r>
          </w:p>
        </w:tc>
        <w:tc>
          <w:tcPr>
            <w:tcW w:w="1034" w:type="pct"/>
            <w:shd w:val="clear" w:color="auto" w:fill="auto"/>
          </w:tcPr>
          <w:p w14:paraId="20C45181">
            <w:pPr>
              <w:pStyle w:val="18"/>
            </w:pPr>
          </w:p>
        </w:tc>
      </w:tr>
      <w:tr w14:paraId="06F36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 w:type="pct"/>
            <w:shd w:val="clear" w:color="auto" w:fill="auto"/>
            <w:vAlign w:val="center"/>
          </w:tcPr>
          <w:p w14:paraId="1FB4EAA0">
            <w:pPr>
              <w:pStyle w:val="18"/>
              <w:rPr>
                <w:rFonts w:eastAsia="仿宋"/>
                <w:lang w:val="en-US"/>
              </w:rPr>
            </w:pPr>
            <w:r>
              <w:rPr>
                <w:rFonts w:hint="eastAsia"/>
                <w:lang w:val="en-US"/>
              </w:rPr>
              <w:t>6</w:t>
            </w:r>
          </w:p>
        </w:tc>
        <w:tc>
          <w:tcPr>
            <w:tcW w:w="3635" w:type="pct"/>
            <w:shd w:val="clear" w:color="auto" w:fill="auto"/>
          </w:tcPr>
          <w:p w14:paraId="7ABAA4EC">
            <w:pPr>
              <w:pStyle w:val="18"/>
              <w:ind w:firstLine="560" w:firstLineChars="200"/>
              <w:jc w:val="both"/>
            </w:pPr>
            <w:r>
              <w:rPr>
                <w:rFonts w:hint="eastAsia"/>
              </w:rPr>
              <w:t>联合工会的成立扩大原有单一工会的工作范围，凡是涉及工人切身利益的事情，工会就有责任有义务代表工人出面解决。包括拖欠工资、出现工伤事故、劳动保护等，以保护工人的合法权益。</w:t>
            </w:r>
          </w:p>
        </w:tc>
        <w:tc>
          <w:tcPr>
            <w:tcW w:w="1034" w:type="pct"/>
            <w:shd w:val="clear" w:color="auto" w:fill="auto"/>
          </w:tcPr>
          <w:p w14:paraId="66726355">
            <w:pPr>
              <w:pStyle w:val="18"/>
            </w:pPr>
          </w:p>
        </w:tc>
      </w:tr>
      <w:tr w14:paraId="01B97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0" w:type="pct"/>
            <w:shd w:val="clear" w:color="auto" w:fill="auto"/>
            <w:vAlign w:val="center"/>
          </w:tcPr>
          <w:p w14:paraId="742AE664">
            <w:pPr>
              <w:pStyle w:val="18"/>
              <w:rPr>
                <w:rFonts w:eastAsia="仿宋"/>
                <w:lang w:val="en-US"/>
              </w:rPr>
            </w:pPr>
            <w:r>
              <w:rPr>
                <w:rFonts w:hint="eastAsia"/>
                <w:lang w:val="en-US"/>
              </w:rPr>
              <w:t>7</w:t>
            </w:r>
          </w:p>
        </w:tc>
        <w:tc>
          <w:tcPr>
            <w:tcW w:w="3635" w:type="pct"/>
            <w:shd w:val="clear" w:color="auto" w:fill="auto"/>
          </w:tcPr>
          <w:p w14:paraId="5A433C6B">
            <w:pPr>
              <w:pStyle w:val="18"/>
              <w:ind w:firstLine="560" w:firstLineChars="200"/>
              <w:jc w:val="both"/>
            </w:pPr>
            <w:r>
              <w:rPr>
                <w:rFonts w:hint="eastAsia"/>
              </w:rPr>
              <w:t>通过联合工会组织，积极组织开展学习法律法规活动，教育工人懂得依法维权。</w:t>
            </w:r>
          </w:p>
        </w:tc>
        <w:tc>
          <w:tcPr>
            <w:tcW w:w="1034" w:type="pct"/>
            <w:shd w:val="clear" w:color="auto" w:fill="auto"/>
          </w:tcPr>
          <w:p w14:paraId="1B8029AE">
            <w:pPr>
              <w:pStyle w:val="18"/>
            </w:pPr>
          </w:p>
        </w:tc>
      </w:tr>
    </w:tbl>
    <w:p w14:paraId="763787A6">
      <w:pPr>
        <w:ind w:firstLine="560"/>
        <w:rPr>
          <w:rFonts w:eastAsia="仿宋"/>
        </w:rPr>
      </w:pPr>
      <w:r>
        <w:rPr>
          <w:rFonts w:hint="eastAsia"/>
        </w:rPr>
        <w:t>6.节假日劳动力保障</w:t>
      </w:r>
    </w:p>
    <w:p w14:paraId="67C24F78">
      <w:pPr>
        <w:ind w:firstLine="560"/>
      </w:pPr>
      <w:r>
        <w:rPr>
          <w:rFonts w:hint="eastAsia"/>
        </w:rPr>
        <w:t>做好节假日的用工管理，制定有效的节假日期间劳动力保障措施，是保证本工程顺利施工的因素之一。为此，项目部采取如下劳动力保障措施：</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3573"/>
        <w:gridCol w:w="6385"/>
      </w:tblGrid>
      <w:tr w14:paraId="20886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shd w:val="clear" w:color="auto" w:fill="auto"/>
            <w:vAlign w:val="center"/>
          </w:tcPr>
          <w:p w14:paraId="6E576753">
            <w:pPr>
              <w:pStyle w:val="18"/>
            </w:pPr>
            <w:r>
              <w:rPr>
                <w:rFonts w:hint="eastAsia"/>
              </w:rPr>
              <w:t>序号</w:t>
            </w:r>
          </w:p>
        </w:tc>
        <w:tc>
          <w:tcPr>
            <w:tcW w:w="1672" w:type="pct"/>
            <w:shd w:val="clear" w:color="auto" w:fill="auto"/>
            <w:vAlign w:val="center"/>
          </w:tcPr>
          <w:p w14:paraId="33A81120">
            <w:pPr>
              <w:pStyle w:val="18"/>
            </w:pPr>
            <w:r>
              <w:rPr>
                <w:rFonts w:hint="eastAsia"/>
              </w:rPr>
              <w:t>名称</w:t>
            </w:r>
          </w:p>
        </w:tc>
        <w:tc>
          <w:tcPr>
            <w:tcW w:w="2988" w:type="pct"/>
            <w:shd w:val="clear" w:color="auto" w:fill="auto"/>
            <w:vAlign w:val="center"/>
          </w:tcPr>
          <w:p w14:paraId="5AB86F27">
            <w:pPr>
              <w:pStyle w:val="18"/>
            </w:pPr>
            <w:r>
              <w:rPr>
                <w:rFonts w:hint="eastAsia"/>
              </w:rPr>
              <w:t>节假日保障主要内容</w:t>
            </w:r>
          </w:p>
        </w:tc>
      </w:tr>
      <w:tr w14:paraId="0A5BB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shd w:val="clear" w:color="auto" w:fill="auto"/>
            <w:vAlign w:val="center"/>
          </w:tcPr>
          <w:p w14:paraId="000F8BBB">
            <w:pPr>
              <w:pStyle w:val="18"/>
              <w:rPr>
                <w:rFonts w:eastAsia="仿宋"/>
                <w:lang w:val="en-US"/>
              </w:rPr>
            </w:pPr>
            <w:r>
              <w:rPr>
                <w:rFonts w:hint="eastAsia"/>
                <w:lang w:val="en-US"/>
              </w:rPr>
              <w:t>1</w:t>
            </w:r>
          </w:p>
        </w:tc>
        <w:tc>
          <w:tcPr>
            <w:tcW w:w="1672" w:type="pct"/>
            <w:shd w:val="clear" w:color="auto" w:fill="auto"/>
            <w:vAlign w:val="center"/>
          </w:tcPr>
          <w:p w14:paraId="14E470CE">
            <w:pPr>
              <w:pStyle w:val="18"/>
            </w:pPr>
            <w:r>
              <w:rPr>
                <w:rFonts w:hint="eastAsia"/>
              </w:rPr>
              <w:t>工资补偿</w:t>
            </w:r>
          </w:p>
        </w:tc>
        <w:tc>
          <w:tcPr>
            <w:tcW w:w="2988" w:type="pct"/>
            <w:shd w:val="clear" w:color="auto" w:fill="auto"/>
            <w:vAlign w:val="center"/>
          </w:tcPr>
          <w:p w14:paraId="694EC03F">
            <w:pPr>
              <w:pStyle w:val="18"/>
              <w:ind w:firstLine="560" w:firstLineChars="200"/>
              <w:jc w:val="both"/>
            </w:pPr>
            <w:r>
              <w:rPr>
                <w:rFonts w:hint="eastAsia"/>
              </w:rPr>
              <w:t>项目经理部对参与工程建设的施工人员的工资给予一定的补偿，其他工资方面享受优厚待遇，严格执行劳动法。</w:t>
            </w:r>
          </w:p>
        </w:tc>
      </w:tr>
      <w:tr w14:paraId="110E6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shd w:val="clear" w:color="auto" w:fill="auto"/>
            <w:vAlign w:val="center"/>
          </w:tcPr>
          <w:p w14:paraId="4539292F">
            <w:pPr>
              <w:pStyle w:val="18"/>
              <w:rPr>
                <w:rFonts w:eastAsia="仿宋"/>
                <w:lang w:val="en-US"/>
              </w:rPr>
            </w:pPr>
            <w:r>
              <w:rPr>
                <w:rFonts w:hint="eastAsia"/>
                <w:lang w:val="en-US"/>
              </w:rPr>
              <w:t>2</w:t>
            </w:r>
          </w:p>
        </w:tc>
        <w:tc>
          <w:tcPr>
            <w:tcW w:w="1672" w:type="pct"/>
            <w:shd w:val="clear" w:color="auto" w:fill="auto"/>
            <w:vAlign w:val="center"/>
          </w:tcPr>
          <w:p w14:paraId="4B9BF49A">
            <w:pPr>
              <w:pStyle w:val="18"/>
            </w:pPr>
            <w:r>
              <w:rPr>
                <w:rFonts w:hint="eastAsia"/>
              </w:rPr>
              <w:t>安排活动</w:t>
            </w:r>
          </w:p>
        </w:tc>
        <w:tc>
          <w:tcPr>
            <w:tcW w:w="2988" w:type="pct"/>
            <w:shd w:val="clear" w:color="auto" w:fill="auto"/>
            <w:vAlign w:val="center"/>
          </w:tcPr>
          <w:p w14:paraId="7AFA617E">
            <w:pPr>
              <w:pStyle w:val="18"/>
              <w:ind w:firstLine="560" w:firstLineChars="200"/>
              <w:jc w:val="both"/>
            </w:pPr>
            <w:r>
              <w:rPr>
                <w:rFonts w:hint="eastAsia"/>
              </w:rPr>
              <w:t>在不影响施工生产的情况下，组织一些群众性的文体活动，如在工人生活区放露天电影、组织小型体育活动等。</w:t>
            </w:r>
          </w:p>
        </w:tc>
      </w:tr>
      <w:tr w14:paraId="5D9B0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shd w:val="clear" w:color="auto" w:fill="auto"/>
            <w:vAlign w:val="center"/>
          </w:tcPr>
          <w:p w14:paraId="78A0FF50">
            <w:pPr>
              <w:pStyle w:val="18"/>
              <w:rPr>
                <w:rFonts w:eastAsia="仿宋"/>
                <w:lang w:val="en-US"/>
              </w:rPr>
            </w:pPr>
            <w:r>
              <w:rPr>
                <w:rFonts w:hint="eastAsia"/>
                <w:lang w:val="en-US"/>
              </w:rPr>
              <w:t>3</w:t>
            </w:r>
          </w:p>
        </w:tc>
        <w:tc>
          <w:tcPr>
            <w:tcW w:w="1672" w:type="pct"/>
            <w:shd w:val="clear" w:color="auto" w:fill="auto"/>
            <w:vAlign w:val="center"/>
          </w:tcPr>
          <w:p w14:paraId="27014FDB">
            <w:pPr>
              <w:pStyle w:val="18"/>
            </w:pPr>
            <w:r>
              <w:rPr>
                <w:rFonts w:hint="eastAsia"/>
              </w:rPr>
              <w:t>后备劳动力</w:t>
            </w:r>
          </w:p>
        </w:tc>
        <w:tc>
          <w:tcPr>
            <w:tcW w:w="2988" w:type="pct"/>
            <w:shd w:val="clear" w:color="auto" w:fill="auto"/>
            <w:vAlign w:val="center"/>
          </w:tcPr>
          <w:p w14:paraId="1920C897">
            <w:pPr>
              <w:pStyle w:val="18"/>
              <w:ind w:firstLine="560" w:firstLineChars="200"/>
              <w:jc w:val="both"/>
            </w:pPr>
            <w:r>
              <w:rPr>
                <w:rFonts w:hint="eastAsia"/>
              </w:rPr>
              <w:t>安排好后备劳动力，保证随时可从我单位的劳务体系中抽调劳动力，保证异常情况下的劳动力需求。</w:t>
            </w:r>
          </w:p>
        </w:tc>
      </w:tr>
    </w:tbl>
    <w:p w14:paraId="040DCF88">
      <w:pPr>
        <w:ind w:firstLine="560"/>
        <w:rPr>
          <w:rFonts w:eastAsia="仿宋"/>
        </w:rPr>
      </w:pPr>
      <w:r>
        <w:rPr>
          <w:rFonts w:hint="eastAsia"/>
        </w:rPr>
        <w:t>7.劳务人员身心健康及人文关怀</w:t>
      </w:r>
    </w:p>
    <w:p w14:paraId="190FC49D">
      <w:pPr>
        <w:ind w:firstLine="560"/>
      </w:pPr>
      <w:r>
        <w:rPr>
          <w:rFonts w:hint="eastAsia"/>
        </w:rPr>
        <w:t>定期开展“关爱农民工”活动，活动围绕“提高农民工岗位技能、维护农民工权益、保障农民工身心健康和提升农民工文明素质”四个方面广泛开展关爱活动。</w:t>
      </w:r>
    </w:p>
    <w:p w14:paraId="14AE3FE5">
      <w:pPr>
        <w:ind w:firstLine="560"/>
      </w:pPr>
      <w:r>
        <w:rPr>
          <w:rFonts w:hint="eastAsia"/>
        </w:rPr>
        <w:t>定期组织免费体检活动；端午节向劳务人员赠送粽子和生活用品，以表示端午节的关怀；酷暑为劳务人员“送清凉”，发放清凉油、十滴水等防暑药品等。</w:t>
      </w:r>
    </w:p>
    <w:p w14:paraId="41E92EBC">
      <w:pPr>
        <w:ind w:firstLine="560"/>
      </w:pPr>
      <w:r>
        <w:rPr>
          <w:rFonts w:hint="eastAsia"/>
        </w:rPr>
        <w:t>定期组织劳务人员同项目管理人员开展展娱乐运动活动，加强劳务人员同项目部管理人员的凝聚力。</w:t>
      </w:r>
    </w:p>
    <w:p w14:paraId="2FBAAC60">
      <w:pPr>
        <w:pStyle w:val="5"/>
        <w:spacing w:before="31" w:after="31"/>
        <w:ind w:firstLine="562"/>
      </w:pPr>
      <w:bookmarkStart w:id="8907" w:name="_Toc13016"/>
      <w:bookmarkStart w:id="8908" w:name="_Toc30542"/>
      <w:bookmarkStart w:id="8909" w:name="_Toc3168"/>
      <w:bookmarkStart w:id="8910" w:name="_Toc2745"/>
      <w:bookmarkStart w:id="8911" w:name="_Toc8523"/>
      <w:bookmarkStart w:id="8912" w:name="_Toc16141"/>
      <w:bookmarkStart w:id="8913" w:name="_Toc25102"/>
      <w:bookmarkStart w:id="8914" w:name="_Toc31841"/>
      <w:bookmarkStart w:id="8915" w:name="_Toc21175"/>
      <w:bookmarkStart w:id="8916" w:name="_Toc21324"/>
      <w:bookmarkStart w:id="8917" w:name="_Toc27616"/>
      <w:bookmarkStart w:id="8918" w:name="_Toc25439"/>
      <w:bookmarkStart w:id="8919" w:name="_Toc17018"/>
      <w:bookmarkStart w:id="8920" w:name="_Toc1225"/>
      <w:bookmarkStart w:id="8921" w:name="_Toc32406"/>
      <w:bookmarkStart w:id="8922" w:name="_Toc19195"/>
      <w:bookmarkStart w:id="8923" w:name="_Toc14882"/>
      <w:bookmarkStart w:id="8924" w:name="_Toc29005"/>
      <w:bookmarkStart w:id="8925" w:name="_Toc5605"/>
      <w:bookmarkStart w:id="8926" w:name="_Toc9601"/>
      <w:bookmarkStart w:id="8927" w:name="_Toc11901"/>
      <w:bookmarkStart w:id="8928" w:name="_Toc7620"/>
      <w:bookmarkStart w:id="8929" w:name="_Toc17841"/>
      <w:bookmarkStart w:id="8930" w:name="_Toc26936"/>
      <w:bookmarkStart w:id="8931" w:name="_Toc21949"/>
      <w:bookmarkStart w:id="8932" w:name="_Toc24196"/>
      <w:bookmarkStart w:id="8933" w:name="_Toc10854"/>
      <w:bookmarkStart w:id="8934" w:name="_Toc2182"/>
      <w:bookmarkStart w:id="8935" w:name="_Toc10999"/>
      <w:bookmarkStart w:id="8936" w:name="_Toc20362"/>
      <w:bookmarkStart w:id="8937" w:name="_Toc26904"/>
      <w:bookmarkStart w:id="8938" w:name="_Toc29438"/>
      <w:bookmarkStart w:id="8939" w:name="_Toc3267"/>
      <w:bookmarkStart w:id="8940" w:name="_Toc16340"/>
      <w:bookmarkStart w:id="8941" w:name="_Toc30329"/>
      <w:bookmarkStart w:id="8942" w:name="_Toc25593"/>
      <w:bookmarkStart w:id="8943" w:name="_Toc8895"/>
      <w:bookmarkStart w:id="8944" w:name="_Toc14290"/>
      <w:bookmarkStart w:id="8945" w:name="_Toc17729"/>
      <w:bookmarkStart w:id="8946" w:name="_Toc659"/>
      <w:bookmarkStart w:id="8947" w:name="_Toc30882"/>
      <w:bookmarkStart w:id="8948" w:name="_Toc3346"/>
      <w:bookmarkStart w:id="8949" w:name="_Toc30710"/>
      <w:bookmarkStart w:id="8950" w:name="_Toc31541"/>
      <w:bookmarkStart w:id="8951" w:name="_Toc19529"/>
      <w:bookmarkStart w:id="8952" w:name="_Toc16265"/>
      <w:bookmarkStart w:id="8953" w:name="_Toc8456"/>
      <w:bookmarkStart w:id="8954" w:name="_Toc14465"/>
      <w:bookmarkStart w:id="8955" w:name="_Toc19411"/>
      <w:bookmarkStart w:id="8956" w:name="_Toc79"/>
      <w:bookmarkStart w:id="8957" w:name="_Toc9022"/>
      <w:r>
        <w:rPr>
          <w:rFonts w:hint="eastAsia"/>
        </w:rPr>
        <w:t>（三）劳动力用量计划及保障措施</w:t>
      </w:r>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p>
    <w:p w14:paraId="01B7E255">
      <w:pPr>
        <w:ind w:firstLine="560"/>
        <w:rPr>
          <w:rFonts w:eastAsia="仿宋"/>
        </w:rPr>
      </w:pPr>
      <w:r>
        <w:rPr>
          <w:rFonts w:hint="eastAsia"/>
        </w:rPr>
        <w:t>1、劳动力计划</w:t>
      </w:r>
    </w:p>
    <w:p w14:paraId="0364B684">
      <w:pPr>
        <w:ind w:firstLine="560"/>
        <w:rPr>
          <w:rFonts w:eastAsia="仿宋"/>
        </w:rPr>
      </w:pPr>
      <w:r>
        <w:rPr>
          <w:rFonts w:hint="eastAsia"/>
        </w:rPr>
        <w:t>现场将根据施工的不同阶段、进度及需要及时组织专业素质高的劳务人员进场，保证现场的施工能够优质、高效的进行。</w:t>
      </w:r>
    </w:p>
    <w:p w14:paraId="17F4219F">
      <w:pPr>
        <w:ind w:firstLine="560"/>
        <w:rPr>
          <w:rFonts w:eastAsia="仿宋"/>
        </w:rPr>
      </w:pPr>
      <w:r>
        <w:rPr>
          <w:rFonts w:hint="eastAsia"/>
        </w:rPr>
        <w:t>2、劳动力管理措施</w:t>
      </w:r>
    </w:p>
    <w:p w14:paraId="481333DE">
      <w:pPr>
        <w:ind w:firstLine="560"/>
      </w:pPr>
      <w:r>
        <w:rPr>
          <w:rFonts w:hint="eastAsia"/>
        </w:rPr>
        <w:t>2.1生产管理与保障措施</w:t>
      </w:r>
    </w:p>
    <w:p w14:paraId="308CD4C6">
      <w:pPr>
        <w:ind w:firstLine="560"/>
      </w:pPr>
      <w:r>
        <w:rPr>
          <w:rFonts w:hint="eastAsia"/>
        </w:rPr>
        <w:t>（1）施工队伍的选择</w:t>
      </w:r>
    </w:p>
    <w:p w14:paraId="4B23BAD4">
      <w:pPr>
        <w:ind w:firstLine="560"/>
      </w:pPr>
      <w:r>
        <w:rPr>
          <w:rFonts w:hint="eastAsia"/>
        </w:rPr>
        <w:t>我单位在施工队伍的选择上将从单位信息库内选择三家成建制并长期与我单位合作、有丰富施工经验和雄厚技术实力的队伍。</w:t>
      </w:r>
    </w:p>
    <w:p w14:paraId="505D8F82">
      <w:pPr>
        <w:ind w:firstLine="560"/>
      </w:pPr>
      <w:r>
        <w:rPr>
          <w:rFonts w:hint="eastAsia"/>
        </w:rPr>
        <w:t>（2）公司在与劳务队伍签订合同时，将对劳动力素质、劳动力数量的保障做出明确的约定，同时选择有经验有水平的劳务队伍管理人员进行现场劳务管理。</w:t>
      </w:r>
    </w:p>
    <w:p w14:paraId="5D35A78D">
      <w:pPr>
        <w:ind w:firstLine="560"/>
      </w:pPr>
      <w:r>
        <w:rPr>
          <w:rFonts w:hint="eastAsia"/>
        </w:rPr>
        <w:t>（3）同劳务承包人依法签订合同，并按照合同约定履行义务。合同中明确约定支付工程款时间、结算方式以及保证按期支付的相应措施，确保工程款支付。</w:t>
      </w:r>
    </w:p>
    <w:p w14:paraId="274CA488">
      <w:pPr>
        <w:ind w:firstLine="560"/>
      </w:pPr>
      <w:r>
        <w:rPr>
          <w:rFonts w:hint="eastAsia"/>
        </w:rPr>
        <w:t>（4）与劳务订立合同后开始做手到建委进行备案。</w:t>
      </w:r>
    </w:p>
    <w:p w14:paraId="540ABB88">
      <w:pPr>
        <w:ind w:firstLine="560"/>
      </w:pPr>
      <w:r>
        <w:rPr>
          <w:rFonts w:hint="eastAsia"/>
        </w:rPr>
        <w:t>（5）如在施工过程中原约定的工程范围、建设工期、工程造价、拨款和结算等内容发生重大变更的，立即进行合同变更，并在变更后亦应向建委备案。</w:t>
      </w:r>
    </w:p>
    <w:p w14:paraId="43EE168C">
      <w:pPr>
        <w:ind w:firstLine="560"/>
      </w:pPr>
      <w:r>
        <w:rPr>
          <w:rFonts w:hint="eastAsia"/>
        </w:rPr>
        <w:t>2.2劳动力的调配</w:t>
      </w:r>
    </w:p>
    <w:p w14:paraId="62CA3C67">
      <w:pPr>
        <w:ind w:firstLine="560"/>
      </w:pPr>
      <w:r>
        <w:rPr>
          <w:rFonts w:hint="eastAsia"/>
        </w:rPr>
        <w:t>合理调配劳动力是提高劳动效率的关键。项目经理部将现场劳动力分为两班。每班严格按8小时工作制控制，保证每天现场12小时的施工时间。</w:t>
      </w:r>
    </w:p>
    <w:p w14:paraId="5EB144AF">
      <w:pPr>
        <w:ind w:firstLine="560"/>
      </w:pPr>
      <w:r>
        <w:rPr>
          <w:rFonts w:hint="eastAsia"/>
        </w:rPr>
        <w:t>同时我单位还将对所有劳动力进行统一调配，需要时马上调配至工作面配合施工，避免出现施工关键阶段因特殊原因造成现场劳动力短缺的情况，以保障关键工序的顺利完成。</w:t>
      </w:r>
    </w:p>
    <w:p w14:paraId="062AB9F5">
      <w:pPr>
        <w:ind w:firstLine="560"/>
      </w:pPr>
      <w:r>
        <w:rPr>
          <w:rFonts w:hint="eastAsia"/>
        </w:rPr>
        <w:t>2.3劳动力的现场管理</w:t>
      </w:r>
    </w:p>
    <w:p w14:paraId="0CC3158C">
      <w:pPr>
        <w:ind w:firstLine="560"/>
      </w:pPr>
      <w:r>
        <w:rPr>
          <w:rFonts w:hint="eastAsia"/>
        </w:rPr>
        <w:t>（1）参加本工程的施工管理、作业人员具有建设行政主管部门核发的《职业资格证书》，并且已按有关规定办理了合法务工手续。</w:t>
      </w:r>
    </w:p>
    <w:p w14:paraId="27291794">
      <w:pPr>
        <w:ind w:firstLine="560"/>
      </w:pPr>
      <w:r>
        <w:rPr>
          <w:rFonts w:hint="eastAsia"/>
        </w:rPr>
        <w:t>（2）加强劳务企业与其劳动者签订劳动合同的监督，对未与劳务企业签订劳动合同的劳动者禁止在施工现场从事施工活动。</w:t>
      </w:r>
    </w:p>
    <w:p w14:paraId="1CF0D378">
      <w:pPr>
        <w:ind w:firstLine="560"/>
      </w:pPr>
      <w:r>
        <w:rPr>
          <w:rFonts w:hint="eastAsia"/>
        </w:rPr>
        <w:t>（3）项目部设置1名兼职管理人员负责劳务管理。建立施工管理作业人员劳务档案，记录人员身份证号、职业资格证书号、劳动合同编号以及业绩和信用等情况。</w:t>
      </w:r>
    </w:p>
    <w:p w14:paraId="4EBB2DE6">
      <w:pPr>
        <w:ind w:firstLine="560"/>
      </w:pPr>
      <w:r>
        <w:rPr>
          <w:rFonts w:hint="eastAsia"/>
        </w:rPr>
        <w:t>（4）特殊工种施工作业人员必须持有职业资格证书才能上岗作业。对不合格人员不得从事相应施工活动。</w:t>
      </w:r>
    </w:p>
    <w:p w14:paraId="0E8B9AA0">
      <w:pPr>
        <w:ind w:firstLine="560"/>
      </w:pPr>
      <w:r>
        <w:rPr>
          <w:rFonts w:hint="eastAsia"/>
        </w:rPr>
        <w:t>（5）所有入场的特殊工种施工作业人员必须接受我单位组织的专业知识和安全考核，合格后方可上岗作业。我单位将对所有施工作业人员建立考核登记档案和安全学习记录。</w:t>
      </w:r>
    </w:p>
    <w:p w14:paraId="61CB1840">
      <w:pPr>
        <w:ind w:firstLine="560"/>
      </w:pPr>
      <w:r>
        <w:rPr>
          <w:rFonts w:hint="eastAsia"/>
        </w:rPr>
        <w:t>（6）为调动现场劳动力的积极性，我单位在进场时将与劳动队伍签订现场施工奖罚协议书，从工期、质量、安全、文明施工等各个方面制定相应的奖罚措施，作到现场管理“有法可依”。</w:t>
      </w:r>
    </w:p>
    <w:p w14:paraId="7CC8470A">
      <w:pPr>
        <w:ind w:firstLine="560"/>
      </w:pPr>
      <w:r>
        <w:rPr>
          <w:rFonts w:hint="eastAsia"/>
        </w:rPr>
        <w:t>（7）施工期间，现场技术人员对关键工序进行旁站式监督，劳动队伍的管理人员保证施工期间不离现场。夜间施工期间，安排现场值班表，保证现场24小时有管理人员在现场。</w:t>
      </w:r>
    </w:p>
    <w:p w14:paraId="1DE34119">
      <w:pPr>
        <w:ind w:firstLine="560"/>
      </w:pPr>
      <w:r>
        <w:rPr>
          <w:rFonts w:hint="eastAsia"/>
        </w:rPr>
        <w:t>2.4生活管理与保障措施</w:t>
      </w:r>
    </w:p>
    <w:p w14:paraId="69659AD9">
      <w:pPr>
        <w:ind w:firstLine="560"/>
      </w:pPr>
      <w:r>
        <w:rPr>
          <w:rFonts w:hint="eastAsia"/>
        </w:rPr>
        <w:t>（1）建立联合工会，工会的作用是为职工群众说话办事。联合工会将进一步拉近公司和作业层之间的距离，及时为困难职工群体办实事，帮助他们排忧解难。</w:t>
      </w:r>
    </w:p>
    <w:p w14:paraId="6B4F449D">
      <w:pPr>
        <w:ind w:firstLine="560"/>
      </w:pPr>
      <w:r>
        <w:rPr>
          <w:rFonts w:hint="eastAsia"/>
        </w:rPr>
        <w:t>（2）支持和推动贯彻落实社会保障政策，联合工会将加强对劳务的监督管理，定期检查商工程款的发放状况。</w:t>
      </w:r>
    </w:p>
    <w:p w14:paraId="784E9179">
      <w:pPr>
        <w:ind w:firstLine="560"/>
        <w:rPr>
          <w:rFonts w:eastAsia="仿宋"/>
        </w:rPr>
      </w:pPr>
      <w:r>
        <w:rPr>
          <w:rFonts w:hint="eastAsia"/>
        </w:rPr>
        <w:t>（3）在工人的安全健康方面，坚持“安全第一、预防为主、群防群治、依法监督”的原则，联合工会将开展多种形式的安全生产监督检查活动，积极推动劳动安全卫生监督检查体系的建立健全，确保职工的劳动安全。</w:t>
      </w:r>
    </w:p>
    <w:p w14:paraId="59A1D4C6">
      <w:pPr>
        <w:ind w:firstLine="560"/>
        <w:rPr>
          <w:rFonts w:eastAsia="仿宋"/>
        </w:rPr>
      </w:pPr>
      <w:r>
        <w:rPr>
          <w:rFonts w:hint="eastAsia"/>
        </w:rPr>
        <w:t>（4）联合工会成立后要加强组织建设工作。让部分思想先进，能够代表大多数工人想法的职工加入工会组织，出现不能解决或解决起来困难的问题时，及时在联合工会内部反应。</w:t>
      </w:r>
    </w:p>
    <w:p w14:paraId="1A501368">
      <w:pPr>
        <w:ind w:firstLine="560"/>
        <w:rPr>
          <w:rFonts w:eastAsia="仿宋"/>
        </w:rPr>
      </w:pPr>
      <w:r>
        <w:rPr>
          <w:rFonts w:hint="eastAsia"/>
        </w:rPr>
        <w:t>（5）联合工会的成立扩大原有单一工会的工作范围，凡是涉及工人切身利益的事情，工会就有责任有义务代表工人出面解决。包括拖欠工资、出现工伤事故、劳动保护等，以保护工人的合法权益。</w:t>
      </w:r>
    </w:p>
    <w:p w14:paraId="03B357D6">
      <w:pPr>
        <w:ind w:firstLine="560"/>
        <w:rPr>
          <w:rFonts w:eastAsia="仿宋"/>
        </w:rPr>
      </w:pPr>
      <w:r>
        <w:rPr>
          <w:rFonts w:hint="eastAsia"/>
        </w:rPr>
        <w:t>（6）通过联合工会组织，积极开展宣传、普及劳动法活动，使工人懂得依法维权。</w:t>
      </w:r>
    </w:p>
    <w:p w14:paraId="23CB0BCB">
      <w:pPr>
        <w:ind w:firstLine="560"/>
        <w:rPr>
          <w:rFonts w:eastAsia="仿宋"/>
        </w:rPr>
      </w:pPr>
      <w:r>
        <w:rPr>
          <w:rFonts w:hint="eastAsia"/>
        </w:rPr>
        <w:t>2.5劳务人员工资保障措施</w:t>
      </w:r>
    </w:p>
    <w:p w14:paraId="579EE662">
      <w:pPr>
        <w:ind w:firstLine="560"/>
        <w:rPr>
          <w:rFonts w:eastAsia="仿宋"/>
        </w:rPr>
      </w:pPr>
      <w:r>
        <w:rPr>
          <w:rFonts w:hint="eastAsia"/>
        </w:rPr>
        <w:t>（1）在同劳务的合同中明确约定劳务工程款的支付时间、结算方式以及保证按期支付的相应措施，确保劳动者工资支付。</w:t>
      </w:r>
    </w:p>
    <w:p w14:paraId="4A941113">
      <w:pPr>
        <w:ind w:firstLine="560"/>
      </w:pPr>
      <w:r>
        <w:rPr>
          <w:rFonts w:hint="eastAsia"/>
        </w:rPr>
        <w:t>（2）付款额度公开。</w:t>
      </w:r>
    </w:p>
    <w:p w14:paraId="1F271172">
      <w:pPr>
        <w:ind w:firstLine="560"/>
      </w:pPr>
      <w:r>
        <w:rPr>
          <w:rFonts w:hint="eastAsia"/>
        </w:rPr>
        <w:t>每月支付工程款时，我单位及时将付款的额度通知劳务公司作业班组长，让工人了解我单位的付款情况，稳定工人的情绪，保护劳务人员的知情权，从而一定程度上制约和避免劳务公司挪用工资款项。</w:t>
      </w:r>
    </w:p>
    <w:p w14:paraId="609F3FCE">
      <w:pPr>
        <w:ind w:firstLine="560"/>
        <w:rPr>
          <w:rFonts w:eastAsia="仿宋"/>
        </w:rPr>
      </w:pPr>
      <w:r>
        <w:rPr>
          <w:rFonts w:hint="eastAsia"/>
        </w:rPr>
        <w:t>工程款支付后，加强对劳务公司资金流向的监督，督促其及时支付工人工资，防止劳务公司将工程款挪作他用。</w:t>
      </w:r>
    </w:p>
    <w:p w14:paraId="6CAE4BA7">
      <w:pPr>
        <w:ind w:firstLine="560"/>
      </w:pPr>
      <w:r>
        <w:rPr>
          <w:rFonts w:hint="eastAsia"/>
        </w:rPr>
        <w:t>（3）设置预留帐户</w:t>
      </w:r>
    </w:p>
    <w:p w14:paraId="64927654">
      <w:pPr>
        <w:ind w:firstLine="560"/>
      </w:pPr>
      <w:r>
        <w:rPr>
          <w:rFonts w:hint="eastAsia"/>
        </w:rPr>
        <w:t>在支付劳务公司工程款时，将工程款的20%预留，划入预留帐户，防止劳务公司在出现管理问题时，仍有资金支付工人的工资。在双方的双重监督下，此帐户中的款项专门用于支付劳务人员工资，该帐户资金由双方共管，任何一方不得私自挪用，并由联合工会进行日常</w:t>
      </w:r>
    </w:p>
    <w:p w14:paraId="0B2FB6F6">
      <w:pPr>
        <w:ind w:firstLine="560"/>
      </w:pPr>
      <w:r>
        <w:rPr>
          <w:rFonts w:hint="eastAsia"/>
        </w:rPr>
        <w:t>监督。工程完工，全部劳务人员工资足额发放后，双方协商取消该帐户。</w:t>
      </w:r>
    </w:p>
    <w:p w14:paraId="6C258794">
      <w:pPr>
        <w:ind w:firstLine="560"/>
      </w:pPr>
      <w:r>
        <w:rPr>
          <w:rFonts w:hint="eastAsia"/>
        </w:rPr>
        <w:t>（4）所有施工队伍必须为工人建立工资卡，工人工资不得低于最低生活标准，工资发放实行月结季清，凡没按月结季清执行的，在联合工会的监督下，由我单位统一代发。</w:t>
      </w:r>
    </w:p>
    <w:p w14:paraId="7E7C24F3">
      <w:pPr>
        <w:ind w:firstLine="560"/>
      </w:pPr>
      <w:r>
        <w:rPr>
          <w:rFonts w:hint="eastAsia"/>
        </w:rPr>
        <w:t>（5）为了保障工人的正常生活，联合工会除了实行月结季清外，在每月不能足额发放工资的情况下，必须按照最低生活费的标准发放工人的生活保障费，其余的工资在本季度全部结清。</w:t>
      </w:r>
    </w:p>
    <w:p w14:paraId="1DCBCD29">
      <w:pPr>
        <w:ind w:firstLine="560"/>
      </w:pPr>
      <w:r>
        <w:rPr>
          <w:rFonts w:hint="eastAsia"/>
        </w:rPr>
        <w:t>（6）单位按照劳动合同约定的日期支付劳动者工资，不以工程款拖欠、结算纠纷、垫资施工等理由随意克扣或者无故拖欠。工程停工、窝工期间劳动者工资的支付，按照工程合同和劳动合同的约定办理。</w:t>
      </w:r>
    </w:p>
    <w:p w14:paraId="0EECB45D">
      <w:pPr>
        <w:ind w:firstLine="560"/>
      </w:pPr>
      <w:r>
        <w:rPr>
          <w:rFonts w:hint="eastAsia"/>
        </w:rPr>
        <w:t>（7）与工程承包人在工程施工过程中解除合同的，及时付清工程款。</w:t>
      </w:r>
    </w:p>
    <w:p w14:paraId="35A23577">
      <w:pPr>
        <w:ind w:firstLine="560"/>
      </w:pPr>
      <w:r>
        <w:rPr>
          <w:rFonts w:hint="eastAsia"/>
        </w:rPr>
        <w:t>劳务企业每月将支付劳务工程款情况和向劳动者支付工资情况，按月如实填报在信息管理系统中。</w:t>
      </w:r>
    </w:p>
    <w:p w14:paraId="117960D5">
      <w:pPr>
        <w:ind w:firstLine="560"/>
      </w:pPr>
      <w:r>
        <w:rPr>
          <w:rFonts w:hint="eastAsia"/>
        </w:rPr>
        <w:t>2.6其他生活保障措施</w:t>
      </w:r>
    </w:p>
    <w:p w14:paraId="52EBDE67">
      <w:pPr>
        <w:ind w:firstLine="560"/>
      </w:pPr>
      <w:r>
        <w:rPr>
          <w:rFonts w:hint="eastAsia"/>
        </w:rPr>
        <w:t>（1）严格执行8小时工作制，需进行夜间加班时，及时发给加班工资，并安排“夜宵”。</w:t>
      </w:r>
    </w:p>
    <w:p w14:paraId="1531F3F4">
      <w:pPr>
        <w:ind w:firstLine="560"/>
      </w:pPr>
      <w:r>
        <w:rPr>
          <w:rFonts w:hint="eastAsia"/>
        </w:rPr>
        <w:t>（2）生活区的设置严格按相关标准，保证宿舍实行单人单床。</w:t>
      </w:r>
    </w:p>
    <w:p w14:paraId="3A14F9F1">
      <w:pPr>
        <w:ind w:firstLine="560"/>
      </w:pPr>
      <w:r>
        <w:rPr>
          <w:rFonts w:hint="eastAsia"/>
        </w:rPr>
        <w:t>（3）严格按照的有关规定对工人权益加以保护，确保施工人员的权益得到有效保障。</w:t>
      </w:r>
    </w:p>
    <w:p w14:paraId="5DA9DEA1">
      <w:pPr>
        <w:ind w:firstLine="560"/>
      </w:pPr>
      <w:r>
        <w:rPr>
          <w:rFonts w:hint="eastAsia"/>
        </w:rPr>
        <w:t>2.7、主要周转材料使用计划</w:t>
      </w:r>
    </w:p>
    <w:p w14:paraId="2697937C">
      <w:pPr>
        <w:ind w:firstLine="560"/>
      </w:pPr>
      <w:r>
        <w:rPr>
          <w:rFonts w:hint="eastAsia"/>
        </w:rPr>
        <w:t>进场后，项目技术人员根据工程预算和不同施工阶段的要求，及时提出周转材料的总体需用计划及月度需用计划，项目物资部从我单位材料供应商数据库中选择供货商，按计划及时组织材料陆续进场。</w:t>
      </w:r>
    </w:p>
    <w:p w14:paraId="253BDA7C">
      <w:pPr>
        <w:ind w:firstLine="560"/>
      </w:pPr>
      <w:r>
        <w:rPr>
          <w:rFonts w:hint="eastAsia"/>
        </w:rPr>
        <w:t>2.8、材料保障措施</w:t>
      </w:r>
    </w:p>
    <w:p w14:paraId="34805E42">
      <w:pPr>
        <w:ind w:firstLine="560"/>
      </w:pPr>
      <w:r>
        <w:rPr>
          <w:rFonts w:hint="eastAsia"/>
        </w:rPr>
        <w:t>（1）我单位有完善的实体材料供应商服务网络，拥有大批重合同、守信用、有实力的物资供应商，能保证工程所需主材及时到场。</w:t>
      </w:r>
    </w:p>
    <w:p w14:paraId="41CD2A86">
      <w:pPr>
        <w:ind w:firstLine="560"/>
      </w:pPr>
      <w:r>
        <w:rPr>
          <w:rFonts w:hint="eastAsia"/>
        </w:rPr>
        <w:t>（2）根据工程进展，各专业工程师按照施工方案和进度计划提前做好主要材料需求计划，项目材料部门及时采购。</w:t>
      </w:r>
    </w:p>
    <w:p w14:paraId="2D0EF4DF">
      <w:pPr>
        <w:ind w:firstLine="560"/>
      </w:pPr>
      <w:r>
        <w:rPr>
          <w:rFonts w:hint="eastAsia"/>
        </w:rPr>
        <w:t>（3）施工技术负责人牵头，专业工程师参加对进场实体材料进行验收。</w:t>
      </w:r>
    </w:p>
    <w:p w14:paraId="62B0439A">
      <w:pPr>
        <w:ind w:firstLine="560"/>
      </w:pPr>
      <w:r>
        <w:rPr>
          <w:rFonts w:hint="eastAsia"/>
        </w:rPr>
        <w:t>（4）项目物资部及时向监理工程师呈报材料进场合格证，材料供应商资质证明等。</w:t>
      </w:r>
    </w:p>
    <w:p w14:paraId="7F1315B4">
      <w:pPr>
        <w:pStyle w:val="4"/>
        <w:spacing w:before="93" w:after="31"/>
      </w:pPr>
      <w:bookmarkStart w:id="8958" w:name="_Toc6015"/>
      <w:bookmarkStart w:id="8959" w:name="_Toc19792"/>
      <w:bookmarkStart w:id="8960" w:name="_Toc2257"/>
      <w:bookmarkStart w:id="8961" w:name="_Toc26972"/>
      <w:bookmarkStart w:id="8962" w:name="_Toc6040"/>
      <w:bookmarkStart w:id="8963" w:name="_Toc11388"/>
      <w:bookmarkStart w:id="8964" w:name="_Toc2790"/>
      <w:bookmarkStart w:id="8965" w:name="_Toc2908"/>
      <w:bookmarkStart w:id="8966" w:name="_Toc9499"/>
      <w:bookmarkStart w:id="8967" w:name="_Toc13017"/>
      <w:bookmarkStart w:id="8968" w:name="_Toc6425"/>
      <w:bookmarkStart w:id="8969" w:name="_Toc4921"/>
      <w:bookmarkStart w:id="8970" w:name="_Toc19341"/>
      <w:bookmarkStart w:id="8971" w:name="_Toc7445"/>
      <w:bookmarkStart w:id="8972" w:name="_Toc28"/>
      <w:bookmarkStart w:id="8973" w:name="_Toc5141"/>
      <w:bookmarkStart w:id="8974" w:name="_Toc25157"/>
      <w:bookmarkStart w:id="8975" w:name="_Toc9123"/>
      <w:bookmarkStart w:id="8976" w:name="_Toc20093"/>
      <w:bookmarkStart w:id="8977" w:name="_Toc31800"/>
      <w:bookmarkStart w:id="8978" w:name="_Toc8847"/>
      <w:bookmarkStart w:id="8979" w:name="_Toc27081"/>
      <w:bookmarkStart w:id="8980" w:name="_Toc4430"/>
      <w:bookmarkStart w:id="8981" w:name="_Toc6505"/>
      <w:bookmarkStart w:id="8982" w:name="_Toc19898"/>
      <w:bookmarkStart w:id="8983" w:name="_Toc4224"/>
      <w:bookmarkStart w:id="8984" w:name="_Toc23189"/>
      <w:bookmarkStart w:id="8985" w:name="_Toc28801"/>
      <w:bookmarkStart w:id="8986" w:name="_Toc6824"/>
      <w:bookmarkStart w:id="8987" w:name="_Toc8149"/>
      <w:bookmarkStart w:id="8988" w:name="_Toc8589"/>
      <w:bookmarkStart w:id="8989" w:name="_Toc18920"/>
      <w:bookmarkStart w:id="8990" w:name="_Toc3269"/>
      <w:bookmarkStart w:id="8991" w:name="_Toc21634"/>
      <w:bookmarkStart w:id="8992" w:name="_Toc3731"/>
      <w:bookmarkStart w:id="8993" w:name="_Toc3418"/>
      <w:bookmarkStart w:id="8994" w:name="_Toc19965"/>
      <w:bookmarkStart w:id="8995" w:name="_Toc18279"/>
      <w:bookmarkStart w:id="8996" w:name="_Toc32292"/>
      <w:bookmarkStart w:id="8997" w:name="_Toc21933"/>
      <w:bookmarkStart w:id="8998" w:name="_Toc27078"/>
      <w:bookmarkStart w:id="8999" w:name="_Toc23708"/>
      <w:bookmarkStart w:id="9000" w:name="_Toc28153"/>
      <w:bookmarkStart w:id="9001" w:name="_Toc21157"/>
      <w:bookmarkStart w:id="9002" w:name="_Toc26006"/>
      <w:bookmarkStart w:id="9003" w:name="_Toc27312"/>
      <w:bookmarkStart w:id="9004" w:name="_Toc21638"/>
      <w:bookmarkStart w:id="9005" w:name="_Toc11123"/>
      <w:bookmarkStart w:id="9006" w:name="_Toc2706"/>
      <w:bookmarkStart w:id="9007" w:name="_Toc11742"/>
      <w:bookmarkStart w:id="9008" w:name="_Toc28723"/>
      <w:bookmarkStart w:id="9009" w:name="_Toc3154"/>
      <w:bookmarkStart w:id="9010" w:name="_Toc11102"/>
      <w:bookmarkStart w:id="9011" w:name="_Toc27133"/>
      <w:bookmarkStart w:id="9012" w:name="_Toc8763"/>
      <w:bookmarkStart w:id="9013" w:name="_Toc26167"/>
      <w:bookmarkStart w:id="9014" w:name="_Toc25147"/>
      <w:r>
        <w:rPr>
          <w:rFonts w:hint="eastAsia"/>
        </w:rPr>
        <w:t>三、农民工工资保证措施</w:t>
      </w:r>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p>
    <w:p w14:paraId="2E81D327">
      <w:pPr>
        <w:pStyle w:val="5"/>
        <w:spacing w:before="31" w:after="31"/>
        <w:ind w:firstLine="562"/>
      </w:pPr>
      <w:bookmarkStart w:id="9015" w:name="_Toc28186"/>
      <w:bookmarkStart w:id="9016" w:name="_Toc23278"/>
      <w:bookmarkStart w:id="9017" w:name="_Toc29790"/>
      <w:bookmarkStart w:id="9018" w:name="_Toc23023"/>
      <w:bookmarkStart w:id="9019" w:name="_Toc28199"/>
      <w:bookmarkStart w:id="9020" w:name="_Toc2584"/>
      <w:bookmarkStart w:id="9021" w:name="_Toc29732"/>
      <w:bookmarkStart w:id="9022" w:name="_Toc13285"/>
      <w:bookmarkStart w:id="9023" w:name="_Toc3067"/>
      <w:bookmarkStart w:id="9024" w:name="_Toc9537"/>
      <w:bookmarkStart w:id="9025" w:name="_Toc9122"/>
      <w:bookmarkStart w:id="9026" w:name="_Toc26429"/>
      <w:bookmarkStart w:id="9027" w:name="_Toc8184"/>
      <w:bookmarkStart w:id="9028" w:name="_Toc19173"/>
      <w:bookmarkStart w:id="9029" w:name="_Toc17372"/>
      <w:bookmarkStart w:id="9030" w:name="_Toc14650"/>
      <w:bookmarkStart w:id="9031" w:name="_Toc31570"/>
      <w:bookmarkStart w:id="9032" w:name="_Toc4040"/>
      <w:bookmarkStart w:id="9033" w:name="_Toc3430"/>
      <w:bookmarkStart w:id="9034" w:name="_Toc21387"/>
      <w:bookmarkStart w:id="9035" w:name="_Toc31696"/>
      <w:bookmarkStart w:id="9036" w:name="_Toc7393"/>
      <w:bookmarkStart w:id="9037" w:name="_Toc266"/>
      <w:bookmarkStart w:id="9038" w:name="_Toc6341"/>
      <w:bookmarkStart w:id="9039" w:name="_Toc32107"/>
      <w:bookmarkStart w:id="9040" w:name="_Toc22006"/>
      <w:bookmarkStart w:id="9041" w:name="_Toc29107"/>
      <w:bookmarkStart w:id="9042" w:name="_Toc31474"/>
      <w:bookmarkStart w:id="9043" w:name="_Toc15648"/>
      <w:bookmarkStart w:id="9044" w:name="_Toc8065"/>
      <w:bookmarkStart w:id="9045" w:name="_Toc17403"/>
      <w:bookmarkStart w:id="9046" w:name="_Toc23039"/>
      <w:bookmarkStart w:id="9047" w:name="_Toc7372"/>
      <w:bookmarkStart w:id="9048" w:name="_Toc13281"/>
      <w:bookmarkStart w:id="9049" w:name="_Toc9953"/>
      <w:bookmarkStart w:id="9050" w:name="_Toc27388"/>
      <w:bookmarkStart w:id="9051" w:name="_Toc10202"/>
      <w:bookmarkStart w:id="9052" w:name="_Toc31304"/>
      <w:bookmarkStart w:id="9053" w:name="_Toc11545"/>
      <w:bookmarkStart w:id="9054" w:name="_Toc31594"/>
      <w:bookmarkStart w:id="9055" w:name="_Toc11444"/>
      <w:bookmarkStart w:id="9056" w:name="_Toc23918"/>
      <w:bookmarkStart w:id="9057" w:name="_Toc5196"/>
      <w:bookmarkStart w:id="9058" w:name="_Toc27811"/>
      <w:bookmarkStart w:id="9059" w:name="_Toc5353"/>
      <w:bookmarkStart w:id="9060" w:name="_Toc13095"/>
      <w:bookmarkStart w:id="9061" w:name="_Toc15764"/>
      <w:bookmarkStart w:id="9062" w:name="_Toc3005"/>
      <w:bookmarkStart w:id="9063" w:name="_Toc26487"/>
      <w:bookmarkStart w:id="9064" w:name="_Toc1922"/>
      <w:bookmarkStart w:id="9065" w:name="_Toc24120"/>
      <w:bookmarkStart w:id="9066" w:name="_Toc6760"/>
      <w:bookmarkStart w:id="9067" w:name="_Toc16760"/>
      <w:bookmarkStart w:id="9068" w:name="_Toc15248"/>
      <w:bookmarkStart w:id="9069" w:name="_Toc7901"/>
      <w:r>
        <w:rPr>
          <w:rFonts w:hint="eastAsia"/>
        </w:rPr>
        <w:t>（一）农民工工资支付承诺</w:t>
      </w:r>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p>
    <w:p w14:paraId="4B175B99">
      <w:pPr>
        <w:ind w:firstLine="560"/>
      </w:pPr>
      <w:r>
        <w:rPr>
          <w:rFonts w:hint="eastAsia"/>
        </w:rPr>
        <w:t>为保障工程中的农民工工资发放工作顺利进行和落实，我公司做出如下承诺：</w:t>
      </w:r>
    </w:p>
    <w:p w14:paraId="3EEDE99E">
      <w:pPr>
        <w:ind w:firstLine="560"/>
      </w:pPr>
      <w:r>
        <w:rPr>
          <w:rFonts w:hint="eastAsia"/>
        </w:rPr>
        <w:t>1、根据国家有关规定，我公司按照制式合同，与农民工签定用工合同，规定工资支付标准、支付方式、支付周期和日期及特殊情况下工资支付内容。项目经理、施工作业班组、劳务分包单位等不具备用工主体资格,不得与农民工签订劳动合同。</w:t>
      </w:r>
    </w:p>
    <w:p w14:paraId="02124AB1">
      <w:pPr>
        <w:ind w:firstLine="560"/>
      </w:pPr>
      <w:r>
        <w:rPr>
          <w:rFonts w:hint="eastAsia"/>
        </w:rPr>
        <w:t>2、我公司对农民工工资的支付负直接责任，全面负责与之形成劳动关系的农民工的用工管理。</w:t>
      </w:r>
    </w:p>
    <w:p w14:paraId="199A4775">
      <w:pPr>
        <w:ind w:firstLine="560"/>
      </w:pPr>
      <w:r>
        <w:rPr>
          <w:rFonts w:hint="eastAsia"/>
        </w:rPr>
        <w:t>3、我公司若有拖欠农民工工资的行为是我公司与农民工之间发生的违约责任，其法律责任与法律后果建设方不负任何责任。</w:t>
      </w:r>
    </w:p>
    <w:p w14:paraId="05FD8077">
      <w:pPr>
        <w:ind w:firstLine="560"/>
      </w:pPr>
      <w:r>
        <w:rPr>
          <w:rFonts w:hint="eastAsia"/>
        </w:rPr>
        <w:t>4、我公司农民工工资的支付工作接受建设方监督管理。我公司若有违反合同约定中农民工工资支付相关条款及承诺书中条款的行为，全部责任由我公司承担，并按合同约定的违约条款对建设方负责。</w:t>
      </w:r>
    </w:p>
    <w:p w14:paraId="34A4AAB6">
      <w:pPr>
        <w:ind w:firstLine="560"/>
      </w:pPr>
      <w:r>
        <w:rPr>
          <w:rFonts w:hint="eastAsia"/>
        </w:rPr>
        <w:t>5、我公司在农民工进场后10日内建立进场农民工花名册，其中包含进场农民工个人详细信息、进场时间、从事工种、所在班组等资料，随册附进场农民工身份证，暂住证、劳动合同、技术专业证书、健康证等相关材料，随时掌握进场农民工的数量。该花名册制作正本、副本各一份，副本每页加盖我公司公章，送交建设方备查。进场农民工如有增减变化我公司应及时更新相关资料，并制作副本一份，加盖我公司公章后送交建设方备查。我公司项目负责人直接管理施工现场的农民工，不得通过“包工头”、“带班长”等代管。</w:t>
      </w:r>
    </w:p>
    <w:p w14:paraId="750095F1">
      <w:pPr>
        <w:ind w:firstLine="560"/>
      </w:pPr>
      <w:r>
        <w:rPr>
          <w:rFonts w:hint="eastAsia"/>
        </w:rPr>
        <w:t>6、我公司在银行建立农民工工资专用预储帐户，并书面承诺该帐户资金只用于支付农民工工资，不能挪作他用，银行负责对资金用途进行监管。我公司在依法与农民工签订劳动合同后，到专用预储帐户开户银行为每一名农民工办理个人工资帐户，签订代发工资协议，每月由银行代发农民工工资。我公司为每个农民工建立银行卡时应由每个农民工亲自领取银行卡，并在领取登记表上签名确认。我公司在办理上述工作之后将农民工在工资支付专用预储帐户开户银行的开户信息、银行卡号等编制成册，制作正本、副本各一份，副本加盖我公司公章后送交建设方备查。</w:t>
      </w:r>
    </w:p>
    <w:p w14:paraId="4CB6099F">
      <w:pPr>
        <w:ind w:firstLine="560"/>
      </w:pPr>
      <w:r>
        <w:rPr>
          <w:rFonts w:hint="eastAsia"/>
        </w:rPr>
        <w:t>7、我公司支付农民工工资，支付办法包括以下内容：支付项目、支付标准、支付方式、支付周期和日期、加班工资计算基数、特殊情况下的工资支付以及其他工资支付内容；根据各班组上报的考勤表或班组计工表，按双方签定的合同，编制工资支付表，如实记录支付单位、支付时间、支付对象（姓名、身份证编号、银行卡号）、支付数额等工资支付情况。每月安排专职农民工管理人员和专职财务人员，根据工资支付表将工资由农民工工资存入专用预储帐户转帐到农民工登记在册的工资银行卡。不得通过“包工头”、“带班长”等代发。我公司编制的农民工工资支付表在工资发放之后必须由领取工资的农民工本人签字确认。</w:t>
      </w:r>
    </w:p>
    <w:p w14:paraId="1313DD29">
      <w:pPr>
        <w:ind w:firstLine="560"/>
      </w:pPr>
      <w:r>
        <w:rPr>
          <w:rFonts w:hint="eastAsia"/>
        </w:rPr>
        <w:t>8、我公司每月定时发放农民工工资。若不能足额发放，则以不低于市最工资标准的金额支付农民工基本生活费，每季度按劳动合同约定对农民工劳务费进行一次性结算，并足额支付农民工剩余应得工资，出现此类情形，我公司将具体工资发放情况做出书面报告，并将有农民工签字确认的实际发放明细清单连同书面报告加盖公司公章后交建设方备查。</w:t>
      </w:r>
    </w:p>
    <w:p w14:paraId="6F28CFBE">
      <w:pPr>
        <w:ind w:firstLine="560"/>
      </w:pPr>
      <w:r>
        <w:rPr>
          <w:rFonts w:hint="eastAsia"/>
        </w:rPr>
        <w:t>9、每次发放工资后，我公司将有农民工签字确认的农民工工资支付表及银行转帐清单等资料全套复印一份并加盖我公司公章后送交建设方备查。</w:t>
      </w:r>
    </w:p>
    <w:p w14:paraId="558EFA97">
      <w:pPr>
        <w:ind w:firstLine="560"/>
      </w:pPr>
      <w:r>
        <w:rPr>
          <w:rFonts w:hint="eastAsia"/>
        </w:rPr>
        <w:t>10、我公司在申请拨付工程款时将相应施工进度形象部位所产生的农民工劳务费明细结合相应班组农民工工资标准等材料制作成书面文本资料加盖我公司公章后送交建设方备查。建设方拨付工程款时，将所含劳务费部分直接转帐到我公司在银行建立的农民工工资专用预储帐户，其余部分转帐到我公司指定帐户。我公司在建设方拨付工程款后按劳动合同约定及时支付农民工工资。</w:t>
      </w:r>
    </w:p>
    <w:p w14:paraId="1D6757BC">
      <w:pPr>
        <w:ind w:firstLine="560"/>
      </w:pPr>
      <w:r>
        <w:rPr>
          <w:rFonts w:hint="eastAsia"/>
        </w:rPr>
        <w:t>11、每期拨款前我公司如未将上期各月有农民工签字确认的农民工工资支付表及银行转帐清单等资料送交建设方，建设方若不予进行拨款，我公司无异议，并按建设方要求补齐上期应交资料。</w:t>
      </w:r>
    </w:p>
    <w:p w14:paraId="1AEF1DC3">
      <w:pPr>
        <w:ind w:firstLine="560"/>
      </w:pPr>
      <w:r>
        <w:rPr>
          <w:rFonts w:hint="eastAsia"/>
        </w:rPr>
        <w:t>12、我公司承诺将农民工工资保证金专款专用，不得挪作他用。</w:t>
      </w:r>
    </w:p>
    <w:p w14:paraId="2A79DCC0">
      <w:pPr>
        <w:ind w:firstLine="560"/>
      </w:pPr>
      <w:r>
        <w:rPr>
          <w:rFonts w:hint="eastAsia"/>
        </w:rPr>
        <w:t>13、我公司在工地醒目的位置，设立农民工劳动权益保障告示牌，明确农民工工资发放制度，公开举报电话和各级责任人。</w:t>
      </w:r>
    </w:p>
    <w:p w14:paraId="18E50BAE">
      <w:pPr>
        <w:ind w:firstLine="560"/>
      </w:pPr>
      <w:r>
        <w:rPr>
          <w:rFonts w:hint="eastAsia"/>
        </w:rPr>
        <w:t>14、若我公司农民工工资发放工作发生举报并调查属实，建设方有权暂停进行拨款，直至问题解决。若因此产生任何法律后果，其责任全部由我公司承担，若因此对建设方的工程造成不利影响，建设方有权追究我公司的责任。</w:t>
      </w:r>
    </w:p>
    <w:p w14:paraId="2719AD97">
      <w:pPr>
        <w:ind w:firstLine="560"/>
      </w:pPr>
      <w:r>
        <w:rPr>
          <w:rFonts w:hint="eastAsia"/>
        </w:rPr>
        <w:t>15、若我公司发放农民工工资发生拖欠情形，建设方采用以下保障措施，我公司承诺对此无异议。</w:t>
      </w:r>
    </w:p>
    <w:p w14:paraId="48AD4E6F">
      <w:pPr>
        <w:ind w:firstLine="560"/>
      </w:pPr>
      <w:r>
        <w:rPr>
          <w:rFonts w:hint="eastAsia"/>
        </w:rPr>
        <w:t>1）动用当期支付工程款兑付拖欠的农民工工资</w:t>
      </w:r>
    </w:p>
    <w:p w14:paraId="15D37ECC">
      <w:pPr>
        <w:ind w:firstLine="560"/>
      </w:pPr>
      <w:r>
        <w:rPr>
          <w:rFonts w:hint="eastAsia"/>
        </w:rPr>
        <w:t>2）若当期工程支付款不足或没有计量，建设方将启动农民工工资保证金支付农民工工资</w:t>
      </w:r>
    </w:p>
    <w:p w14:paraId="3D3A05EA">
      <w:pPr>
        <w:ind w:firstLine="560"/>
      </w:pPr>
      <w:r>
        <w:rPr>
          <w:rFonts w:hint="eastAsia"/>
        </w:rPr>
        <w:t>16、若建设方启动农民工工资保证金支付农民工工资，我公司在10日内足额补存农民工工资保证金。若我公司未按时足额补存，建设方在下期拨付的工程款中扣除应补存的金额以补足保证金，我公司无异议。</w:t>
      </w:r>
    </w:p>
    <w:p w14:paraId="26BC7498">
      <w:pPr>
        <w:ind w:firstLine="560"/>
      </w:pPr>
      <w:r>
        <w:rPr>
          <w:rFonts w:hint="eastAsia"/>
        </w:rPr>
        <w:t>17、我公司不得因任何原因以拖欠农民工工资的手段唆使或促成农民工罢工或闹事等恶劣事件，否则建设方有权追究我公司的责任。</w:t>
      </w:r>
    </w:p>
    <w:p w14:paraId="05EDBAAF">
      <w:pPr>
        <w:ind w:firstLine="560"/>
      </w:pPr>
      <w:r>
        <w:rPr>
          <w:rFonts w:hint="eastAsia"/>
        </w:rPr>
        <w:t>18、我公司相关人员积极配合建设方落实保障农民工工资发放的各项工作，协调各方面关系，及时按建设方要求送交各项资料。</w:t>
      </w:r>
    </w:p>
    <w:p w14:paraId="534CD084">
      <w:pPr>
        <w:pStyle w:val="5"/>
        <w:spacing w:before="31" w:after="31"/>
        <w:ind w:firstLine="562"/>
      </w:pPr>
      <w:bookmarkStart w:id="9070" w:name="_Toc23586"/>
      <w:bookmarkStart w:id="9071" w:name="_Toc11226"/>
      <w:bookmarkStart w:id="9072" w:name="_Toc15561"/>
      <w:bookmarkStart w:id="9073" w:name="_Toc23643"/>
      <w:bookmarkStart w:id="9074" w:name="_Toc22437"/>
      <w:bookmarkStart w:id="9075" w:name="_Toc11317"/>
      <w:bookmarkStart w:id="9076" w:name="_Toc19378"/>
      <w:bookmarkStart w:id="9077" w:name="_Toc21614"/>
      <w:bookmarkStart w:id="9078" w:name="_Toc6727"/>
      <w:bookmarkStart w:id="9079" w:name="_Toc23243"/>
      <w:bookmarkStart w:id="9080" w:name="_Toc26886"/>
      <w:bookmarkStart w:id="9081" w:name="_Toc8319"/>
      <w:bookmarkStart w:id="9082" w:name="_Toc12165"/>
      <w:bookmarkStart w:id="9083" w:name="_Toc25997"/>
      <w:bookmarkStart w:id="9084" w:name="_Toc1952"/>
      <w:bookmarkStart w:id="9085" w:name="_Toc15339"/>
      <w:bookmarkStart w:id="9086" w:name="_Toc27805"/>
      <w:bookmarkStart w:id="9087" w:name="_Toc13104"/>
      <w:bookmarkStart w:id="9088" w:name="_Toc24433"/>
      <w:bookmarkStart w:id="9089" w:name="_Toc7283"/>
      <w:bookmarkStart w:id="9090" w:name="_Toc12551"/>
      <w:bookmarkStart w:id="9091" w:name="_Toc23501"/>
      <w:bookmarkStart w:id="9092" w:name="_Toc25284"/>
      <w:bookmarkStart w:id="9093" w:name="_Toc4063"/>
      <w:bookmarkStart w:id="9094" w:name="_Toc6635"/>
      <w:bookmarkStart w:id="9095" w:name="_Toc4483"/>
      <w:bookmarkStart w:id="9096" w:name="_Toc12250"/>
      <w:bookmarkStart w:id="9097" w:name="_Toc9440"/>
      <w:bookmarkStart w:id="9098" w:name="_Toc9466"/>
      <w:bookmarkStart w:id="9099" w:name="_Toc7400"/>
      <w:bookmarkStart w:id="9100" w:name="_Toc9849"/>
      <w:bookmarkStart w:id="9101" w:name="_Toc9340"/>
      <w:bookmarkStart w:id="9102" w:name="_Toc8396"/>
      <w:bookmarkStart w:id="9103" w:name="_Toc7170"/>
      <w:bookmarkStart w:id="9104" w:name="_Toc9221"/>
      <w:bookmarkStart w:id="9105" w:name="_Toc8956"/>
      <w:bookmarkStart w:id="9106" w:name="_Toc691"/>
      <w:bookmarkStart w:id="9107" w:name="_Toc6926"/>
      <w:bookmarkStart w:id="9108" w:name="_Toc25502"/>
      <w:bookmarkStart w:id="9109" w:name="_Toc14327"/>
      <w:bookmarkStart w:id="9110" w:name="_Toc25596"/>
      <w:bookmarkStart w:id="9111" w:name="_Toc17528"/>
      <w:bookmarkStart w:id="9112" w:name="_Toc27271"/>
      <w:bookmarkStart w:id="9113" w:name="_Toc32611"/>
      <w:bookmarkStart w:id="9114" w:name="_Toc7608"/>
      <w:bookmarkStart w:id="9115" w:name="_Toc20348"/>
      <w:bookmarkStart w:id="9116" w:name="_Toc17375"/>
      <w:bookmarkStart w:id="9117" w:name="_Toc12450"/>
      <w:bookmarkStart w:id="9118" w:name="_Toc4825"/>
      <w:bookmarkStart w:id="9119" w:name="_Toc5165"/>
      <w:bookmarkStart w:id="9120" w:name="_Toc15626"/>
      <w:bookmarkStart w:id="9121" w:name="_Toc23931"/>
      <w:r>
        <w:rPr>
          <w:rFonts w:hint="eastAsia"/>
        </w:rPr>
        <w:t>（二）</w:t>
      </w:r>
      <w:r>
        <w:t>农名工工资足额支付保证措施</w:t>
      </w:r>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p>
    <w:p w14:paraId="1A12A99A">
      <w:pPr>
        <w:ind w:firstLine="560"/>
      </w:pPr>
      <w:r>
        <w:rPr>
          <w:rFonts w:hint="eastAsia"/>
        </w:rPr>
        <w:t>（一）</w:t>
      </w:r>
      <w:r>
        <w:t>完善农民工实名制管理体系</w:t>
      </w:r>
    </w:p>
    <w:p w14:paraId="3B681D9A">
      <w:pPr>
        <w:ind w:firstLine="560"/>
      </w:pPr>
      <w:r>
        <w:rPr>
          <w:rFonts w:hint="eastAsia"/>
        </w:rPr>
        <w:t>1、</w:t>
      </w:r>
      <w:r>
        <w:t>建立农民工实名制管理</w:t>
      </w:r>
    </w:p>
    <w:p w14:paraId="369C6AFD">
      <w:pPr>
        <w:ind w:firstLine="560"/>
      </w:pPr>
      <w:r>
        <w:rPr>
          <w:rFonts w:hint="eastAsia"/>
        </w:rPr>
        <w:t>（1）</w:t>
      </w:r>
      <w:r>
        <w:t>农民工实名制登记</w:t>
      </w:r>
    </w:p>
    <w:p w14:paraId="3812A3E5">
      <w:pPr>
        <w:ind w:firstLine="560"/>
      </w:pPr>
      <w:r>
        <w:t>劳务公司要在工程开工前办理实名制管理登记手续，填报登记表，并提交</w:t>
      </w:r>
      <w:r>
        <w:rPr>
          <w:rFonts w:hint="eastAsia"/>
        </w:rPr>
        <w:t>实名卡</w:t>
      </w:r>
      <w:r>
        <w:t>办理的申请书，领取含有实名制申报软件，项目使用的加密锁，并带有二代身份证阅读器以及</w:t>
      </w:r>
      <w:r>
        <w:rPr>
          <w:rFonts w:hint="eastAsia"/>
        </w:rPr>
        <w:t>实名卡</w:t>
      </w:r>
      <w:r>
        <w:t>读卡器，用来读取农民工的基本信息，配备专用的</w:t>
      </w:r>
      <w:r>
        <w:rPr>
          <w:rFonts w:hint="eastAsia"/>
        </w:rPr>
        <w:t>实名卡</w:t>
      </w:r>
      <w:r>
        <w:t>刷卡机，用于农民工刷卡进出施工场地。</w:t>
      </w:r>
    </w:p>
    <w:p w14:paraId="1841CE10">
      <w:pPr>
        <w:ind w:firstLine="560"/>
      </w:pPr>
      <w:r>
        <w:rPr>
          <w:rFonts w:hint="eastAsia"/>
        </w:rPr>
        <w:t>（2）</w:t>
      </w:r>
      <w:r>
        <w:t>农民工实名信息申报</w:t>
      </w:r>
    </w:p>
    <w:p w14:paraId="0507F272">
      <w:pPr>
        <w:ind w:firstLine="560"/>
      </w:pPr>
      <w:r>
        <w:t>劳务公司要安排专门的实名制管理人员，负责实名制的申报工作，安装实名制申报的软件，将二代身份证阅读器以及</w:t>
      </w:r>
      <w:r>
        <w:rPr>
          <w:rFonts w:hint="eastAsia"/>
        </w:rPr>
        <w:t>实名卡</w:t>
      </w:r>
      <w:r>
        <w:t>读卡器连接好，开通网络，并将用于农民工刷卡进出施工场地的刷卡机与安装申报软件的电脑连接到一起。</w:t>
      </w:r>
    </w:p>
    <w:p w14:paraId="4F53CCC9">
      <w:pPr>
        <w:pStyle w:val="18"/>
      </w:pPr>
      <w:r>
        <w:rPr>
          <w:rFonts w:hint="eastAsia"/>
          <w:lang w:val="en-US" w:bidi="ar-SA"/>
        </w:rPr>
        <w:drawing>
          <wp:inline distT="0" distB="0" distL="114300" distR="114300">
            <wp:extent cx="4952365" cy="3506470"/>
            <wp:effectExtent l="0" t="0" r="635" b="0"/>
            <wp:docPr id="416" name="图片 5" descr="IMG_256">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5" descr="IMG_256"/>
                    <pic:cNvPicPr>
                      <a:picLocks noChangeAspect="1"/>
                    </pic:cNvPicPr>
                  </pic:nvPicPr>
                  <pic:blipFill>
                    <a:blip r:embed="rId73">
                      <a:grayscl/>
                    </a:blip>
                    <a:stretch>
                      <a:fillRect/>
                    </a:stretch>
                  </pic:blipFill>
                  <pic:spPr>
                    <a:xfrm>
                      <a:off x="0" y="0"/>
                      <a:ext cx="4952365" cy="3506470"/>
                    </a:xfrm>
                    <a:prstGeom prst="rect">
                      <a:avLst/>
                    </a:prstGeom>
                    <a:noFill/>
                    <a:ln w="9525">
                      <a:noFill/>
                    </a:ln>
                  </pic:spPr>
                </pic:pic>
              </a:graphicData>
            </a:graphic>
          </wp:inline>
        </w:drawing>
      </w:r>
    </w:p>
    <w:p w14:paraId="3B01C4C8">
      <w:pPr>
        <w:pStyle w:val="18"/>
        <w:rPr>
          <w:u w:val="double"/>
          <w:lang w:val="en-US"/>
        </w:rPr>
      </w:pPr>
      <w:r>
        <w:rPr>
          <w:rFonts w:hint="eastAsia"/>
          <w:u w:val="double"/>
          <w:lang w:val="en-US"/>
        </w:rPr>
        <w:t>农民工办理实名卡</w:t>
      </w:r>
    </w:p>
    <w:p w14:paraId="53A75875">
      <w:pPr>
        <w:ind w:firstLine="560"/>
      </w:pPr>
      <w:r>
        <w:t>进出施工场地的农民工信息等级完成后，要从安装申报软件的电脑传输到市民刷卡机进行刷卡登记。已经完成实名信息申报登记但是没有领取到个人</w:t>
      </w:r>
      <w:r>
        <w:rPr>
          <w:rFonts w:hint="eastAsia"/>
        </w:rPr>
        <w:t>实名卡</w:t>
      </w:r>
      <w:r>
        <w:t>的农民工，可以配置临时的</w:t>
      </w:r>
      <w:r>
        <w:rPr>
          <w:rFonts w:hint="eastAsia"/>
        </w:rPr>
        <w:t>实名卡</w:t>
      </w:r>
      <w:r>
        <w:t>方便进出施工场地。农民工进出施工场地的刷卡记录会通过网络自动上传。借助</w:t>
      </w:r>
      <w:r>
        <w:rPr>
          <w:rFonts w:hint="eastAsia"/>
        </w:rPr>
        <w:t>实名卡</w:t>
      </w:r>
      <w:r>
        <w:t>刷卡机具有的拍照功能，可以监督他人代刷卡的行为。</w:t>
      </w:r>
    </w:p>
    <w:p w14:paraId="36FEA11D">
      <w:pPr>
        <w:ind w:firstLine="560"/>
      </w:pPr>
      <w:r>
        <w:t>农民工办理</w:t>
      </w:r>
      <w:r>
        <w:rPr>
          <w:rFonts w:hint="eastAsia"/>
        </w:rPr>
        <w:t>实名卡</w:t>
      </w:r>
      <w:r>
        <w:t>可以享受工伤以及重大疾病的医疗保险待遇，为工资的发放、职业技能培训的参加等提供依据。</w:t>
      </w:r>
    </w:p>
    <w:p w14:paraId="791048AF">
      <w:pPr>
        <w:ind w:firstLine="560"/>
      </w:pPr>
      <w:r>
        <w:rPr>
          <w:rFonts w:hint="eastAsia"/>
        </w:rPr>
        <w:t>（3）</w:t>
      </w:r>
      <w:r>
        <w:t>积极推行“建设平安卡”管理制度，提高劳务用工管理水平。工程施工期间，施工总承包企业和劳务分包企业应充分利用“建设平安卡”管理系统对一线作业人员进行实名制管理。鼓励并培训农民工通过安全生产教育考核，争取“建设平安卡”持有人达到100%。</w:t>
      </w:r>
    </w:p>
    <w:p w14:paraId="19509CB2">
      <w:pPr>
        <w:ind w:firstLine="560"/>
      </w:pPr>
      <w:r>
        <w:rPr>
          <w:rFonts w:hint="eastAsia"/>
        </w:rPr>
        <w:t>2、</w:t>
      </w:r>
      <w:r>
        <w:t>农民工实名制管理方式</w:t>
      </w:r>
    </w:p>
    <w:p w14:paraId="0C00FC3D">
      <w:pPr>
        <w:ind w:firstLine="560"/>
      </w:pPr>
      <w:r>
        <w:rPr>
          <w:rFonts w:hint="eastAsia"/>
        </w:rPr>
        <w:t>（1）</w:t>
      </w:r>
      <w:r>
        <w:t>制度的建立与人员的配备</w:t>
      </w:r>
    </w:p>
    <w:p w14:paraId="30AAED0B">
      <w:pPr>
        <w:ind w:firstLine="560"/>
      </w:pPr>
      <w:r>
        <w:t>签订劳务分包合同之前，劳务公司要按照实名制开展的相关要求，提前制定出计划，建立起一系列的相关管理制度，并对其进行完善，例如制定门禁管理制度，成立办公室，安排专职人员负责实名制工作等。在与劳务公司签订分包合同时，要将实名制的各项要求计算在内，包括信息收集、交付实名制卡的押金、实名制卡的制作和领取等，使劳务分包单位可以配合实名制工作的进行。</w:t>
      </w:r>
    </w:p>
    <w:p w14:paraId="0A607AA1">
      <w:pPr>
        <w:ind w:firstLine="560"/>
      </w:pPr>
      <w:r>
        <w:rPr>
          <w:rFonts w:hint="eastAsia"/>
        </w:rPr>
        <w:t>（2）</w:t>
      </w:r>
      <w:r>
        <w:t>农民工实名制卡操作流程</w:t>
      </w:r>
    </w:p>
    <w:p w14:paraId="5D371260">
      <w:pPr>
        <w:ind w:firstLine="560"/>
      </w:pPr>
      <w:r>
        <w:t>农民工的实名信息登记可以利用门禁系统落实到每个工人。门禁设备的工作流程是：劳务公司要在施工人员进场时集中每一个施工队中工人的二代身份证，通过识别系统录入人员的基本信息，包括有姓名、性别、年龄、身份证号码等，并通过身份证识别系统检查施工人员的身份真伪以及是否有不良记录，并做出相应的措施。然后项目部的负责人要将施工人员的相关信息录入电脑，包括在本市居住地的地址、联系电话、用工主体、工种、进场时间等各项内容，并且要将这些信息输入到</w:t>
      </w:r>
      <w:r>
        <w:rPr>
          <w:rFonts w:hint="eastAsia"/>
        </w:rPr>
        <w:t>实名卡</w:t>
      </w:r>
      <w:r>
        <w:t>中，对信息进行整理。在门禁软件中添加相应的班组，借助门禁件对不同班组中工人的信息进行编号，录入相对应的姓名，并给工人开通相应的权限，导出工人信息名单。</w:t>
      </w:r>
    </w:p>
    <w:p w14:paraId="17C6A613">
      <w:pPr>
        <w:ind w:firstLine="560"/>
      </w:pPr>
      <w:r>
        <w:rPr>
          <w:rFonts w:hint="eastAsia"/>
        </w:rPr>
        <w:t>（二）</w:t>
      </w:r>
      <w:r>
        <w:t>农民工工资支付长效机制构建</w:t>
      </w:r>
    </w:p>
    <w:p w14:paraId="710356B3">
      <w:pPr>
        <w:ind w:firstLine="560"/>
      </w:pPr>
      <w:r>
        <w:rPr>
          <w:rFonts w:hint="eastAsia"/>
        </w:rPr>
        <w:t>1、</w:t>
      </w:r>
      <w:r>
        <w:t>确定长效保护机制</w:t>
      </w:r>
    </w:p>
    <w:p w14:paraId="3AE8101C">
      <w:pPr>
        <w:ind w:firstLine="560"/>
      </w:pPr>
      <w:r>
        <w:t>目前，国内已初步制定了农民工工资支付相关制度，但是距离建立工资支付长效保护机制还差很多。应该加以明确：第一，工资支付范围。工资范围应该涵盖奖金、补贴、计件工资以及计时工资等应支付的工资。第二，工资支付方式。当前法律明确规定，必须要以货币形式的方式支付工资，严禁以实物替代。第三，工资支付时间。要在约定时间内支付，假如逾期不支付，则可以向劳动部门举报。第四，禁止抵消。企业不得以通过扣除工资等方式行使自己的请求权。</w:t>
      </w:r>
    </w:p>
    <w:p w14:paraId="544BCCD1">
      <w:pPr>
        <w:ind w:firstLine="560"/>
      </w:pPr>
      <w:r>
        <w:rPr>
          <w:rFonts w:hint="eastAsia"/>
        </w:rPr>
        <w:t>2、</w:t>
      </w:r>
      <w:r>
        <w:t>落实农民工工资支付保障措施</w:t>
      </w:r>
    </w:p>
    <w:p w14:paraId="6309C557">
      <w:pPr>
        <w:ind w:firstLine="560"/>
      </w:pPr>
      <w:r>
        <w:rPr>
          <w:rFonts w:hint="eastAsia"/>
        </w:rPr>
        <w:t>（1）</w:t>
      </w:r>
      <w:r>
        <w:t>构建农民工用工工资档案制度</w:t>
      </w:r>
    </w:p>
    <w:p w14:paraId="059C47FC">
      <w:pPr>
        <w:ind w:firstLine="560"/>
      </w:pPr>
      <w:r>
        <w:t>根据相关规定要求，在项目施工现场劳务公司需要设置“农民工维权告示牌”，并详细讲解劳动保障权益的主要内容，还要加大宣传力度。在聘用农民工过程中，对劳动用工制度必须严格遵守，并规范单位合同制度，与农民工签订劳动合同时，需要写明劳动工作内容、劳动工资标准、劳动合同期限、工伤处理方式等条款，并且明确双方义务和责任。构建农民工的工资档案，其中涵盖工资支付表、农民工花名册等详细信息，及时准确无误地存档，并要保存两年以上，方便后期查询。</w:t>
      </w:r>
    </w:p>
    <w:p w14:paraId="7D36F3F5">
      <w:pPr>
        <w:ind w:firstLine="560"/>
      </w:pPr>
      <w:r>
        <w:rPr>
          <w:rFonts w:hint="eastAsia"/>
        </w:rPr>
        <w:t>（2）</w:t>
      </w:r>
      <w:r>
        <w:t>实行农民工工资支付保证金制度</w:t>
      </w:r>
    </w:p>
    <w:p w14:paraId="0D94D280">
      <w:pPr>
        <w:ind w:firstLine="560"/>
      </w:pPr>
      <w:r>
        <w:t>签订工程承包合同过程中，要求一次性缴纳保证金，依据国家规定，保证金比例应为3%中标价。假如乙方存在拖欠农民工工资或其他方面付费用的情况，甲方有权利用保证金支付农民工工资以及其它方面应付费用。</w:t>
      </w:r>
    </w:p>
    <w:p w14:paraId="3B0B0C15">
      <w:pPr>
        <w:ind w:firstLine="560"/>
      </w:pPr>
      <w:r>
        <w:rPr>
          <w:rFonts w:hint="eastAsia"/>
        </w:rPr>
        <w:t>（3）</w:t>
      </w:r>
      <w:r>
        <w:t>设置工资预留账户</w:t>
      </w:r>
    </w:p>
    <w:p w14:paraId="168112CF">
      <w:pPr>
        <w:ind w:firstLine="560"/>
      </w:pPr>
      <w:r>
        <w:t>劳务公司需要结合具体的施工产值情况，科学设置预留金。划入预留金时要确保流入农民工工资预留账户。假如施工过程中存在诸多的问题导致资金困难时，可以通过申请，在总经理批准后，应用农民工工资预留账户的资金，防止农民工工资发生拖欠的情况。从某种意义上来说，构建预留账户，能动态地确保农民工工资的顺利发放。</w:t>
      </w:r>
    </w:p>
    <w:p w14:paraId="6619E46C">
      <w:pPr>
        <w:ind w:firstLine="560"/>
      </w:pPr>
      <w:r>
        <w:rPr>
          <w:rFonts w:hint="eastAsia"/>
        </w:rPr>
        <w:t>（4）</w:t>
      </w:r>
      <w:r>
        <w:t>建立农民工工资发放和记录制度</w:t>
      </w:r>
    </w:p>
    <w:p w14:paraId="0309DAB9">
      <w:pPr>
        <w:ind w:firstLine="560"/>
      </w:pPr>
      <w:r>
        <w:t>根据《劳动法》中的规定，对劳动者的工资需要以货币的形式发放，对于农民工工期不满一个月，需要按周支付，以确保支付农民工工资。工资应当直接发给劳动者本人，不得以其他形式把款项转给其他组织或个人。项目部必须根据劳动合同上签订的支付日期将工资发放给农民工，按月结算的工资不得低于当地的最低工资标准。发放工资过程中，要求以书面的形式，对支付给农民工工资的数额、领取日期以及签字进行记录，并进行现场拍照保存；日后一旦发生劳务纠纷，可以有依据进行协调处理。劳务公司还应该安排专人参加项目部工资的发放情况，在农民工工资发放完成后，其劳务进度款剩余的数额才能计提利润或作为其它方面的结余；还必须加强劳务公司的财务管理，不得以任何借口扣留该项资金。</w:t>
      </w:r>
    </w:p>
    <w:p w14:paraId="72C524A1">
      <w:pPr>
        <w:ind w:firstLine="560"/>
      </w:pPr>
      <w:r>
        <w:rPr>
          <w:rFonts w:hint="eastAsia"/>
        </w:rPr>
        <w:t>3、</w:t>
      </w:r>
      <w:r>
        <w:t>完善监管制度，保障农民工权益</w:t>
      </w:r>
    </w:p>
    <w:p w14:paraId="0EBA4C7F">
      <w:pPr>
        <w:ind w:firstLine="560"/>
      </w:pPr>
      <w:r>
        <w:rPr>
          <w:rFonts w:hint="eastAsia"/>
        </w:rPr>
        <w:t>（1）</w:t>
      </w:r>
      <w:r>
        <w:t>加强财务管理监测</w:t>
      </w:r>
    </w:p>
    <w:p w14:paraId="7732170C">
      <w:pPr>
        <w:ind w:firstLine="560"/>
      </w:pPr>
      <w:r>
        <w:t>劳务公司要完善监测网络，安排好监测人员，对拖欠农民工工资的相关信息进行收集，做到早发现、早报告、早处理。为了农民工每个月的工资可以结清，在拨付当月工程进度款时要将上月项目部农民工工资支付清单作为条件。如果上月工资没有按照约定支付清，可以在相关部门的监督下，将当月工程进度款支付给农民工。</w:t>
      </w:r>
    </w:p>
    <w:p w14:paraId="535737C7">
      <w:pPr>
        <w:ind w:firstLine="560"/>
      </w:pPr>
      <w:r>
        <w:rPr>
          <w:rFonts w:hint="eastAsia"/>
        </w:rPr>
        <w:t>（2）</w:t>
      </w:r>
      <w:r>
        <w:t>加快组建农民工工会</w:t>
      </w:r>
    </w:p>
    <w:p w14:paraId="49D5D93A">
      <w:pPr>
        <w:ind w:firstLine="560"/>
      </w:pPr>
      <w:r>
        <w:t>农民工作为中国产业工人中重要的一部分，社会应当给予重视，积极解决农民工工资拖欠问题，各级工会应该组织建设农民工工会，充分发挥协调劳动关系的作用，提高建筑行业、餐饮行业等劳动密集型企业的职工维权力度，并探索出有效的解决方法，以保障农民工的合法权益。</w:t>
      </w:r>
    </w:p>
    <w:p w14:paraId="3E830520">
      <w:pPr>
        <w:ind w:firstLine="560"/>
      </w:pPr>
      <w:r>
        <w:rPr>
          <w:rFonts w:hint="eastAsia"/>
        </w:rPr>
        <w:t>（3）</w:t>
      </w:r>
      <w:r>
        <w:t>设立农民工调查小组</w:t>
      </w:r>
    </w:p>
    <w:p w14:paraId="66B44FEC">
      <w:pPr>
        <w:ind w:firstLine="560"/>
      </w:pPr>
      <w:r>
        <w:t>相关部门要采取相应的措施，确保农民工的工资可以按时发放，让农民工劳有所得的同时促进建筑企业的发展。为了农民工工资得到保障，可以设立农民工调查小组，专门解决农民工工资拖欠等现象，一经发现，查清事实真相，并给予严厉的处罚，承担清偿欠薪的责任，以杜绝拖欠农民工工资。</w:t>
      </w:r>
    </w:p>
    <w:p w14:paraId="64BEABD6">
      <w:pPr>
        <w:ind w:firstLine="560"/>
      </w:pPr>
      <w:r>
        <w:rPr>
          <w:rFonts w:hint="eastAsia"/>
        </w:rPr>
        <w:t>4、</w:t>
      </w:r>
      <w:r>
        <w:t>实施办法</w:t>
      </w:r>
    </w:p>
    <w:p w14:paraId="23B61008">
      <w:pPr>
        <w:ind w:firstLine="560"/>
      </w:pPr>
      <w:r>
        <w:rPr>
          <w:rFonts w:hint="eastAsia"/>
        </w:rPr>
        <w:t>（1）</w:t>
      </w:r>
      <w:r>
        <w:t>建立工资支付监控制度，全面监控和重点监控相结合，列为重点监控对象的，要定期向劳动保障部门报送工资支付情况。</w:t>
      </w:r>
    </w:p>
    <w:p w14:paraId="1C1FC08B">
      <w:pPr>
        <w:ind w:firstLine="560"/>
      </w:pPr>
      <w:r>
        <w:rPr>
          <w:rFonts w:hint="eastAsia"/>
        </w:rPr>
        <w:t>（2）</w:t>
      </w:r>
      <w:r>
        <w:t>推行工资保证金制度，分包单位缴纳一定数额的工资保证金，；以保证农民工工资不因单位资金状况而被拖欠。</w:t>
      </w:r>
    </w:p>
    <w:p w14:paraId="7B90C36E">
      <w:pPr>
        <w:ind w:firstLine="560"/>
      </w:pPr>
      <w:r>
        <w:rPr>
          <w:rFonts w:hint="eastAsia"/>
        </w:rPr>
        <w:t>（3）</w:t>
      </w:r>
      <w:r>
        <w:t>推行分包单位劳动保障诚信制度，建立健全分包单位用工和工资支付行为信息网络，完善监控手段。</w:t>
      </w:r>
    </w:p>
    <w:p w14:paraId="39C2B23F">
      <w:pPr>
        <w:ind w:firstLine="560"/>
      </w:pPr>
      <w:r>
        <w:rPr>
          <w:rFonts w:hint="eastAsia"/>
        </w:rPr>
        <w:t>（4）</w:t>
      </w:r>
      <w:r>
        <w:t>推行施工现场门禁系统，民工上下班刷卡制度，动态监管各民工个体工时情况，以保证民工工资核算真实性、准确性。</w:t>
      </w:r>
    </w:p>
    <w:p w14:paraId="123978B7">
      <w:pPr>
        <w:ind w:firstLine="560"/>
      </w:pPr>
      <w:r>
        <w:rPr>
          <w:rFonts w:hint="eastAsia"/>
        </w:rPr>
        <w:t>（5）</w:t>
      </w:r>
      <w:r>
        <w:t>全面推进劳动合同制度实施行动计划，用人单位招用农民工都必须依法订立书面劳动合同，建立权利义务明确、规范的劳动关系。</w:t>
      </w:r>
    </w:p>
    <w:p w14:paraId="3EB00738">
      <w:pPr>
        <w:ind w:firstLine="560"/>
      </w:pPr>
      <w:r>
        <w:rPr>
          <w:rFonts w:hint="eastAsia"/>
        </w:rPr>
        <w:t>5、</w:t>
      </w:r>
      <w:r>
        <w:t>保证措施</w:t>
      </w:r>
    </w:p>
    <w:p w14:paraId="2C69516F">
      <w:pPr>
        <w:ind w:firstLine="560"/>
      </w:pPr>
      <w:r>
        <w:rPr>
          <w:rFonts w:hint="eastAsia"/>
        </w:rPr>
        <w:t>（1）</w:t>
      </w:r>
      <w:r>
        <w:t>项目部成立农民工工资发放领导小组，负责本项目农民工工资管理的监督、宣传、协调和查处工作。领导小组下设办公室，配备相应的专项监管人员，负责项目农民工工资管理的日常工作。</w:t>
      </w:r>
    </w:p>
    <w:p w14:paraId="6E51308B">
      <w:pPr>
        <w:ind w:firstLine="560"/>
      </w:pPr>
      <w:r>
        <w:rPr>
          <w:rFonts w:hint="eastAsia"/>
        </w:rPr>
        <w:t>（2）</w:t>
      </w:r>
      <w:r>
        <w:t>各项目部的工程部经理担任该领导小组组长，工程部经理为第一责任人。由内业资料员负责收集、整理农民工工资管理合同、管理制度、工资发放资料。</w:t>
      </w:r>
    </w:p>
    <w:p w14:paraId="23067320">
      <w:pPr>
        <w:ind w:firstLine="560"/>
      </w:pPr>
      <w:r>
        <w:rPr>
          <w:rFonts w:hint="eastAsia"/>
        </w:rPr>
        <w:t>（3）</w:t>
      </w:r>
      <w:r>
        <w:t>民工进场后，项目部安排相关人员做好安全教育工作，同时做好民工相关信息登记，建立录用的农民工用工花名册；并提取身份证复印件及照片、办理进出场门禁卡，以便用于民工上下班打卡。</w:t>
      </w:r>
    </w:p>
    <w:p w14:paraId="754ACEA9">
      <w:pPr>
        <w:ind w:firstLine="560"/>
      </w:pPr>
      <w:r>
        <w:rPr>
          <w:rFonts w:hint="eastAsia"/>
        </w:rPr>
        <w:t>（4）</w:t>
      </w:r>
      <w:r>
        <w:t>项目部应建立民工考勤制度，用于编制民工工资支付清单，如实记录民工姓名、身份证号码、用工天数、支付单位、支付时间、支付对象、支付数额等情况。</w:t>
      </w:r>
    </w:p>
    <w:p w14:paraId="1A1D4C0D">
      <w:pPr>
        <w:ind w:firstLine="560"/>
      </w:pPr>
      <w:r>
        <w:rPr>
          <w:rFonts w:hint="eastAsia"/>
        </w:rPr>
        <w:t>（5）</w:t>
      </w:r>
      <w:r>
        <w:t>根据合同各分包单位根据实际已完工程量提交已完成节点工程进度款申请报告，项目部及时针对各分包单位已完工程量、考勤信息及分包合同支付比例审核各分包单位工程进度款，并最终确定支付金额。</w:t>
      </w:r>
    </w:p>
    <w:p w14:paraId="452B7E14">
      <w:pPr>
        <w:ind w:firstLine="560"/>
      </w:pPr>
      <w:r>
        <w:rPr>
          <w:rFonts w:hint="eastAsia"/>
        </w:rPr>
        <w:t>（6）</w:t>
      </w:r>
      <w:r>
        <w:t>各分包单位根据项目部各节点支付金额及民工出勤情况，编制民工工资支付清单，并上交项目部农民工工资发放领导小组审核。</w:t>
      </w:r>
    </w:p>
    <w:p w14:paraId="781677A5">
      <w:pPr>
        <w:ind w:firstLine="560"/>
      </w:pPr>
      <w:r>
        <w:rPr>
          <w:rFonts w:hint="eastAsia"/>
        </w:rPr>
        <w:t>（7）</w:t>
      </w:r>
      <w:r>
        <w:t>公司财务将工程款发放至各分包单位，各分包单位和农民工工资发放领导小组相结合根据民工工资支付清单及时支付各节点民工工资，且应将民工工资直接发放给民工本人，严禁发放给班组长或其他不具备主体资格的组织或个人。</w:t>
      </w:r>
    </w:p>
    <w:p w14:paraId="190BDDA3">
      <w:pPr>
        <w:ind w:firstLine="560"/>
      </w:pPr>
      <w:r>
        <w:rPr>
          <w:rFonts w:hint="eastAsia"/>
        </w:rPr>
        <w:t>（8）</w:t>
      </w:r>
      <w:r>
        <w:t>各项目部应定期自检，公司采用不定期抽查。一旦发现拖欠苗头，要及时采取措施加以解决，避免事态扩大。对于出现拖欠、克扣及农民工工资发放数额不实等情况的项目，由公司研究限期整改和通报批评，同时针对实际情况对项目部处一定罚款。</w:t>
      </w:r>
    </w:p>
    <w:p w14:paraId="63AC7437">
      <w:pPr>
        <w:ind w:firstLine="560"/>
      </w:pPr>
      <w:r>
        <w:rPr>
          <w:rFonts w:hint="eastAsia"/>
        </w:rPr>
        <w:t>（9）</w:t>
      </w:r>
      <w:r>
        <w:t>工程结束或民工退场，各分包单位在3日内完成民工工资结算工作，确定支付时间、支付方式，并上报项目部农民工工资发放领导小组。对已完工程，项目部在规定时间内完成该项工程结算工作，项目部根据劳务分包合同支付比例，支付时间；确定支付金额，且应先保证该工程民工工资足额发放。</w:t>
      </w:r>
    </w:p>
    <w:p w14:paraId="2AA97F5E">
      <w:pPr>
        <w:ind w:firstLine="560"/>
      </w:pPr>
      <w:r>
        <w:rPr>
          <w:rFonts w:hint="eastAsia"/>
        </w:rPr>
        <w:t>（10）</w:t>
      </w:r>
      <w:r>
        <w:t>各项目部农民工工资发放领导小组同时负责处理拖欠民工工资投诉工作，制定应急预案，及时处理突发事件，让事态从源头上进行遏制。</w:t>
      </w:r>
    </w:p>
    <w:p w14:paraId="482B61A0">
      <w:pPr>
        <w:ind w:firstLine="560"/>
      </w:pPr>
      <w:r>
        <w:rPr>
          <w:rFonts w:hint="eastAsia"/>
        </w:rPr>
        <w:t>（三）</w:t>
      </w:r>
      <w:r>
        <w:t>施工现场必须设置《民工工资维权告知牌》</w:t>
      </w:r>
    </w:p>
    <w:p w14:paraId="444BDFF1">
      <w:pPr>
        <w:ind w:firstLine="560"/>
      </w:pPr>
      <w:r>
        <w:t>项目部必须于开工前将《民工工资维权告知牌》设置在“五牌一图”处，如有损坏应及时更换。</w:t>
      </w:r>
    </w:p>
    <w:p w14:paraId="2E1CEB2D">
      <w:pPr>
        <w:pStyle w:val="18"/>
      </w:pPr>
      <w:r>
        <w:rPr>
          <w:rFonts w:hint="eastAsia"/>
          <w:lang w:val="en-US" w:bidi="ar-SA"/>
        </w:rPr>
        <w:drawing>
          <wp:inline distT="0" distB="0" distL="114300" distR="114300">
            <wp:extent cx="5101590" cy="2788920"/>
            <wp:effectExtent l="0" t="0" r="3810" b="0"/>
            <wp:docPr id="417" name="图片 6" descr="IMG_256">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6" descr="IMG_256"/>
                    <pic:cNvPicPr>
                      <a:picLocks noChangeAspect="1"/>
                    </pic:cNvPicPr>
                  </pic:nvPicPr>
                  <pic:blipFill>
                    <a:blip r:embed="rId75">
                      <a:grayscl/>
                    </a:blip>
                    <a:srcRect r="-240" b="4250"/>
                    <a:stretch>
                      <a:fillRect/>
                    </a:stretch>
                  </pic:blipFill>
                  <pic:spPr>
                    <a:xfrm>
                      <a:off x="0" y="0"/>
                      <a:ext cx="5101590" cy="2788920"/>
                    </a:xfrm>
                    <a:prstGeom prst="rect">
                      <a:avLst/>
                    </a:prstGeom>
                    <a:noFill/>
                    <a:ln w="9525">
                      <a:noFill/>
                    </a:ln>
                  </pic:spPr>
                </pic:pic>
              </a:graphicData>
            </a:graphic>
          </wp:inline>
        </w:drawing>
      </w:r>
    </w:p>
    <w:p w14:paraId="4BCE9881">
      <w:pPr>
        <w:pStyle w:val="18"/>
        <w:rPr>
          <w:u w:val="double"/>
          <w:lang w:val="en-US"/>
        </w:rPr>
      </w:pPr>
      <w:r>
        <w:rPr>
          <w:rFonts w:hint="eastAsia"/>
          <w:u w:val="double"/>
          <w:lang w:val="en-US"/>
        </w:rPr>
        <w:t>农民工维权告示牌</w:t>
      </w:r>
    </w:p>
    <w:p w14:paraId="11EFF992">
      <w:pPr>
        <w:ind w:firstLine="560"/>
      </w:pPr>
      <w:r>
        <w:rPr>
          <w:rFonts w:hint="eastAsia"/>
        </w:rPr>
        <w:t>（四）</w:t>
      </w:r>
      <w:r>
        <w:t>拖欠民工工资投诉的处理</w:t>
      </w:r>
    </w:p>
    <w:p w14:paraId="7E59E1C0">
      <w:pPr>
        <w:ind w:firstLine="560"/>
      </w:pPr>
      <w:r>
        <w:t>1、项目部应高度重视拖欠民工工资投诉，对有拖欠民工工资的工程项目，必须采取措施，及时给予解决，避免民工到有关部门投诉。</w:t>
      </w:r>
    </w:p>
    <w:p w14:paraId="2080EF60">
      <w:pPr>
        <w:ind w:firstLine="560"/>
      </w:pPr>
      <w:r>
        <w:t>2、各分包单位未按合同约定与建设工程各班组结清工程款，致使建设工程承包企业拖欠民工工资的，由工程施工单位业先行垫付民工被拖欠的民工工资，先行垫付的工资数额以未结清的工程款为限。</w:t>
      </w:r>
    </w:p>
    <w:p w14:paraId="209B1553">
      <w:pPr>
        <w:ind w:firstLine="560"/>
      </w:pPr>
      <w:r>
        <w:t>3、各分包单位负责人把民工工资发放给班组长等不具备主体资格的组织或个人，导致拖欠民工工资的，由各分包单位负责人解决所拖欠的民工工资。</w:t>
      </w:r>
    </w:p>
    <w:p w14:paraId="7AEB070C">
      <w:pPr>
        <w:ind w:firstLine="560"/>
      </w:pPr>
      <w:r>
        <w:t>4、若有民工投诉拖欠工资问题，项目部农民工工资发放领导小组接到相关部门通知后，应立即派农民工工资发放领导小组人员及各分包单位负责人到指定地点处理处理拖欠民工工资。已结清工账的，当场确定清欠期限、清欠方式等；未结清工账的，当场确定结清工账的期限、清欠期限、清欠方式等。</w:t>
      </w:r>
    </w:p>
    <w:p w14:paraId="50056F68">
      <w:pPr>
        <w:pStyle w:val="5"/>
        <w:spacing w:before="31" w:after="31"/>
        <w:ind w:firstLine="562"/>
      </w:pPr>
      <w:bookmarkStart w:id="9122" w:name="_Toc10096"/>
      <w:bookmarkStart w:id="9123" w:name="_Toc12524"/>
      <w:bookmarkStart w:id="9124" w:name="_Toc21728"/>
      <w:bookmarkStart w:id="9125" w:name="_Toc30617"/>
      <w:bookmarkStart w:id="9126" w:name="_Toc15816"/>
      <w:bookmarkStart w:id="9127" w:name="_Toc13230"/>
      <w:bookmarkStart w:id="9128" w:name="_Toc13032"/>
      <w:bookmarkStart w:id="9129" w:name="_Toc16513"/>
      <w:bookmarkStart w:id="9130" w:name="_Toc22782"/>
      <w:bookmarkStart w:id="9131" w:name="_Toc8285"/>
      <w:bookmarkStart w:id="9132" w:name="_Toc23651"/>
      <w:bookmarkStart w:id="9133" w:name="_Toc16259"/>
      <w:bookmarkStart w:id="9134" w:name="_Toc30231"/>
      <w:bookmarkStart w:id="9135" w:name="_Toc10413"/>
      <w:bookmarkStart w:id="9136" w:name="_Toc9885"/>
      <w:bookmarkStart w:id="9137" w:name="_Toc27901"/>
      <w:bookmarkStart w:id="9138" w:name="_Toc7369"/>
      <w:bookmarkStart w:id="9139" w:name="_Toc14845"/>
      <w:bookmarkStart w:id="9140" w:name="_Toc28237"/>
      <w:bookmarkStart w:id="9141" w:name="_Toc5408"/>
      <w:bookmarkStart w:id="9142" w:name="_Toc5866"/>
      <w:bookmarkStart w:id="9143" w:name="_Toc32649"/>
      <w:bookmarkStart w:id="9144" w:name="_Toc16254"/>
      <w:bookmarkStart w:id="9145" w:name="_Toc20958"/>
      <w:bookmarkStart w:id="9146" w:name="_Toc30892"/>
      <w:bookmarkStart w:id="9147" w:name="_Toc27407"/>
      <w:bookmarkStart w:id="9148" w:name="_Toc17100"/>
      <w:bookmarkStart w:id="9149" w:name="_Toc11585"/>
      <w:bookmarkStart w:id="9150" w:name="_Toc32505"/>
      <w:bookmarkStart w:id="9151" w:name="_Toc3889"/>
      <w:bookmarkStart w:id="9152" w:name="_Toc26641"/>
      <w:bookmarkStart w:id="9153" w:name="_Toc14520"/>
      <w:bookmarkStart w:id="9154" w:name="_Toc31095"/>
      <w:bookmarkStart w:id="9155" w:name="_Toc4435"/>
      <w:bookmarkStart w:id="9156" w:name="_Toc15931"/>
      <w:bookmarkStart w:id="9157" w:name="_Toc25086"/>
      <w:bookmarkStart w:id="9158" w:name="_Toc5939"/>
      <w:bookmarkStart w:id="9159" w:name="_Toc17360"/>
      <w:bookmarkStart w:id="9160" w:name="_Toc1626"/>
      <w:bookmarkStart w:id="9161" w:name="_Toc8784"/>
      <w:bookmarkStart w:id="9162" w:name="_Toc15293"/>
      <w:bookmarkStart w:id="9163" w:name="_Toc26104"/>
      <w:bookmarkStart w:id="9164" w:name="_Toc4866"/>
      <w:bookmarkStart w:id="9165" w:name="_Toc28514"/>
      <w:bookmarkStart w:id="9166" w:name="_Toc4626"/>
      <w:bookmarkStart w:id="9167" w:name="_Toc13294"/>
      <w:bookmarkStart w:id="9168" w:name="_Toc22185"/>
      <w:bookmarkStart w:id="9169" w:name="_Toc15833"/>
      <w:bookmarkStart w:id="9170" w:name="_Toc20612"/>
      <w:bookmarkStart w:id="9171" w:name="_Toc3278"/>
      <w:bookmarkStart w:id="9172" w:name="_Toc23381"/>
      <w:bookmarkStart w:id="9173" w:name="_Toc5342"/>
      <w:bookmarkStart w:id="9174" w:name="_Toc6230"/>
      <w:bookmarkStart w:id="9175" w:name="_Toc3016"/>
      <w:r>
        <w:rPr>
          <w:rFonts w:hint="eastAsia"/>
        </w:rPr>
        <w:t>（三）农民工工资拖欠预案及措施</w:t>
      </w:r>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p>
    <w:p w14:paraId="2EABB2A5">
      <w:pPr>
        <w:ind w:firstLine="560"/>
      </w:pPr>
      <w:r>
        <w:rPr>
          <w:rFonts w:hint="eastAsia"/>
        </w:rPr>
        <w:t>1</w:t>
      </w:r>
      <w:r>
        <w:t>、关于农民工工资拖欠公司相关制度</w:t>
      </w:r>
    </w:p>
    <w:p w14:paraId="6378D1D1">
      <w:pPr>
        <w:ind w:firstLine="560"/>
      </w:pPr>
      <w:r>
        <w:t>(1)建立农民工工资保证金制度。各单位可根据上述文件精神，对劳务分包单位收取劳务工资备用基金，专门用于支付拖欠的农民工工资。</w:t>
      </w:r>
    </w:p>
    <w:p w14:paraId="7F64CA75">
      <w:pPr>
        <w:ind w:firstLine="560"/>
      </w:pPr>
      <w:r>
        <w:t>(2)工程项目部应设立项目工程级“农民工工资预留款”，用以被拖欠工资的发放。公司应设立公司级“农民工工资预留款”，用以在项目工程部无力解决农民工工资拖欠时拖欠工资的发放。</w:t>
      </w:r>
    </w:p>
    <w:p w14:paraId="1DB377BC">
      <w:pPr>
        <w:ind w:firstLine="560"/>
      </w:pPr>
      <w:r>
        <w:t>(3)项目部在暂时无法支付农民工工资时，应立即向各单位领导汇报，各单位领导根据情况及时做出资金安排。</w:t>
      </w:r>
    </w:p>
    <w:p w14:paraId="47EB149D">
      <w:pPr>
        <w:ind w:firstLine="560"/>
      </w:pPr>
      <w:r>
        <w:rPr>
          <w:rFonts w:hint="eastAsia"/>
        </w:rPr>
        <w:t>2</w:t>
      </w:r>
      <w:r>
        <w:t>、工作程序</w:t>
      </w:r>
    </w:p>
    <w:p w14:paraId="5B7BA6A3">
      <w:pPr>
        <w:ind w:firstLine="560"/>
      </w:pPr>
      <w:r>
        <w:t>(1)当事件发生时，第一时间直接上报总公司综合办公室。</w:t>
      </w:r>
    </w:p>
    <w:p w14:paraId="243EFA3F">
      <w:pPr>
        <w:ind w:firstLine="560"/>
      </w:pPr>
      <w:r>
        <w:t>(2)各施工现场项目经理和总工程师联合签署调用项目工程级“农民工工资预留款”，用以被拖欠工资的发放。</w:t>
      </w:r>
    </w:p>
    <w:p w14:paraId="163C2C4B">
      <w:pPr>
        <w:ind w:firstLine="560"/>
      </w:pPr>
      <w:r>
        <w:t>(3)在工程项目部无力独立解决时，各分公司和财务主任联合签署调用公司级“农民工工资预留款”，用以被拖欠工贤的发放。</w:t>
      </w:r>
    </w:p>
    <w:p w14:paraId="124F1C46">
      <w:pPr>
        <w:ind w:firstLine="560"/>
      </w:pPr>
      <w:r>
        <w:t>(4)各项目部按规定建立应急领导小组，并将领导小组成员单报公司综合办公室备案。</w:t>
      </w:r>
    </w:p>
    <w:p w14:paraId="04163E80">
      <w:pPr>
        <w:ind w:firstLine="560"/>
      </w:pPr>
      <w:r>
        <w:rPr>
          <w:rFonts w:hint="eastAsia"/>
        </w:rPr>
        <w:t>3</w:t>
      </w:r>
      <w:r>
        <w:t>、农民工工资拖欠问题的补救程序</w:t>
      </w:r>
    </w:p>
    <w:p w14:paraId="178D90DA">
      <w:pPr>
        <w:ind w:firstLine="560"/>
      </w:pPr>
      <w:r>
        <w:t>发现拖欠农民工工资现象</w:t>
      </w:r>
      <w:r>
        <w:rPr>
          <w:rFonts w:hint="eastAsia"/>
        </w:rPr>
        <w:t>--</w:t>
      </w:r>
      <w:r>
        <w:t>施工项目部领导层进行处理</w:t>
      </w:r>
      <w:r>
        <w:rPr>
          <w:rFonts w:hint="eastAsia"/>
        </w:rPr>
        <w:t>--</w:t>
      </w:r>
      <w:r>
        <w:t>上报公司办公室</w:t>
      </w:r>
      <w:r>
        <w:rPr>
          <w:rFonts w:hint="eastAsia"/>
        </w:rPr>
        <w:t>--</w:t>
      </w:r>
      <w:r>
        <w:t>根据其严重程度，确定是否动用分公司级“农民工工资预留款”</w:t>
      </w:r>
      <w:r>
        <w:rPr>
          <w:rFonts w:hint="eastAsia"/>
        </w:rPr>
        <w:t>--</w:t>
      </w:r>
      <w:r>
        <w:t>拖欠农民工工资发放后，妥善解决后续问题</w:t>
      </w:r>
      <w:r>
        <w:rPr>
          <w:rFonts w:hint="eastAsia"/>
        </w:rPr>
        <w:t>--</w:t>
      </w:r>
      <w:r>
        <w:t>总公司、分公司、施工项目部组成联合调查小组，开展时间调查与后续处理工作。</w:t>
      </w:r>
    </w:p>
    <w:p w14:paraId="3866E780">
      <w:pPr>
        <w:pStyle w:val="5"/>
        <w:spacing w:before="31" w:after="31"/>
        <w:ind w:firstLine="562"/>
      </w:pPr>
      <w:bookmarkStart w:id="9176" w:name="_Toc7051"/>
      <w:bookmarkStart w:id="9177" w:name="_Toc5334"/>
      <w:bookmarkStart w:id="9178" w:name="_Toc20725"/>
      <w:bookmarkStart w:id="9179" w:name="_Toc4001"/>
      <w:bookmarkStart w:id="9180" w:name="_Toc32265"/>
      <w:bookmarkStart w:id="9181" w:name="_Toc3603"/>
      <w:bookmarkStart w:id="9182" w:name="_Toc1636"/>
      <w:bookmarkStart w:id="9183" w:name="_Toc24257"/>
      <w:bookmarkStart w:id="9184" w:name="_Toc31299"/>
      <w:bookmarkStart w:id="9185" w:name="_Toc18595"/>
      <w:bookmarkStart w:id="9186" w:name="_Toc1487"/>
      <w:bookmarkStart w:id="9187" w:name="_Toc15057"/>
      <w:bookmarkStart w:id="9188" w:name="_Toc14745"/>
      <w:bookmarkStart w:id="9189" w:name="_Toc29156"/>
      <w:bookmarkStart w:id="9190" w:name="_Toc11623"/>
      <w:bookmarkStart w:id="9191" w:name="_Toc12017"/>
      <w:bookmarkStart w:id="9192" w:name="_Toc4333"/>
      <w:bookmarkStart w:id="9193" w:name="_Toc27823"/>
      <w:bookmarkStart w:id="9194" w:name="_Toc13283"/>
      <w:bookmarkStart w:id="9195" w:name="_Toc9457"/>
      <w:bookmarkStart w:id="9196" w:name="_Toc7431"/>
      <w:bookmarkStart w:id="9197" w:name="_Toc31879"/>
      <w:bookmarkStart w:id="9198" w:name="_Toc19429"/>
      <w:bookmarkStart w:id="9199" w:name="_Toc18484"/>
      <w:bookmarkStart w:id="9200" w:name="_Toc21058"/>
      <w:bookmarkStart w:id="9201" w:name="_Toc28283"/>
      <w:bookmarkStart w:id="9202" w:name="_Toc18121"/>
      <w:bookmarkStart w:id="9203" w:name="_Toc10670"/>
      <w:bookmarkStart w:id="9204" w:name="_Toc30660"/>
      <w:bookmarkStart w:id="9205" w:name="_Toc30932"/>
      <w:bookmarkStart w:id="9206" w:name="_Toc20860"/>
      <w:bookmarkStart w:id="9207" w:name="_Toc29950"/>
      <w:bookmarkStart w:id="9208" w:name="_Toc28689"/>
      <w:bookmarkStart w:id="9209" w:name="_Toc6427"/>
      <w:bookmarkStart w:id="9210" w:name="_Toc10143"/>
      <w:bookmarkStart w:id="9211" w:name="_Toc3455"/>
      <w:bookmarkStart w:id="9212" w:name="_Toc30516"/>
      <w:bookmarkStart w:id="9213" w:name="_Toc4293"/>
      <w:bookmarkStart w:id="9214" w:name="_Toc15892"/>
      <w:bookmarkStart w:id="9215" w:name="_Toc22341"/>
      <w:bookmarkStart w:id="9216" w:name="_Toc7586"/>
      <w:bookmarkStart w:id="9217" w:name="_Toc9380"/>
      <w:bookmarkStart w:id="9218" w:name="_Toc2965"/>
      <w:bookmarkStart w:id="9219" w:name="_Toc32398"/>
      <w:bookmarkStart w:id="9220" w:name="_Toc24199"/>
      <w:bookmarkStart w:id="9221" w:name="_Toc20266"/>
      <w:bookmarkStart w:id="9222" w:name="_Toc30579"/>
      <w:bookmarkStart w:id="9223" w:name="_Toc15325"/>
      <w:bookmarkStart w:id="9224" w:name="_Toc24213"/>
      <w:bookmarkStart w:id="9225" w:name="_Toc11732"/>
      <w:r>
        <w:rPr>
          <w:rFonts w:hint="eastAsia"/>
        </w:rPr>
        <w:t>（四）</w:t>
      </w:r>
      <w:r>
        <w:t>农民工工资支付</w:t>
      </w:r>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p>
    <w:p w14:paraId="12E334F7">
      <w:pPr>
        <w:ind w:firstLine="560"/>
      </w:pPr>
      <w:r>
        <w:t>1、项目部的农民工工资支付监控领导小组负责项目部农民工工资支付事件应急的全面领导工作。</w:t>
      </w:r>
    </w:p>
    <w:p w14:paraId="30022B64">
      <w:pPr>
        <w:ind w:firstLine="560"/>
      </w:pPr>
      <w:r>
        <w:t>2、项目部的农民工工资支付领导小组在平时检查和监控工作中若发现施工队负责人不按时支付其施工队的农民工工资的问题，立即责令其负责人限期支付其施工队的农民工的工资。</w:t>
      </w:r>
    </w:p>
    <w:p w14:paraId="56EA2EBF">
      <w:pPr>
        <w:ind w:firstLine="560"/>
      </w:pPr>
      <w:r>
        <w:t>3、施工队负责人若在项目部下达的限期内仍未支付其施工队农民工的工资，项目部则立即将此情况上报公司，申请扣除其施工队的工费提前支付其施工队农民工的工资，并给予其施工队相应的经济处罚。</w:t>
      </w:r>
    </w:p>
    <w:p w14:paraId="29392A43">
      <w:pPr>
        <w:ind w:firstLine="560"/>
      </w:pPr>
      <w:r>
        <w:t>4、对施工队的农民工因未及时领到工资而突发的集体闹事和上访事件，项目部的领导小组立即采取有效措施，并努力进行说服教育工作，以积极诚恳的态度和务实的工作作风感化其农民工，并积极采取相应的措施为其农民工解决实际问题。对拖欠农民工工资的劳务队伍项目部在当月工程款拨付中应扣除农民工工资,将扣除的工程款直接发放给农民工.</w:t>
      </w:r>
    </w:p>
    <w:p w14:paraId="27B8873B">
      <w:pPr>
        <w:ind w:firstLine="560"/>
      </w:pPr>
      <w:r>
        <w:t>5、项目部农民工支付监控领导小组的办公室平时认真对待施工队的农民工反映的各种切身利益的问题，并及时汇总后向领导小组反映，项目部领导小组立即采取相关的措施，将农民工的各种矛盾解决在突发事件之前。</w:t>
      </w:r>
    </w:p>
    <w:p w14:paraId="5D13D5B7">
      <w:pPr>
        <w:ind w:firstLine="560"/>
      </w:pPr>
      <w:r>
        <w:t>6、为了确保施工队的农民工因工资而突发上访事件的发生，项目部农民工工资支付监控领导小组责令其施工队负责人实行在其开户银行预存工资保证金制度，项目部领导小组不定时对其预存的情况进行检查，切实作到防患于未然。</w:t>
      </w:r>
    </w:p>
    <w:p w14:paraId="6884F6C3">
      <w:pPr>
        <w:pStyle w:val="5"/>
        <w:spacing w:before="31" w:after="31"/>
        <w:ind w:firstLine="562"/>
      </w:pPr>
      <w:bookmarkStart w:id="9226" w:name="_Toc29089"/>
      <w:bookmarkStart w:id="9227" w:name="_Toc27870"/>
      <w:bookmarkStart w:id="9228" w:name="_Toc18519"/>
      <w:bookmarkStart w:id="9229" w:name="_Toc21671"/>
      <w:bookmarkStart w:id="9230" w:name="_Toc426"/>
      <w:bookmarkStart w:id="9231" w:name="_Toc12146"/>
      <w:bookmarkStart w:id="9232" w:name="_Toc21568"/>
      <w:bookmarkStart w:id="9233" w:name="_Toc9232"/>
      <w:bookmarkStart w:id="9234" w:name="_Toc4609"/>
      <w:bookmarkStart w:id="9235" w:name="_Toc28844"/>
      <w:bookmarkStart w:id="9236" w:name="_Toc21138"/>
      <w:bookmarkStart w:id="9237" w:name="_Toc27496"/>
      <w:bookmarkStart w:id="9238" w:name="_Toc23279"/>
      <w:bookmarkStart w:id="9239" w:name="_Toc21105"/>
      <w:bookmarkStart w:id="9240" w:name="_Toc13386"/>
      <w:bookmarkStart w:id="9241" w:name="_Toc28768"/>
      <w:bookmarkStart w:id="9242" w:name="_Toc18374"/>
      <w:bookmarkStart w:id="9243" w:name="_Toc5714"/>
      <w:bookmarkStart w:id="9244" w:name="_Toc5719"/>
      <w:bookmarkStart w:id="9245" w:name="_Toc4223"/>
      <w:bookmarkStart w:id="9246" w:name="_Toc14015"/>
      <w:bookmarkStart w:id="9247" w:name="_Toc22897"/>
      <w:bookmarkStart w:id="9248" w:name="_Toc22894"/>
      <w:bookmarkStart w:id="9249" w:name="_Toc14682"/>
      <w:bookmarkStart w:id="9250" w:name="_Toc8938"/>
      <w:bookmarkStart w:id="9251" w:name="_Toc26276"/>
      <w:bookmarkStart w:id="9252" w:name="_Toc20802"/>
      <w:bookmarkStart w:id="9253" w:name="_Toc8685"/>
      <w:bookmarkStart w:id="9254" w:name="_Toc14815"/>
      <w:bookmarkStart w:id="9255" w:name="_Toc17809"/>
      <w:bookmarkStart w:id="9256" w:name="_Toc8551"/>
      <w:bookmarkStart w:id="9257" w:name="_Toc22385"/>
      <w:bookmarkStart w:id="9258" w:name="_Toc20217"/>
      <w:bookmarkStart w:id="9259" w:name="_Toc25387"/>
      <w:bookmarkStart w:id="9260" w:name="_Toc31975"/>
      <w:bookmarkStart w:id="9261" w:name="_Toc30679"/>
      <w:bookmarkStart w:id="9262" w:name="_Toc22355"/>
      <w:bookmarkStart w:id="9263" w:name="_Toc23700"/>
      <w:bookmarkStart w:id="9264" w:name="_Toc20214"/>
      <w:bookmarkStart w:id="9265" w:name="_Toc3383"/>
      <w:bookmarkStart w:id="9266" w:name="_Toc25899"/>
      <w:bookmarkStart w:id="9267" w:name="_Toc18357"/>
      <w:bookmarkStart w:id="9268" w:name="_Toc11774"/>
      <w:bookmarkStart w:id="9269" w:name="_Toc7298"/>
      <w:bookmarkStart w:id="9270" w:name="_Toc28327"/>
      <w:bookmarkStart w:id="9271" w:name="_Toc3576"/>
      <w:bookmarkStart w:id="9272" w:name="_Toc9604"/>
      <w:bookmarkStart w:id="9273" w:name="_Toc4092"/>
      <w:bookmarkStart w:id="9274" w:name="_Toc7625"/>
      <w:bookmarkStart w:id="9275" w:name="_Toc23796"/>
      <w:bookmarkStart w:id="9276" w:name="_Toc218"/>
      <w:bookmarkStart w:id="9277" w:name="_Toc19728"/>
      <w:bookmarkStart w:id="9278" w:name="_Toc1027"/>
      <w:r>
        <w:rPr>
          <w:rFonts w:hint="eastAsia"/>
        </w:rPr>
        <w:t>（五）农民工工资保证措施</w:t>
      </w:r>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476"/>
      </w:tblGrid>
      <w:tr w14:paraId="6E4CD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000" w:type="pct"/>
            <w:shd w:val="clear" w:color="auto" w:fill="auto"/>
            <w:vAlign w:val="top"/>
          </w:tcPr>
          <w:p w14:paraId="1F72F6BA">
            <w:pPr>
              <w:ind w:firstLine="560"/>
            </w:pPr>
            <w:r>
              <w:t>一）严格执行国家劳动和社会保障部关于保障农民工</w:t>
            </w:r>
          </w:p>
          <w:p w14:paraId="28F29033">
            <w:pPr>
              <w:pStyle w:val="18"/>
            </w:pPr>
            <w:r>
              <w:t>工资支付的四项基本措施</w:t>
            </w:r>
          </w:p>
        </w:tc>
      </w:tr>
      <w:tr w14:paraId="37A6A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000" w:type="pct"/>
            <w:shd w:val="clear" w:color="auto" w:fill="auto"/>
            <w:vAlign w:val="top"/>
          </w:tcPr>
          <w:p w14:paraId="3AB5BEA7">
            <w:pPr>
              <w:ind w:firstLine="560"/>
            </w:pPr>
            <w:r>
              <w:t>1、是建立工资支付监控制度，全面监控和重点监控相结合，列为重点监控对象的，要定期向劳动保障部门报送工资支付情况；建立施工单位工资支付信息网络，完善监控手段。</w:t>
            </w:r>
          </w:p>
          <w:p w14:paraId="63F0FAD2">
            <w:pPr>
              <w:ind w:firstLine="560"/>
            </w:pPr>
            <w:r>
              <w:t>2、是推行工资保证金制度，施工单位缴纳一定数额的工资保证金，以保证农民工工资不因单位资金状况而被拖欠。</w:t>
            </w:r>
          </w:p>
          <w:p w14:paraId="5BEC2432">
            <w:pPr>
              <w:ind w:firstLine="560"/>
            </w:pPr>
            <w:r>
              <w:t>3、是推行企业劳动保障诚信制度，规范施工单位用工和工资支付行为</w:t>
            </w:r>
          </w:p>
          <w:p w14:paraId="15C943AE">
            <w:pPr>
              <w:ind w:firstLine="560"/>
            </w:pPr>
            <w:r>
              <w:t>4、推进劳动合同制度实施行动计划，用人单位招用农民工都依法订立书面劳动合同，建立权利义务明确、规范的劳动关系。</w:t>
            </w:r>
          </w:p>
        </w:tc>
      </w:tr>
      <w:tr w14:paraId="31C1C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000" w:type="pct"/>
            <w:shd w:val="clear" w:color="auto" w:fill="auto"/>
            <w:vAlign w:val="top"/>
          </w:tcPr>
          <w:p w14:paraId="671A92DA">
            <w:pPr>
              <w:ind w:firstLine="560"/>
            </w:pPr>
            <w:r>
              <w:t>二）为了保证民工工资，我公司做了多项保证措施。</w:t>
            </w:r>
          </w:p>
        </w:tc>
      </w:tr>
      <w:tr w14:paraId="04905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000" w:type="pct"/>
            <w:shd w:val="clear" w:color="auto" w:fill="auto"/>
            <w:vAlign w:val="top"/>
          </w:tcPr>
          <w:p w14:paraId="56870AF9">
            <w:pPr>
              <w:ind w:firstLine="560"/>
            </w:pPr>
            <w:r>
              <w:t>1、我公司各有关部门积极采取措施，保证农民工工资及时发放、让农民工劳有所得，也促进了施工企业的发展。</w:t>
            </w:r>
          </w:p>
          <w:p w14:paraId="114DCA5E">
            <w:pPr>
              <w:ind w:firstLine="560"/>
            </w:pPr>
            <w:r>
              <w:t>2、民工有意见或事情可以到公司找相关单位，并且为其大力解决难题</w:t>
            </w:r>
          </w:p>
          <w:p w14:paraId="16619E63">
            <w:pPr>
              <w:ind w:firstLine="560"/>
            </w:pPr>
            <w:r>
              <w:t>3、在劳动保障行政部门与建设行政主管部门管理下，我公司与民工签订了劳动合同，保证民工及时拿到自己的辛苦钱，也保证了工程建设的顺利进展。</w:t>
            </w:r>
          </w:p>
          <w:p w14:paraId="7510EE7A">
            <w:pPr>
              <w:ind w:firstLine="560"/>
            </w:pPr>
            <w:r>
              <w:t>4、保证按月发放工资，要求施工单位每月准时发放民工工资。</w:t>
            </w:r>
          </w:p>
        </w:tc>
      </w:tr>
      <w:tr w14:paraId="1F564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000" w:type="pct"/>
            <w:shd w:val="clear" w:color="auto" w:fill="auto"/>
            <w:vAlign w:val="top"/>
          </w:tcPr>
          <w:p w14:paraId="0D5DA8FC">
            <w:pPr>
              <w:ind w:firstLine="560"/>
            </w:pPr>
            <w:r>
              <w:t>三）不拖欠农民工工资的承诺书</w:t>
            </w:r>
          </w:p>
        </w:tc>
      </w:tr>
      <w:tr w14:paraId="4CC8E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000" w:type="pct"/>
            <w:shd w:val="clear" w:color="auto" w:fill="auto"/>
            <w:vAlign w:val="top"/>
          </w:tcPr>
          <w:p w14:paraId="4897EFFE">
            <w:pPr>
              <w:ind w:firstLine="560"/>
            </w:pPr>
            <w:r>
              <w:t>为认真贯彻落实各上级主管部门关于切实解决建设领域拖欠工程款的民工工资问题的要求，我公司承诺：决不出现拖欠民工工资。</w:t>
            </w:r>
          </w:p>
          <w:p w14:paraId="6E9D5BB3">
            <w:pPr>
              <w:ind w:firstLine="560"/>
            </w:pPr>
            <w:r>
              <w:t>具体措施为：</w:t>
            </w:r>
          </w:p>
          <w:p w14:paraId="68DA5E26">
            <w:pPr>
              <w:ind w:firstLine="560"/>
            </w:pPr>
            <w:r>
              <w:t>1、项目部与所有民工签订劳动合同。</w:t>
            </w:r>
          </w:p>
          <w:p w14:paraId="0A36DFD9">
            <w:pPr>
              <w:ind w:firstLine="560"/>
            </w:pPr>
            <w:r>
              <w:t>2、开设专门帐户，由公司财务派专人专管，保证工程款的专款专用。</w:t>
            </w:r>
          </w:p>
          <w:p w14:paraId="1B1A765A">
            <w:pPr>
              <w:ind w:firstLine="560"/>
            </w:pPr>
            <w:r>
              <w:t>3、根据工程进度计划，项目部制订出民工工资支付计划表。</w:t>
            </w:r>
          </w:p>
          <w:p w14:paraId="18209334">
            <w:pPr>
              <w:ind w:firstLine="560"/>
            </w:pPr>
            <w:r>
              <w:t>4、将民工工资的支付情况纳入项目经理部的各项考核指标中进行统一考核。</w:t>
            </w:r>
          </w:p>
          <w:p w14:paraId="536DF630">
            <w:pPr>
              <w:ind w:firstLine="560"/>
            </w:pPr>
            <w:r>
              <w:t>5、严格按行政主管部门规定，足额发放农民工工资如果发生农民工工资拖欠现象，无条件接受上级主管部门处罚。</w:t>
            </w:r>
          </w:p>
        </w:tc>
      </w:tr>
    </w:tbl>
    <w:p w14:paraId="04D3CB23">
      <w:pPr>
        <w:ind w:firstLine="560"/>
      </w:pPr>
      <w:r>
        <w:rPr>
          <w:rFonts w:hint="eastAsia"/>
        </w:rPr>
        <w:t>（1）</w:t>
      </w:r>
      <w:r>
        <w:t>项目部成立农民工工资发放领导小组，负责本项目农民工工资管理的监督、宣传、协调和查处工作。领导小组下设办公室，配备相应的专项监管人员，负责项目农民工工资管理的日常工作。</w:t>
      </w:r>
    </w:p>
    <w:p w14:paraId="55BE8BE4">
      <w:pPr>
        <w:ind w:firstLine="560"/>
      </w:pPr>
      <w:r>
        <w:rPr>
          <w:rFonts w:hint="eastAsia"/>
        </w:rPr>
        <w:t>（2）</w:t>
      </w:r>
      <w:r>
        <w:t>各项目部的工程部经理担任该领导小组组长，工程部经理为第一责任人。由内业资料员负责收集、整理农民工工资管理合同、管理制度、工资发放资料。</w:t>
      </w:r>
    </w:p>
    <w:p w14:paraId="522B2CF6">
      <w:pPr>
        <w:ind w:firstLine="560"/>
      </w:pPr>
      <w:r>
        <w:rPr>
          <w:rFonts w:hint="eastAsia"/>
        </w:rPr>
        <w:t>（3）</w:t>
      </w:r>
      <w:r>
        <w:t>民工进场后，项目部安排相关人员做好安全教育工作，同时做好民工相关信息登记，建立录用的农民工用工花名册；并提取身份证复印件及照片、办理进出场门禁卡，以便用于民工上下班打卡。</w:t>
      </w:r>
    </w:p>
    <w:p w14:paraId="5E23951C">
      <w:pPr>
        <w:pStyle w:val="5"/>
        <w:spacing w:before="31" w:after="31"/>
        <w:ind w:firstLine="562"/>
      </w:pPr>
      <w:bookmarkStart w:id="9279" w:name="_Toc4466"/>
      <w:bookmarkStart w:id="9280" w:name="_Toc29789"/>
      <w:bookmarkStart w:id="9281" w:name="_Toc2577"/>
      <w:bookmarkStart w:id="9282" w:name="_Toc24275"/>
      <w:bookmarkStart w:id="9283" w:name="_Toc21037"/>
      <w:bookmarkStart w:id="9284" w:name="_Toc2172"/>
      <w:bookmarkStart w:id="9285" w:name="_Toc14976"/>
      <w:bookmarkStart w:id="9286" w:name="_Toc24353"/>
      <w:bookmarkStart w:id="9287" w:name="_Toc15263"/>
      <w:bookmarkStart w:id="9288" w:name="_Toc14846"/>
      <w:bookmarkStart w:id="9289" w:name="_Toc2047"/>
      <w:bookmarkStart w:id="9290" w:name="_Toc22515"/>
      <w:bookmarkStart w:id="9291" w:name="_Toc8158"/>
      <w:bookmarkStart w:id="9292" w:name="_Toc17340"/>
      <w:bookmarkStart w:id="9293" w:name="_Toc19827"/>
      <w:bookmarkStart w:id="9294" w:name="_Toc25491"/>
      <w:bookmarkStart w:id="9295" w:name="_Toc1094"/>
      <w:bookmarkStart w:id="9296" w:name="_Toc12621"/>
      <w:bookmarkStart w:id="9297" w:name="_Toc17219"/>
      <w:bookmarkStart w:id="9298" w:name="_Toc12478"/>
      <w:bookmarkStart w:id="9299" w:name="_Toc14516"/>
      <w:bookmarkStart w:id="9300" w:name="_Toc14582"/>
      <w:bookmarkStart w:id="9301" w:name="_Toc8828"/>
      <w:bookmarkStart w:id="9302" w:name="_Toc16387"/>
      <w:bookmarkStart w:id="9303" w:name="_Toc27769"/>
      <w:bookmarkStart w:id="9304" w:name="_Toc12502"/>
      <w:bookmarkStart w:id="9305" w:name="_Toc22439"/>
      <w:bookmarkStart w:id="9306" w:name="_Toc29900"/>
      <w:bookmarkStart w:id="9307" w:name="_Toc16298"/>
      <w:bookmarkStart w:id="9308" w:name="_Toc28376"/>
      <w:bookmarkStart w:id="9309" w:name="_Toc20551"/>
      <w:bookmarkStart w:id="9310" w:name="_Toc5268"/>
      <w:bookmarkStart w:id="9311" w:name="_Toc31036"/>
      <w:bookmarkStart w:id="9312" w:name="_Toc13225"/>
      <w:bookmarkStart w:id="9313" w:name="_Toc17971"/>
      <w:bookmarkStart w:id="9314" w:name="_Toc16368"/>
      <w:bookmarkStart w:id="9315" w:name="_Toc22180"/>
      <w:bookmarkStart w:id="9316" w:name="_Toc3613"/>
      <w:bookmarkStart w:id="9317" w:name="_Toc23574"/>
      <w:bookmarkStart w:id="9318" w:name="_Toc3712"/>
      <w:bookmarkStart w:id="9319" w:name="_Toc3032"/>
      <w:bookmarkStart w:id="9320" w:name="_Toc21497"/>
      <w:bookmarkStart w:id="9321" w:name="_Toc22349"/>
      <w:bookmarkStart w:id="9322" w:name="_Toc26156"/>
      <w:bookmarkStart w:id="9323" w:name="_Toc27655"/>
      <w:bookmarkStart w:id="9324" w:name="_Toc29217"/>
      <w:bookmarkStart w:id="9325" w:name="_Toc19088"/>
      <w:bookmarkStart w:id="9326" w:name="_Toc15472"/>
      <w:bookmarkStart w:id="9327" w:name="_Toc27722"/>
      <w:bookmarkStart w:id="9328" w:name="_Toc17477"/>
      <w:bookmarkStart w:id="9329" w:name="_Toc25910"/>
      <w:bookmarkStart w:id="9330" w:name="_Toc26700"/>
      <w:bookmarkStart w:id="9331" w:name="_Toc19518"/>
      <w:bookmarkStart w:id="9332" w:name="_Toc15735"/>
      <w:bookmarkStart w:id="9333" w:name="_Toc6793"/>
      <w:bookmarkStart w:id="9334" w:name="_Toc15114"/>
      <w:r>
        <w:rPr>
          <w:rFonts w:hint="eastAsia"/>
        </w:rPr>
        <w:t>（六）</w:t>
      </w:r>
      <w:r>
        <w:t>民工工资发放管理制度</w:t>
      </w:r>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p>
    <w:p w14:paraId="46920438">
      <w:pPr>
        <w:ind w:firstLine="560"/>
      </w:pPr>
      <w:r>
        <w:rPr>
          <w:rFonts w:hint="eastAsia"/>
        </w:rPr>
        <w:t>（一）</w:t>
      </w:r>
      <w:r>
        <w:t>劳动合同管理制度</w:t>
      </w:r>
    </w:p>
    <w:p w14:paraId="6BA20A96">
      <w:pPr>
        <w:ind w:firstLine="560"/>
      </w:pPr>
      <w:r>
        <w:t>我公司民工工资结算流程:</w:t>
      </w:r>
    </w:p>
    <w:p w14:paraId="5B87E9BA">
      <w:pPr>
        <w:pStyle w:val="18"/>
        <w:rPr>
          <w:lang w:val="en-US"/>
        </w:rPr>
      </w:pPr>
      <w:r>
        <w:rPr>
          <w:lang w:val="en-US" w:bidi="ar-SA"/>
        </w:rPr>
        <w:drawing>
          <wp:inline distT="0" distB="0" distL="114300" distR="114300">
            <wp:extent cx="5266690" cy="2738120"/>
            <wp:effectExtent l="0" t="0" r="0" b="5080"/>
            <wp:docPr id="4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7"/>
                    <pic:cNvPicPr>
                      <a:picLocks noChangeAspect="1"/>
                    </pic:cNvPicPr>
                  </pic:nvPicPr>
                  <pic:blipFill>
                    <a:blip r:embed="rId76">
                      <a:grayscl/>
                    </a:blip>
                    <a:stretch>
                      <a:fillRect/>
                    </a:stretch>
                  </pic:blipFill>
                  <pic:spPr>
                    <a:xfrm>
                      <a:off x="0" y="0"/>
                      <a:ext cx="5266690" cy="2738120"/>
                    </a:xfrm>
                    <a:prstGeom prst="rect">
                      <a:avLst/>
                    </a:prstGeom>
                    <a:noFill/>
                    <a:ln>
                      <a:noFill/>
                    </a:ln>
                  </pic:spPr>
                </pic:pic>
              </a:graphicData>
            </a:graphic>
          </wp:inline>
        </w:drawing>
      </w:r>
    </w:p>
    <w:p w14:paraId="25815075">
      <w:pPr>
        <w:ind w:firstLine="560"/>
      </w:pPr>
      <w:r>
        <w:t>1、劳动合同制度。规定工程中使用的各类人员，都必须由施工企业法人代表与之签订劳动合同；合同使用统一规范格式；合同期限可以完成某一项工作为期限；合同中必须标明工作岗位、工作、工资支付时间及支付方式，劳动纪律及相关事宜；合同必须有劳动者本人签具真实姓名，具有法人主体的用人单位盖章方可生效。合同一式两份，用人单位和劳动者各执一份。</w:t>
      </w:r>
    </w:p>
    <w:p w14:paraId="79831FA8">
      <w:pPr>
        <w:ind w:firstLine="560"/>
      </w:pPr>
      <w:r>
        <w:t>劳动合同管理是对本公司与本公司员工之间劳动关系以及双方权利和义务进行的一种规范化的管理。本公司劳动合同管理包括对劳动合同的订立、履行、变更、解除和终止及争议解决的管理。管理过程须体现本公司人事政策，符合劳动法规定。</w:t>
      </w:r>
    </w:p>
    <w:p w14:paraId="3FF94101">
      <w:pPr>
        <w:ind w:firstLine="560"/>
      </w:pPr>
      <w:r>
        <w:t>2、公司与员工平等自愿、协商一致地订立劳动合同，依法建立劳动关系，并保证劳动合同的有效性。劳动合同依法成立，即具法律效力，本公司员工亦应全面履行。</w:t>
      </w:r>
    </w:p>
    <w:p w14:paraId="7C377BFA">
      <w:pPr>
        <w:ind w:firstLine="560"/>
      </w:pPr>
      <w:r>
        <w:t>3、凡公司录用（含试用期、技术考核期）的员工，本公司与其签订劳动合同和相互约定的其它协议，并在合同中阐明。</w:t>
      </w:r>
    </w:p>
    <w:p w14:paraId="073DBDD4">
      <w:pPr>
        <w:ind w:firstLine="560"/>
      </w:pPr>
      <w:r>
        <w:t>4、劳动合同一定是本公司与其当事人亲自签定，不得他人代签。劳动合同一式二份，本公司和其当事人各执一份。</w:t>
      </w:r>
    </w:p>
    <w:p w14:paraId="13D09999">
      <w:pPr>
        <w:ind w:firstLine="560"/>
      </w:pPr>
      <w:r>
        <w:t>5、公司对员工实行聘用制，聘用期为一年，即：劳动合同期限也为一年（含试用期）。</w:t>
      </w:r>
    </w:p>
    <w:p w14:paraId="5DA80799">
      <w:pPr>
        <w:ind w:firstLine="560"/>
      </w:pPr>
      <w:r>
        <w:t>6、劳动合同的组成部分：政府劳动部门规范的劳动合同，保密合同，合同附件及合同附件约定的有关内容。</w:t>
      </w:r>
    </w:p>
    <w:p w14:paraId="6E6FE859">
      <w:pPr>
        <w:ind w:firstLine="560"/>
      </w:pPr>
      <w:r>
        <w:rPr>
          <w:rFonts w:hint="eastAsia"/>
        </w:rPr>
        <w:t>（二）</w:t>
      </w:r>
      <w:r>
        <w:t>职工花名册管理制度</w:t>
      </w:r>
    </w:p>
    <w:p w14:paraId="71078255">
      <w:pPr>
        <w:ind w:firstLine="560"/>
      </w:pPr>
      <w:r>
        <w:t>1、对工程中使用的各类人员都必须建立职工花名册。花名册包括工程用工人员的姓名、性别、身份证号码、岗位、进工地时间、离开工地时间、合同起止时间等。花名册根据工地人员的进出，随进随建，各类人员身份证复印件、花名册由项目部保存，保存时间至竣工后3年。</w:t>
      </w:r>
    </w:p>
    <w:p w14:paraId="4EEC5F1B">
      <w:pPr>
        <w:ind w:firstLine="560"/>
      </w:pPr>
      <w:r>
        <w:t>2、充分认识建立职工名册制度的重要性。建立职工名册备查，是《劳动合同法》、《劳动合同法实施条例》规定的用人单位法定义务。督促用人单位建立职工名册，是劳动保障行政部门依法履行监督检查职能、规范企业劳动用工秩序、维护劳动者和用人单位双方合法权益的重要措施。各类企业应严格执行法律规定，认真履行法定义务。各级劳动保障行政部门要从促进劳动关系和谐稳定的高度，切实推动这项制度全面建立和实施。</w:t>
      </w:r>
    </w:p>
    <w:p w14:paraId="29560B28">
      <w:pPr>
        <w:ind w:firstLine="560"/>
      </w:pPr>
      <w:r>
        <w:t>3、建立职工名册制度的主要内容。本公司应当依照法律规定建立职工名册。不论用工形式、合同期限和职工身份类别，都必须纳入职工名册，逐一登记。职工名册包括用人单位基本信息和职工基本信息。用人单位基本信息应当包含以下内容：用人单位名称、法定代表人姓名、单位类型、组织机构代码、工商登记执照号码、经济类型、所属行业、登记注册地、注册地址、经营地址、是否劳务派遣企业、邮政编码、联系人、联系电话等。职工基本信息应当包含以下内容：姓名、性别、社会保障号（身份证件号码）、户口性质、文化程度、户籍地址及现住址、联系方式、职工类别、用工形式、工种岗位、用工起始时间、合同期限、合同类型等。本公司可以根据本单位自身管理需要增加其他信息。本公司要采取主动收集或单位报送等方式，全面收集汇总辖区内各项目部用工信息，建立本地区企业用工台帐，并在此基础上，逐步建立本地区劳动用工数据库。</w:t>
      </w:r>
    </w:p>
    <w:p w14:paraId="37892E8A">
      <w:pPr>
        <w:ind w:firstLine="560"/>
      </w:pPr>
      <w:r>
        <w:t>4、认真组织实施职工名册制度，本公司要高度重视建立职工名册制度工作，切实加强领导，明确责任，落实措施。要充分发挥职工名册制度的作用，使职工名册制度与其他相关工作相互衔接，实现资源共享。要定期将辖区内劳动用工信息与就业登记、失业登记和社会保险参保数据库进行对比分析，有针对性地改进和加强相关管理工作。企业对本公司实施劳动保障年检和日常巡查时，应将各部门职工名册作为必检内容。本公司接受企业年检和检查时，必须按要求提供职工名册。本公司未按要求建立职工名册或者用工情况登记不全的，应当根据《劳动合同法实施条例》第三十三条的规定，责令其限期改正。逾期不改正的，依法予以处罚。</w:t>
      </w:r>
    </w:p>
    <w:p w14:paraId="51652C60">
      <w:pPr>
        <w:ind w:firstLine="560"/>
      </w:pPr>
      <w:r>
        <w:rPr>
          <w:rFonts w:hint="eastAsia"/>
        </w:rPr>
        <w:t>（三）</w:t>
      </w:r>
      <w:r>
        <w:t>工资发放和公示制</w:t>
      </w:r>
    </w:p>
    <w:p w14:paraId="1B1A9168">
      <w:pPr>
        <w:ind w:firstLine="560"/>
      </w:pPr>
      <w:r>
        <w:t>1、严格执行民工就业的准入制度。</w:t>
      </w:r>
    </w:p>
    <w:p w14:paraId="0B021BFE">
      <w:pPr>
        <w:ind w:firstLine="560"/>
      </w:pPr>
      <w:r>
        <w:t>1）建立民工的花名册和暂住证办理情况的台帐。仔细审阅身份证的有效性，对童工、未成年人、无效证件者拒绝吸纳为职工，并与当地公安部门联系，由公安部门下派二名协管员下驻项目部，专门到现场为民工办理暂住证，确保每一位民工的进场时间和出场时间都能反映在台帐中。</w:t>
      </w:r>
    </w:p>
    <w:p w14:paraId="3E536000">
      <w:pPr>
        <w:ind w:firstLine="560"/>
      </w:pPr>
      <w:r>
        <w:t>2）对新增民工采取“一条龙”的方式办理相关手续，具体如下：由工区（队）长带领新增民工在24小时内到项目安全部报到，安全部对民工进行安全“三级教育”和本工种的安全技术交底；签订安全生产责任制；然后到合同部签订劳务用工合同；最后由安全部开具可以上岗的通知单，民工凭此通知单到本队进行相应工种的上岗。</w:t>
      </w:r>
    </w:p>
    <w:p w14:paraId="51EB7FB0">
      <w:pPr>
        <w:ind w:firstLine="560"/>
      </w:pPr>
      <w:r>
        <w:t>2、工资发放方法：</w:t>
      </w:r>
    </w:p>
    <w:p w14:paraId="5387DBA3">
      <w:pPr>
        <w:ind w:firstLine="560"/>
      </w:pPr>
      <w:r>
        <w:t>1）财务室对民工建立民工花名册，并将每个农民工的身份证复印，进行一一核对，然后每月30日各工区将考勤表及工资表交财务室，财务室在10日前将民工工资准备完成，并将民工工资发放到民工手中。</w:t>
      </w:r>
    </w:p>
    <w:p w14:paraId="2F7E6E1D">
      <w:pPr>
        <w:ind w:firstLine="560"/>
      </w:pPr>
      <w:r>
        <w:t>2）最低工资控制，项目部对每位民工的工资进行审阅，现民工工资最低不得低于45元/天。</w:t>
      </w:r>
    </w:p>
    <w:p w14:paraId="7D0E7B0A">
      <w:pPr>
        <w:ind w:firstLine="560"/>
      </w:pPr>
      <w:r>
        <w:t>3）工资是以货币形式支付给农民工的劳动报酬，不得以实物或有价证券抵付。</w:t>
      </w:r>
    </w:p>
    <w:p w14:paraId="626B3963">
      <w:pPr>
        <w:ind w:firstLine="560"/>
      </w:pPr>
      <w:r>
        <w:t>4）农民工领取工资应办理签收手续，项目经理部每次支付工资前三日应在项目经理部或各工区所在地公示民工工资支付情况，并在工程竣工验收前将民工工资总的支付情况进行公示。四、考勤制度要求对工程中使用等各类人员实行考勤制度，使用统一考勤表。考勤可采用分项、班组专业队或项目部统一考勤等方式。考勤表以月为单位，于次月5日前交由项目部统一留存。</w:t>
      </w:r>
    </w:p>
    <w:p w14:paraId="7407C400">
      <w:pPr>
        <w:ind w:firstLine="560"/>
      </w:pPr>
      <w:r>
        <w:rPr>
          <w:rFonts w:hint="eastAsia"/>
        </w:rPr>
        <w:t>（四）</w:t>
      </w:r>
      <w:r>
        <w:t>工资发放监督和责任制度</w:t>
      </w:r>
    </w:p>
    <w:p w14:paraId="0BA67C7D">
      <w:pPr>
        <w:ind w:firstLine="560"/>
      </w:pPr>
      <w:r>
        <w:t>1、工资发放和公示制度。规定各施工工地必须在每月5日前上墙公示上月工程应付各类人员工资清单，每月10日前将各类人员工资在施工单位派员监督下由项目部直接发放给劳动者，劳动者凭本人身份证领取工资，并在工资发放单上签名。工资发放单由项目部保存，需要代领的必须办理委托证明。工程完工后，项目部应在一个月内结清工资。无论工程是否完工，每年工资应工程结束前全部结清和支付。各工程项目部必须在工地醒目位置设置工资发放公示牌，每月定时公示工资发放单，以便劳动者查对。</w:t>
      </w:r>
    </w:p>
    <w:p w14:paraId="4EF49513">
      <w:pPr>
        <w:ind w:firstLine="560"/>
      </w:pPr>
      <w:r>
        <w:t>2、按照“谁承包、谁负责”的原则，工区长对其所管辖的工程范围内的农民工工资发放工作负全面责任，项目经理为最终负责人。</w:t>
      </w:r>
    </w:p>
    <w:p w14:paraId="4DC4999D">
      <w:pPr>
        <w:ind w:firstLine="560"/>
      </w:pPr>
      <w:r>
        <w:t>3、项目经理部认真把好工区结算关，加强责任成本管理，严格分解、明确责任，杜绝劳务协作队伍、工区拖欠农民工工资情况的出现。</w:t>
      </w:r>
    </w:p>
    <w:p w14:paraId="3E7F07D0">
      <w:pPr>
        <w:ind w:firstLine="560"/>
      </w:pPr>
      <w:r>
        <w:t>4、项目经理部资金无论如何紧张，必须首先保证各工区农民工的工资支付，并督促劳务协作队伍按时发放农民工工资。</w:t>
      </w:r>
    </w:p>
    <w:p w14:paraId="46CCBBAA">
      <w:pPr>
        <w:ind w:firstLine="560"/>
      </w:pPr>
      <w:r>
        <w:t>5、为妥善处理劳务协作队伍的劳资纠纷，项目经理部聘请当地的乡镇村领导为廉政监督员，确保民工工资兑现支付，保证工程的顺利进行。</w:t>
      </w:r>
    </w:p>
    <w:p w14:paraId="2EDB71A7">
      <w:pPr>
        <w:ind w:firstLine="560"/>
      </w:pPr>
      <w:r>
        <w:rPr>
          <w:rFonts w:hint="eastAsia"/>
        </w:rPr>
        <w:t>（五）</w:t>
      </w:r>
      <w:r>
        <w:t>奖惩办法制度</w:t>
      </w:r>
    </w:p>
    <w:p w14:paraId="1994046C">
      <w:pPr>
        <w:ind w:firstLine="560"/>
      </w:pPr>
      <w:r>
        <w:t>1、监督和责任制度。建设行政主管部门及劳动行政主管部门将对劳动用工五项管理制度落实。项目部必须确保农民工工资发放至每个民工手中，严禁以包代管，杜绝由包工头带领现象发生。各施工工地如未按劳动用工上述管理制度执行，发生农民工投诉上访现象，建设行政主管部门将对项目经理及施工企业记入不良行为记录，情节严重的将记入黑名单，并取消工程所有创优及创标化资格。劳动行政部门将给予劳动保障诚信评价一票否决，情况特别严重的给予媒体曝光，上报省劳动保障黑名单，并按有关法律法规给予行政处罚。</w:t>
      </w:r>
    </w:p>
    <w:p w14:paraId="692D25E0">
      <w:pPr>
        <w:ind w:firstLine="560"/>
      </w:pPr>
      <w:r>
        <w:t>2、项目经理部下属劳务协作队伍、工区等不得克扣和拖欠农民工工资，加强监督，发现有以下情况的，对协作队伍、工区长进行经济处罚，情节严重的，将进行清场处理上报公司劳资部挂名。</w:t>
      </w:r>
    </w:p>
    <w:p w14:paraId="696D0521">
      <w:pPr>
        <w:ind w:firstLine="560"/>
      </w:pPr>
      <w:r>
        <w:t>3、劳务协作队伍若出现恶意拖欠农民工工资的情况，经查实，项目部将从其工程结算款中扣除相应金额，直接支付拖欠民工工资，施工协作队伍负责人签字认可，并进行一定的经济处罚，情节严重的，将进行清场处理上报公司劳资部挂名，上报总监办、项目办挂名。</w:t>
      </w:r>
    </w:p>
    <w:p w14:paraId="35CD3354">
      <w:pPr>
        <w:ind w:firstLine="560"/>
      </w:pPr>
      <w:r>
        <w:rPr>
          <w:rFonts w:hint="eastAsia"/>
        </w:rPr>
        <w:t>（六）</w:t>
      </w:r>
      <w:r>
        <w:t>实施方法</w:t>
      </w:r>
    </w:p>
    <w:p w14:paraId="7540FB1D">
      <w:pPr>
        <w:ind w:firstLine="560"/>
      </w:pPr>
      <w:r>
        <w:t>1、准则为规范务工人员工资支付行为，预防和解决拖欠或扣克务工人员工资问题，有效维护广大务工人员的合法权益，促进企业的健康持续发展，根据《中华人民共和国劳动法》、《农民工工资支付管理暂行办法》等有关法律法规以及劳动保障部、建设部，《关于切实解决企业拖欠民工工资问题的通知》和各级政府与主管部门的有关规定，特制定本制度。</w:t>
      </w:r>
    </w:p>
    <w:p w14:paraId="0C827567">
      <w:pPr>
        <w:ind w:firstLine="560"/>
      </w:pPr>
      <w:r>
        <w:t>2、劳动合同的签订项目部在招用民工时，可通过劳务公司的途径，依法与民工签订劳动合同。劳动合同中要明确规定劳动合同期限、工作内容、劳动保护和劳动条件、劳动报酬以及违反劳动合同的责任等内容。其中有关劳动报酬的条款，应明确工资支付标准、支付项目、支付形式、支付时间等内容。</w:t>
      </w:r>
    </w:p>
    <w:p w14:paraId="3AE52B90">
      <w:pPr>
        <w:ind w:firstLine="560"/>
      </w:pPr>
      <w:r>
        <w:t>3、加强对民工工资支付的监控</w:t>
      </w:r>
    </w:p>
    <w:p w14:paraId="641DC95D">
      <w:pPr>
        <w:ind w:firstLine="560"/>
      </w:pPr>
      <w:r>
        <w:t>①项目部应制定内部民工工资支付管理办法，应根据签订的集体合同或劳动合同约定的日期按月支付工资，应将工资直接发放给民工本人，严禁发放给班组长或其他不具备主体资格的组织或个人。项目部应建立民工记工考勤卡，编制民工工资支付清单，如实记录民工姓名、身份证号码、用工天数、支付单位、支付时间、支付对象、支付数额等情况，并保存二年以上备查。项目部可采用银行存折发放工资，或派专人到工地监督每个月民工工资的发放。一旦出现拖欠苗头，要及时采取措施加以解决，避免事态扩大。</w:t>
      </w:r>
    </w:p>
    <w:p w14:paraId="30A0C2A5">
      <w:pPr>
        <w:ind w:firstLine="560"/>
      </w:pPr>
      <w:r>
        <w:t>②各项目部要落实专人负责处理拖欠民工工资投诉工作，成立民工工资应急小组，制定应急预案，及时处理突发事件，让事态从源头上进行遏制。</w:t>
      </w:r>
    </w:p>
    <w:p w14:paraId="3D6DA776">
      <w:pPr>
        <w:ind w:firstLine="560"/>
      </w:pPr>
      <w:r>
        <w:t>4、施工现场必须设置《民工工资维权告知牌》项目部必须于开工前将《民工工资维权告知牌》设置在“八图二牌”处，如有损坏应及时更换。</w:t>
      </w:r>
    </w:p>
    <w:p w14:paraId="694095A2">
      <w:pPr>
        <w:ind w:firstLine="560"/>
      </w:pPr>
      <w:r>
        <w:t>5、拖欠民工工资投诉的处理</w:t>
      </w:r>
    </w:p>
    <w:p w14:paraId="74B5D1F1">
      <w:pPr>
        <w:ind w:firstLine="560"/>
      </w:pPr>
      <w:r>
        <w:t>①项目部应高度重视拖欠民工工资投诉，对有拖欠民工工资的工程项目，必须采取措施，及时给予解决，避免民工到有关部门投诉。</w:t>
      </w:r>
    </w:p>
    <w:p w14:paraId="63F908B4">
      <w:pPr>
        <w:ind w:firstLine="560"/>
      </w:pPr>
      <w:r>
        <w:t>②业主或工程总承包企业未按合同约定与建设工程承包企业结清工程款，致使建设工程承包企业拖欠民工工资的，由业主或工程总承包企业先行垫付民工被拖欠的民工工资，先行垫付的工资数额以未结清的工程款为限。</w:t>
      </w:r>
    </w:p>
    <w:p w14:paraId="2E901C10">
      <w:pPr>
        <w:ind w:firstLine="560"/>
      </w:pPr>
      <w:r>
        <w:t>③项目经理把民工工资发放给班组长等不具备主体资格的组织或个人，导致拖欠民工工资的，由项目部负责解决所拖欠的民工工资。</w:t>
      </w:r>
    </w:p>
    <w:p w14:paraId="350F1EF0">
      <w:pPr>
        <w:ind w:firstLine="560"/>
      </w:pPr>
      <w:r>
        <w:t>④若有民工投诉拖欠工资问题，项目部接到相关部门通知后，应立即派项目部处理拖欠民工工资的负责人及项目经理到指定地点处理。已结清工账的，当场确定清欠期限、清欠方式等；未结清工账的，当场确定结清工账的期限、清欠期限、清欠方式等。</w:t>
      </w:r>
    </w:p>
    <w:p w14:paraId="18F62486">
      <w:pPr>
        <w:ind w:firstLine="560"/>
      </w:pPr>
      <w:r>
        <w:t>6、处罚措施</w:t>
      </w:r>
    </w:p>
    <w:p w14:paraId="7116295E">
      <w:pPr>
        <w:ind w:firstLine="560"/>
      </w:pPr>
      <w:r>
        <w:t>①凡到公司投诉，经协调及时解决的，对该项目承包经理人处于10000元罚款。</w:t>
      </w:r>
    </w:p>
    <w:p w14:paraId="7C4CC10B">
      <w:pPr>
        <w:ind w:firstLine="560"/>
      </w:pPr>
      <w:r>
        <w:t>②凡发生务工人员上访到上级建设、劳动等主管部门而责成公司进行解决的，对承包项目经理人处于20000元罚款。</w:t>
      </w:r>
    </w:p>
    <w:p w14:paraId="05920163">
      <w:pPr>
        <w:ind w:firstLine="560"/>
      </w:pPr>
      <w:r>
        <w:t>③导致公司被当地政府有关部门取消工程施工资格而被清退的，对项目承包经理人处于200000元以上的罚款。</w:t>
      </w:r>
    </w:p>
    <w:p w14:paraId="41855331">
      <w:pPr>
        <w:pStyle w:val="5"/>
        <w:spacing w:before="31" w:after="31"/>
        <w:ind w:firstLine="562"/>
      </w:pPr>
      <w:bookmarkStart w:id="9335" w:name="_Toc31860"/>
      <w:bookmarkStart w:id="9336" w:name="_Toc16291"/>
      <w:bookmarkStart w:id="9337" w:name="_Toc13582"/>
      <w:bookmarkStart w:id="9338" w:name="_Toc12857"/>
      <w:bookmarkStart w:id="9339" w:name="_Toc8014"/>
      <w:bookmarkStart w:id="9340" w:name="_Toc25149"/>
      <w:bookmarkStart w:id="9341" w:name="_Toc1748"/>
      <w:bookmarkStart w:id="9342" w:name="_Toc31116"/>
      <w:bookmarkStart w:id="9343" w:name="_Toc3340"/>
      <w:bookmarkStart w:id="9344" w:name="_Toc17566"/>
      <w:bookmarkStart w:id="9345" w:name="_Toc8977"/>
      <w:bookmarkStart w:id="9346" w:name="_Toc11725"/>
      <w:bookmarkStart w:id="9347" w:name="_Toc30165"/>
      <w:bookmarkStart w:id="9348" w:name="_Toc5323"/>
      <w:bookmarkStart w:id="9349" w:name="_Toc2163"/>
      <w:bookmarkStart w:id="9350" w:name="_Toc263"/>
      <w:bookmarkStart w:id="9351" w:name="_Toc18733"/>
      <w:bookmarkStart w:id="9352" w:name="_Toc5923"/>
      <w:bookmarkStart w:id="9353" w:name="_Toc9944"/>
      <w:bookmarkStart w:id="9354" w:name="_Toc17960"/>
      <w:bookmarkStart w:id="9355" w:name="_Toc24054"/>
      <w:bookmarkStart w:id="9356" w:name="_Toc23179"/>
      <w:bookmarkStart w:id="9357" w:name="_Toc11111"/>
      <w:bookmarkStart w:id="9358" w:name="_Toc11711"/>
      <w:bookmarkStart w:id="9359" w:name="_Toc1775"/>
      <w:bookmarkStart w:id="9360" w:name="_Toc21596"/>
      <w:bookmarkStart w:id="9361" w:name="_Toc24837"/>
      <w:bookmarkStart w:id="9362" w:name="_Toc29555"/>
      <w:bookmarkStart w:id="9363" w:name="_Toc20343"/>
      <w:bookmarkStart w:id="9364" w:name="_Toc14919"/>
      <w:bookmarkStart w:id="9365" w:name="_Toc5239"/>
      <w:bookmarkStart w:id="9366" w:name="_Toc15881"/>
      <w:bookmarkStart w:id="9367" w:name="_Toc10839"/>
      <w:bookmarkStart w:id="9368" w:name="_Toc15703"/>
      <w:bookmarkStart w:id="9369" w:name="_Toc7981"/>
      <w:bookmarkStart w:id="9370" w:name="_Toc17163"/>
      <w:bookmarkStart w:id="9371" w:name="_Toc7413"/>
      <w:bookmarkStart w:id="9372" w:name="_Toc13710"/>
      <w:bookmarkStart w:id="9373" w:name="_Toc4151"/>
      <w:bookmarkStart w:id="9374" w:name="_Toc25720"/>
      <w:bookmarkStart w:id="9375" w:name="_Toc11011"/>
      <w:bookmarkStart w:id="9376" w:name="_Toc20601"/>
      <w:bookmarkStart w:id="9377" w:name="_Toc28869"/>
      <w:bookmarkStart w:id="9378" w:name="_Toc207"/>
      <w:bookmarkStart w:id="9379" w:name="_Toc5303"/>
      <w:bookmarkStart w:id="9380" w:name="_Toc29881"/>
      <w:bookmarkStart w:id="9381" w:name="_Toc7391"/>
      <w:bookmarkStart w:id="9382" w:name="_Toc2347"/>
      <w:bookmarkStart w:id="9383" w:name="_Toc12895"/>
      <w:bookmarkStart w:id="9384" w:name="_Toc5073"/>
      <w:bookmarkStart w:id="9385" w:name="_Toc12882"/>
      <w:bookmarkStart w:id="9386" w:name="_Toc27109"/>
      <w:r>
        <w:rPr>
          <w:rFonts w:hint="eastAsia"/>
        </w:rPr>
        <w:t>（七）</w:t>
      </w:r>
      <w:r>
        <w:t>农民工管理制度</w:t>
      </w:r>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p>
    <w:p w14:paraId="5448B062">
      <w:pPr>
        <w:ind w:firstLine="560"/>
      </w:pPr>
      <w:r>
        <w:rPr>
          <w:rFonts w:hint="eastAsia"/>
        </w:rPr>
        <w:t>（一）</w:t>
      </w:r>
      <w:r>
        <w:t>总则</w:t>
      </w:r>
    </w:p>
    <w:p w14:paraId="3782AC8A">
      <w:pPr>
        <w:ind w:firstLine="560"/>
      </w:pPr>
      <w:r>
        <w:t>1、为加强和规范本合同段民工管理,保障民工的合法权益,维护社会稳定,预防安全事故,减少职业危害,增强民工安全生产意识,根据国家有关法律、法规制定本规定。</w:t>
      </w:r>
    </w:p>
    <w:p w14:paraId="38717283">
      <w:pPr>
        <w:ind w:firstLine="560"/>
      </w:pPr>
      <w:r>
        <w:t>2、本规定所称的民工,是指我部选择的施工班组从社会招用的在我合同段从事生产建设服务的临时用工。</w:t>
      </w:r>
    </w:p>
    <w:p w14:paraId="40F9CB13">
      <w:pPr>
        <w:ind w:firstLine="560"/>
      </w:pPr>
      <w:r>
        <w:t>3、民工安全生产管理应认真贯彻执行"安全第一,预防为主"的方针和"谁使用,谁负责"的原则。</w:t>
      </w:r>
    </w:p>
    <w:p w14:paraId="7F73B236">
      <w:pPr>
        <w:ind w:firstLine="560"/>
      </w:pPr>
      <w:r>
        <w:rPr>
          <w:rFonts w:hint="eastAsia"/>
        </w:rPr>
        <w:t>（二）</w:t>
      </w:r>
      <w:r>
        <w:t>一般规定</w:t>
      </w:r>
    </w:p>
    <w:p w14:paraId="5D350122">
      <w:pPr>
        <w:ind w:firstLine="560"/>
      </w:pPr>
      <w:r>
        <w:t>1、本合同段民工实行“谁带班，谁负责”方式进行管理，即凡是进入我合同段的民工，统一由班组负责人直接进行管理，施工班组负责人为第一责任人，全面负责民工住宿、生活、安全、计划生育、禁毒、社会治安、工作任务等事项的管理。</w:t>
      </w:r>
    </w:p>
    <w:p w14:paraId="191F2DE8">
      <w:pPr>
        <w:ind w:firstLine="560"/>
      </w:pPr>
      <w:r>
        <w:t>2、施工班组进场后由班组负责人到工区或项目经理部报到，领取《民工管理办法》，填写登记项目经理部统一定制的民工花名册。</w:t>
      </w:r>
    </w:p>
    <w:p w14:paraId="1D6587FF">
      <w:pPr>
        <w:ind w:firstLine="560"/>
      </w:pPr>
      <w:r>
        <w:t>3、民工花名册上的每一项必须认真填写，并附上对应民工身份证明证件复印件（身份证、户籍证明、当地派出所或劳务机构证明）。</w:t>
      </w:r>
    </w:p>
    <w:p w14:paraId="559BA0CA">
      <w:pPr>
        <w:ind w:firstLine="560"/>
      </w:pPr>
      <w:r>
        <w:t>4、民工花名册及证明必须在进场后的第2天（省外最多5天）上交经理部行政办公室和安全保卫部各1份备查，形成完整的民工档案。</w:t>
      </w:r>
    </w:p>
    <w:p w14:paraId="70C73DCE">
      <w:pPr>
        <w:ind w:firstLine="560"/>
      </w:pPr>
      <w:r>
        <w:t>5、行政办公室根据班组提交资料进行审查，对不符合条件的民工，严禁拒绝招用，现场查核出现未登记民工，按处罚条款处罚施工班组。</w:t>
      </w:r>
    </w:p>
    <w:p w14:paraId="6A4D6096">
      <w:pPr>
        <w:ind w:firstLine="560"/>
      </w:pPr>
      <w:r>
        <w:t>6、因民工的行为违反国家的法律、法规或本项目部制定的规章制度，所造成的一切法律责任和经济责任由民工和其所在班组负责人共同承担。</w:t>
      </w:r>
    </w:p>
    <w:p w14:paraId="7934B5AC">
      <w:pPr>
        <w:ind w:firstLine="560"/>
      </w:pPr>
      <w:r>
        <w:t>7、对首批进场民工，由工区牵头，项目经理部安全科参加进行联合技术交底，并做好交底记录和签认手续。交底内容包括相关作业的质量、安全、工艺及管理等相关内容。</w:t>
      </w:r>
    </w:p>
    <w:p w14:paraId="4471B500">
      <w:pPr>
        <w:ind w:firstLine="560"/>
      </w:pPr>
      <w:r>
        <w:t>8、对新进民工，除履行登记外，由施工班组负责人根据联合技术交底记录进行个别交底，并上报交底签字记录。</w:t>
      </w:r>
    </w:p>
    <w:p w14:paraId="71EC52EB">
      <w:pPr>
        <w:ind w:firstLine="560"/>
      </w:pPr>
      <w:r>
        <w:t>9、民工之间应和睦相处，民工之间因工作或生活关系发生冲突，应该立即上报其班组负责人或现场技术员进行调解。民工之间的暴力冲突，产生对工程的破坏、施工设备破坏、他人伤害，一切后果由发生冲突的双方共同承担外。</w:t>
      </w:r>
    </w:p>
    <w:p w14:paraId="3E0A7833">
      <w:pPr>
        <w:ind w:firstLine="560"/>
      </w:pPr>
      <w:r>
        <w:t>10、民工驻地必须保持清洁卫生，同时个人应收藏好自己的物品，对物品的丢失或被盗而造成的损失民工自行承担。</w:t>
      </w:r>
    </w:p>
    <w:p w14:paraId="1907F4E5">
      <w:pPr>
        <w:ind w:firstLine="560"/>
      </w:pPr>
      <w:r>
        <w:rPr>
          <w:rFonts w:hint="eastAsia"/>
        </w:rPr>
        <w:t>（三）</w:t>
      </w:r>
      <w:r>
        <w:t>项目经理部安全生产职责</w:t>
      </w:r>
    </w:p>
    <w:p w14:paraId="0014E0A3">
      <w:pPr>
        <w:ind w:firstLine="560"/>
      </w:pPr>
      <w:r>
        <w:t>1、贯彻落实国家安全生产法律法规、行业标准及省厅、业主相关加强安全管理文件精神,宣传安全文化，推行安全生产标准化建设。</w:t>
      </w:r>
    </w:p>
    <w:p w14:paraId="21DF6133">
      <w:pPr>
        <w:ind w:firstLine="560"/>
      </w:pPr>
      <w:r>
        <w:t>2、制定相关安全生产规章制度、措施、预案,建立三级安全生产组织机构,建立安全生产技术档案，落实安全责任,负责和施工班组、民工签订安全生产责任合同,组织施工班组进行安全生产技术交底等。</w:t>
      </w:r>
    </w:p>
    <w:p w14:paraId="0354F289">
      <w:pPr>
        <w:ind w:firstLine="560"/>
      </w:pPr>
      <w:r>
        <w:t>3、监督检查施工班组安全组织机构、安全管理人员配置、安全技术管理措施及安全生产责任制的落实情况。督促施工班组民工的劳动保护用品的配备使用情况；</w:t>
      </w:r>
    </w:p>
    <w:p w14:paraId="7002BEE4">
      <w:pPr>
        <w:ind w:firstLine="560"/>
      </w:pPr>
      <w:r>
        <w:t>4、对机械操作手、爆破工、架子工、电工、焊工等特殊工种进行资格审查和培训,分工种建立特殊工种档案。</w:t>
      </w:r>
    </w:p>
    <w:p w14:paraId="730D6D0A">
      <w:pPr>
        <w:ind w:firstLine="560"/>
      </w:pPr>
      <w:r>
        <w:t>5、定期召开经理部相关部门、各工区、各施工班组负责人参加的安全生产例会,通报安全生产情况,分析和解决施工中遇到的安全生产问题，总结推广安全生产、文明生产的先进经验。</w:t>
      </w:r>
    </w:p>
    <w:p w14:paraId="44A00637">
      <w:pPr>
        <w:ind w:firstLine="560"/>
      </w:pPr>
      <w:r>
        <w:t>6、组织安全知识讲座、培训，开展劳动竞赛、安全生产文明施工评比，表彰先进班组、处罚违章行为。</w:t>
      </w:r>
    </w:p>
    <w:p w14:paraId="3AF9CED9">
      <w:pPr>
        <w:ind w:firstLine="560"/>
      </w:pPr>
      <w:r>
        <w:t>7、建立农民工轻伤、重伤、死亡、职业病档案，定期统报，发生事故应立即上报业主及当地有关部门,积极做好抢救工作,并协助有关部门做好事故调查和善后处理工作。</w:t>
      </w:r>
    </w:p>
    <w:p w14:paraId="49C0F4AD">
      <w:pPr>
        <w:ind w:firstLine="560"/>
      </w:pPr>
      <w:r>
        <w:rPr>
          <w:rFonts w:hint="eastAsia"/>
        </w:rPr>
        <w:t>（四）</w:t>
      </w:r>
      <w:r>
        <w:t>施工班组负责人安全生产职责</w:t>
      </w:r>
    </w:p>
    <w:p w14:paraId="16971571">
      <w:pPr>
        <w:ind w:firstLine="560"/>
      </w:pPr>
      <w:r>
        <w:t>1、贯彻执行国家安全生产的方针政策、行业安全生产规定、技术操作规程。</w:t>
      </w:r>
    </w:p>
    <w:p w14:paraId="340D7346">
      <w:pPr>
        <w:ind w:firstLine="560"/>
      </w:pPr>
      <w:r>
        <w:t>2、施工班组的主要负责人是本班组安全生产的第一责任人,施工员对所管辖范围内的安全生产工作负直接责任。</w:t>
      </w:r>
    </w:p>
    <w:p w14:paraId="0822AD60">
      <w:pPr>
        <w:ind w:firstLine="560"/>
      </w:pPr>
      <w:r>
        <w:t>3、负责和民工签订安全生产责任合同,负责民工的安全生产教育,教育民工遵守操作规程,遵章守纪,杜绝"三违"作业,使其掌握本岗位的安全生产操作规程。</w:t>
      </w:r>
    </w:p>
    <w:p w14:paraId="2A2A41B9">
      <w:pPr>
        <w:ind w:firstLine="560"/>
      </w:pPr>
      <w:r>
        <w:t>4、民工驻地和机械停放选址应建在避风、水流上游、山体稳定等安全地带,确保驻地安全。建立严格的值班制度,环境复杂的施工场所、驻地做到24小时有人值班巡查。</w:t>
      </w:r>
    </w:p>
    <w:p w14:paraId="7021EE2C">
      <w:pPr>
        <w:ind w:firstLine="560"/>
      </w:pPr>
      <w:r>
        <w:t>5、安排好民工的作息,严格控制加班加点,做好均衡生产，劳逸结合。</w:t>
      </w:r>
    </w:p>
    <w:p w14:paraId="0775778C">
      <w:pPr>
        <w:ind w:firstLine="560"/>
      </w:pPr>
      <w:r>
        <w:t>6、经常对民工的安全生产情况进行检查,对违章指挥,违章操作,违反劳动纪律的行为,要及时予以纠正或整改。</w:t>
      </w:r>
    </w:p>
    <w:p w14:paraId="45AA9259">
      <w:pPr>
        <w:ind w:firstLine="560"/>
      </w:pPr>
      <w:r>
        <w:t>7、按施工季节、施工环境,做好民工的防触电、防食物中毒、防中暑、防煤气中毒、防坍塌、防滑波、防火灾、防意外伤害等安全预防工作。</w:t>
      </w:r>
    </w:p>
    <w:p w14:paraId="0B8AA7E7">
      <w:pPr>
        <w:ind w:firstLine="560"/>
      </w:pPr>
      <w:r>
        <w:rPr>
          <w:rFonts w:hint="eastAsia"/>
        </w:rPr>
        <w:t>（五）</w:t>
      </w:r>
      <w:r>
        <w:t>民工安全生产职责</w:t>
      </w:r>
    </w:p>
    <w:p w14:paraId="1C9A090D">
      <w:pPr>
        <w:ind w:firstLine="560"/>
      </w:pPr>
      <w:r>
        <w:t>1、自觉遵守国家安全法律、法规和本单位相关规章制度,认真履行安全生产合同。</w:t>
      </w:r>
    </w:p>
    <w:p w14:paraId="7933F121">
      <w:pPr>
        <w:ind w:firstLine="560"/>
      </w:pPr>
      <w:r>
        <w:t>2、民工在施工现场必须服从项目部负责人及现场技术员的合理安排，严禁民工穿拖鞋出入施工现场区域，如有违例者，现场技术员可直接对其批评教育或通知其班组负责人并对其说服教育。</w:t>
      </w:r>
    </w:p>
    <w:p w14:paraId="6CBBE5DE">
      <w:pPr>
        <w:ind w:firstLine="560"/>
      </w:pPr>
      <w:r>
        <w:t>3、民工出入施工现场必须佩戴安全帽，如发现违纪者，现场技术员可对其进行批评教育或通知其班组负责人对其说服教育，经批评教育后仍然拒不改正者，现场技术员可通知其班组负责人将该民工清理出场，由此而产生的遣返费用由民工自行承担。</w:t>
      </w:r>
    </w:p>
    <w:p w14:paraId="58B36426">
      <w:pPr>
        <w:ind w:firstLine="560"/>
      </w:pPr>
      <w:r>
        <w:t>4、参加各种安全生产宣传教育活动、岗位技术培训和事故预案演练活动,学习安全知识和操作技能,不断提高安全生产自我保护意识。</w:t>
      </w:r>
    </w:p>
    <w:p w14:paraId="1EE34592">
      <w:pPr>
        <w:ind w:firstLine="560"/>
      </w:pPr>
      <w:r>
        <w:t>5、作业前要检查机具、设备、环境的安全状况，有权拒绝违章作业的指令，对他人的违章作业,有权力口以劝阻和制止。</w:t>
      </w:r>
    </w:p>
    <w:p w14:paraId="42DFB49D">
      <w:pPr>
        <w:ind w:firstLine="560"/>
      </w:pPr>
      <w:r>
        <w:t>6、按有关规范要求正确使用劳动保护用品、用具及防护器材，精心维护和使用机械设备,保持作业环境整洁，搞好文明生产。</w:t>
      </w:r>
    </w:p>
    <w:p w14:paraId="69459D7A">
      <w:pPr>
        <w:ind w:firstLine="560"/>
      </w:pPr>
      <w:r>
        <w:t>7、发生事故后要立即上报,保护好现场,积极参加事故抢救,协助有关部门做好事故调查工作。</w:t>
      </w:r>
    </w:p>
    <w:p w14:paraId="24EB4E20">
      <w:pPr>
        <w:ind w:firstLine="560"/>
      </w:pPr>
      <w:r>
        <w:rPr>
          <w:rFonts w:hint="eastAsia"/>
        </w:rPr>
        <w:t>（六）</w:t>
      </w:r>
      <w:r>
        <w:t>民工工资管理</w:t>
      </w:r>
    </w:p>
    <w:p w14:paraId="63F29F40">
      <w:pPr>
        <w:ind w:firstLine="560"/>
      </w:pPr>
      <w:r>
        <w:t>1、为了保障民工的利益，班组负责人应该按时必须按时对管理民工工资造册，不得无故拖延时间。</w:t>
      </w:r>
    </w:p>
    <w:p w14:paraId="4A7C03FD">
      <w:pPr>
        <w:ind w:firstLine="560"/>
      </w:pPr>
      <w:r>
        <w:t>2、民工工资发放问题，项目经理是民工工资发放的第一责任人，分管技术员是管辖班组的第一责任人，对应班组负责人是第一责任人。</w:t>
      </w:r>
    </w:p>
    <w:p w14:paraId="15E3F6A5">
      <w:pPr>
        <w:ind w:firstLine="560"/>
      </w:pPr>
      <w:r>
        <w:t>3、民工工资原则上由班组负责人负责按时造册，项目经理部部财务部统一发放，部门负责人和分管技术员执行监督。</w:t>
      </w:r>
    </w:p>
    <w:p w14:paraId="2F8219BF">
      <w:pPr>
        <w:ind w:firstLine="560"/>
      </w:pPr>
      <w:r>
        <w:t>4、因民工工资拖欠造成项目经理部部责任人被举报或民工闹事，一切损失由分管技术员和班组负责人共同承担，同时民工保证金作为处罚金。</w:t>
      </w:r>
    </w:p>
    <w:p w14:paraId="692E8ACB">
      <w:pPr>
        <w:ind w:firstLine="560"/>
      </w:pPr>
      <w:r>
        <w:t>5、因行办提供名单和数据不准确造成的后果由行办负责人全部负责，因现场技术员监督不到位或工作失职由其本人自行负责。</w:t>
      </w:r>
    </w:p>
    <w:p w14:paraId="6DD51399">
      <w:pPr>
        <w:ind w:firstLine="560"/>
      </w:pPr>
      <w:r>
        <w:t>6、民工工资发放统一采用项目经理部规定的《民工工资发放表》</w:t>
      </w:r>
    </w:p>
    <w:p w14:paraId="181B011E">
      <w:pPr>
        <w:ind w:firstLine="560"/>
      </w:pPr>
      <w:r>
        <w:t>7、发放民工必须透明公开，严格按下述流程办理：</w:t>
      </w:r>
    </w:p>
    <w:p w14:paraId="3B03C69F">
      <w:pPr>
        <w:ind w:firstLine="560"/>
      </w:pPr>
      <w:r>
        <w:rPr>
          <w:rFonts w:hint="eastAsia"/>
        </w:rPr>
        <w:t>①民工在班组负责人的带领下施工；</w:t>
      </w:r>
    </w:p>
    <w:p w14:paraId="57D767C6">
      <w:pPr>
        <w:ind w:firstLine="560"/>
      </w:pPr>
      <w:r>
        <w:rPr>
          <w:rFonts w:hint="eastAsia"/>
        </w:rPr>
        <w:t>②现场技术员根据班组完成工作情况开出计量单；</w:t>
      </w:r>
    </w:p>
    <w:p w14:paraId="53E4DDA4">
      <w:pPr>
        <w:ind w:firstLine="560"/>
      </w:pPr>
      <w:r>
        <w:rPr>
          <w:rFonts w:hint="eastAsia"/>
        </w:rPr>
        <w:t>③项目经理部工程计划部复核后开出计价领款书；</w:t>
      </w:r>
    </w:p>
    <w:p w14:paraId="71A9CEDC">
      <w:pPr>
        <w:ind w:firstLine="560"/>
      </w:pPr>
      <w:r>
        <w:rPr>
          <w:rFonts w:hint="eastAsia"/>
        </w:rPr>
        <w:t>④施工班组负责人按实造册，报送行政办公室，行办对应班组民工档案信息进行核实；</w:t>
      </w:r>
    </w:p>
    <w:p w14:paraId="6F49F253">
      <w:pPr>
        <w:ind w:firstLine="560"/>
      </w:pPr>
      <w:r>
        <w:rPr>
          <w:rFonts w:hint="eastAsia"/>
        </w:rPr>
        <w:t>⑤现场技术员对具体工作量核实后报送经理部工程计划部；</w:t>
      </w:r>
    </w:p>
    <w:p w14:paraId="2CD8538A">
      <w:pPr>
        <w:ind w:firstLine="560"/>
      </w:pPr>
      <w:r>
        <w:rPr>
          <w:rFonts w:hint="eastAsia"/>
        </w:rPr>
        <w:t>⑥工程计划部根据行办和现场技术员提供数据进行民工工资保证金扣留；</w:t>
      </w:r>
    </w:p>
    <w:p w14:paraId="541C08FE">
      <w:pPr>
        <w:ind w:firstLine="560"/>
      </w:pPr>
      <w:r>
        <w:rPr>
          <w:rFonts w:hint="eastAsia"/>
        </w:rPr>
        <w:t>⑦施工班组在现场张榜工资发放公告；</w:t>
      </w:r>
    </w:p>
    <w:p w14:paraId="3A03C724">
      <w:pPr>
        <w:ind w:firstLine="560"/>
      </w:pPr>
      <w:r>
        <w:rPr>
          <w:rFonts w:hint="eastAsia"/>
        </w:rPr>
        <w:t>⑧民工本人提供身份证原件，项目经理部财务部按照民工工资发放册对照进行工资发放；</w:t>
      </w:r>
    </w:p>
    <w:p w14:paraId="33F45253">
      <w:pPr>
        <w:ind w:firstLine="560"/>
      </w:pPr>
      <w:r>
        <w:rPr>
          <w:rFonts w:hint="eastAsia"/>
        </w:rPr>
        <w:t>⑨民工工资发放完毕，经理部返还施工班组保证金。</w:t>
      </w:r>
    </w:p>
    <w:p w14:paraId="37DD2995">
      <w:pPr>
        <w:ind w:firstLine="560"/>
      </w:pPr>
      <w:r>
        <w:rPr>
          <w:rFonts w:hint="eastAsia"/>
        </w:rPr>
        <w:t>（七）奖罚规定</w:t>
      </w:r>
    </w:p>
    <w:p w14:paraId="0F3C7093">
      <w:pPr>
        <w:ind w:firstLine="560"/>
      </w:pPr>
      <w:r>
        <w:rPr>
          <w:rFonts w:hint="eastAsia"/>
        </w:rPr>
        <w:t>1、对拒绝填报民工登记表的民工予以清除出场，对填报信息不准确的民工予以班组长通报批评并重新填报。</w:t>
      </w:r>
    </w:p>
    <w:p w14:paraId="3B365407">
      <w:pPr>
        <w:ind w:firstLine="560"/>
      </w:pPr>
      <w:r>
        <w:rPr>
          <w:rFonts w:hint="eastAsia"/>
        </w:rPr>
        <w:t>2、施工中无故辱骂技术员的民工，对班组负责人处以50～100元的罚款；殴打现场技术员或分管技术员的民工，除对该民工清除出场外，另除以班组负责人1000～3000元罚款，同时所有损失由民工班组负责人负责。</w:t>
      </w:r>
    </w:p>
    <w:p w14:paraId="0EF32531">
      <w:pPr>
        <w:ind w:firstLine="560"/>
      </w:pPr>
      <w:r>
        <w:rPr>
          <w:rFonts w:hint="eastAsia"/>
        </w:rPr>
        <w:t>3、施工过程中，发现酒后上班的民工，对本人除以20～50元罚款，同时对班组长处以100～500元的罚款。</w:t>
      </w:r>
    </w:p>
    <w:p w14:paraId="6138BCD4">
      <w:pPr>
        <w:ind w:firstLine="560"/>
      </w:pPr>
      <w:r>
        <w:rPr>
          <w:rFonts w:hint="eastAsia"/>
        </w:rPr>
        <w:t>4、对不服从管理的民工，施工过程中违反相关安全、环保、行政管理规定的民工，按照相关处罚规定予以处罚，同时处罚记录进入其档案。</w:t>
      </w:r>
    </w:p>
    <w:p w14:paraId="56796B86">
      <w:pPr>
        <w:ind w:firstLine="560"/>
      </w:pPr>
      <w:r>
        <w:rPr>
          <w:rFonts w:hint="eastAsia"/>
        </w:rPr>
        <w:t>1）累计两次不听安排或违章的民工，其本人和班组负责人在本合同段内通报批评的处分，处分将载入民工档案，并对其进行批评教育。</w:t>
      </w:r>
    </w:p>
    <w:p w14:paraId="0B140A5D">
      <w:pPr>
        <w:ind w:firstLine="560"/>
      </w:pPr>
      <w:r>
        <w:rPr>
          <w:rFonts w:hint="eastAsia"/>
        </w:rPr>
        <w:t>2）累计三次不听安排的民工将被清理出场，由此产生的一切费用由该民工自行承担。</w:t>
      </w:r>
    </w:p>
    <w:p w14:paraId="13A48EEB">
      <w:pPr>
        <w:ind w:firstLine="560"/>
      </w:pPr>
      <w:r>
        <w:rPr>
          <w:rFonts w:hint="eastAsia"/>
        </w:rPr>
        <w:t>5、施工中对表现优秀、组织能力较强、吃苦耐劳的民工，项目经理部在举办专项技术培训时优先考虑；</w:t>
      </w:r>
    </w:p>
    <w:p w14:paraId="43579A60">
      <w:pPr>
        <w:ind w:firstLine="560"/>
      </w:pPr>
      <w:r>
        <w:rPr>
          <w:rFonts w:hint="eastAsia"/>
        </w:rPr>
        <w:t>6、民工在年度考核中，无违纪违规记录，计划生育方面满足总公司规定的，优先列入工会举办的计划生育扶贫对象；</w:t>
      </w:r>
    </w:p>
    <w:p w14:paraId="2CF1448B">
      <w:pPr>
        <w:ind w:firstLine="560"/>
      </w:pPr>
      <w:r>
        <w:rPr>
          <w:rFonts w:hint="eastAsia"/>
        </w:rPr>
        <w:t>7、年终总结中，由各班组推荐优秀民工，项目经理部按照当年文件和具体安排予以适当的物资奖励。</w:t>
      </w:r>
    </w:p>
    <w:p w14:paraId="0D569D47">
      <w:pPr>
        <w:pStyle w:val="5"/>
        <w:spacing w:before="31" w:after="31"/>
        <w:ind w:firstLine="562"/>
      </w:pPr>
      <w:bookmarkStart w:id="9387" w:name="_Toc16583"/>
      <w:bookmarkStart w:id="9388" w:name="_Toc19196"/>
      <w:bookmarkStart w:id="9389" w:name="_Toc12046"/>
      <w:bookmarkStart w:id="9390" w:name="_Toc3963"/>
      <w:bookmarkStart w:id="9391" w:name="_Toc6457"/>
      <w:bookmarkStart w:id="9392" w:name="_Toc17346"/>
      <w:bookmarkStart w:id="9393" w:name="_Toc21744"/>
      <w:bookmarkStart w:id="9394" w:name="_Toc3981"/>
      <w:bookmarkStart w:id="9395" w:name="_Toc32755"/>
      <w:bookmarkStart w:id="9396" w:name="_Toc12573"/>
      <w:bookmarkStart w:id="9397" w:name="_Toc29414"/>
      <w:bookmarkStart w:id="9398" w:name="_Toc29948"/>
      <w:bookmarkStart w:id="9399" w:name="_Toc605"/>
      <w:bookmarkStart w:id="9400" w:name="_Toc22429"/>
      <w:bookmarkStart w:id="9401" w:name="_Toc12863"/>
      <w:bookmarkStart w:id="9402" w:name="_Toc23585"/>
      <w:bookmarkStart w:id="9403" w:name="_Toc10244"/>
      <w:bookmarkStart w:id="9404" w:name="_Toc17573"/>
      <w:bookmarkStart w:id="9405" w:name="_Toc12069"/>
      <w:bookmarkStart w:id="9406" w:name="_Toc448"/>
      <w:bookmarkStart w:id="9407" w:name="_Toc3169"/>
      <w:bookmarkStart w:id="9408" w:name="_Toc21192"/>
      <w:bookmarkStart w:id="9409" w:name="_Toc2057"/>
      <w:bookmarkStart w:id="9410" w:name="_Toc8417"/>
      <w:bookmarkStart w:id="9411" w:name="_Toc17342"/>
      <w:bookmarkStart w:id="9412" w:name="_Toc31404"/>
      <w:bookmarkStart w:id="9413" w:name="_Toc3804"/>
      <w:bookmarkStart w:id="9414" w:name="_Toc23794"/>
      <w:bookmarkStart w:id="9415" w:name="_Toc19140"/>
      <w:bookmarkStart w:id="9416" w:name="_Toc12298"/>
      <w:bookmarkStart w:id="9417" w:name="_Toc26725"/>
      <w:bookmarkStart w:id="9418" w:name="_Toc6370"/>
      <w:bookmarkStart w:id="9419" w:name="_Toc10402"/>
      <w:bookmarkStart w:id="9420" w:name="_Toc4302"/>
      <w:bookmarkStart w:id="9421" w:name="_Toc27730"/>
      <w:bookmarkStart w:id="9422" w:name="_Toc25075"/>
      <w:bookmarkStart w:id="9423" w:name="_Toc18712"/>
      <w:bookmarkStart w:id="9424" w:name="_Toc26445"/>
      <w:bookmarkStart w:id="9425" w:name="_Toc27998"/>
      <w:bookmarkStart w:id="9426" w:name="_Toc27512"/>
      <w:bookmarkStart w:id="9427" w:name="_Toc25966"/>
      <w:bookmarkStart w:id="9428" w:name="_Toc5079"/>
      <w:bookmarkStart w:id="9429" w:name="_Toc14654"/>
      <w:bookmarkStart w:id="9430" w:name="_Toc28094"/>
      <w:bookmarkStart w:id="9431" w:name="_Toc31497"/>
      <w:bookmarkStart w:id="9432" w:name="_Toc29092"/>
      <w:bookmarkStart w:id="9433" w:name="_Toc10835"/>
      <w:bookmarkStart w:id="9434" w:name="_Toc15756"/>
      <w:bookmarkStart w:id="9435" w:name="_Toc2532"/>
      <w:bookmarkStart w:id="9436" w:name="_Toc13747"/>
      <w:bookmarkStart w:id="9437" w:name="_Toc17901"/>
      <w:bookmarkStart w:id="9438" w:name="_Toc4443"/>
      <w:r>
        <w:rPr>
          <w:rFonts w:hint="eastAsia"/>
        </w:rPr>
        <w:t>（八）资金管理制度</w:t>
      </w:r>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p>
    <w:p w14:paraId="2C66F573">
      <w:pPr>
        <w:ind w:firstLine="560"/>
      </w:pPr>
      <w:r>
        <w:rPr>
          <w:rFonts w:hint="eastAsia"/>
        </w:rPr>
        <w:t>一）资金安全管理</w:t>
      </w:r>
    </w:p>
    <w:p w14:paraId="4ED64A16">
      <w:pPr>
        <w:ind w:firstLine="560"/>
      </w:pPr>
      <w:r>
        <w:rPr>
          <w:rFonts w:hint="eastAsia"/>
        </w:rPr>
        <w:t>1、为进一步加强公司资金管理,加快资金周转,提高资金使用效率,降低财务成本,保证资金安全,根据财政部《内部会计控制规范》及公司财务管理制度等规定,特制定本制度。</w:t>
      </w:r>
    </w:p>
    <w:p w14:paraId="280DBBBE">
      <w:pPr>
        <w:ind w:firstLine="560"/>
      </w:pPr>
      <w:r>
        <w:rPr>
          <w:rFonts w:hint="eastAsia"/>
        </w:rPr>
        <w:t>2、本制度所称资金包括公司在生产、经营、筹资、投资活动中所有流入和流出的全部资金。</w:t>
      </w:r>
    </w:p>
    <w:p w14:paraId="7DB5F03B">
      <w:pPr>
        <w:ind w:firstLine="560"/>
      </w:pPr>
      <w:r>
        <w:rPr>
          <w:rFonts w:hint="eastAsia"/>
        </w:rPr>
        <w:t>3、财务部是公司资金管理中心,负责公司资金预算编制的组织、协调;资金筹及使用监督;资金风险控制等工作。</w:t>
      </w:r>
    </w:p>
    <w:p w14:paraId="773E9689">
      <w:pPr>
        <w:ind w:firstLine="560"/>
      </w:pPr>
      <w:r>
        <w:rPr>
          <w:rFonts w:hint="eastAsia"/>
        </w:rPr>
        <w:t>4、公司资金收支实行“一支笔”制度,即在公司授权总经理的情况下,公司的全部资金收支须经总经理签字后方可办理。</w:t>
      </w:r>
    </w:p>
    <w:p w14:paraId="77F34999">
      <w:pPr>
        <w:ind w:firstLine="560"/>
      </w:pPr>
      <w:r>
        <w:rPr>
          <w:rFonts w:hint="eastAsia"/>
        </w:rPr>
        <w:t>二）资金预算管理</w:t>
      </w:r>
    </w:p>
    <w:p w14:paraId="5A719A04">
      <w:pPr>
        <w:ind w:firstLine="560"/>
      </w:pPr>
      <w:r>
        <w:rPr>
          <w:rFonts w:hint="eastAsia"/>
        </w:rPr>
        <w:t>1、公司内部实行资金集中统一管理、全额预算制度公司所有资金流入和流出全部纳入预算管理范围。</w:t>
      </w:r>
    </w:p>
    <w:p w14:paraId="092700DF">
      <w:pPr>
        <w:ind w:firstLine="560"/>
      </w:pPr>
      <w:r>
        <w:rPr>
          <w:rFonts w:hint="eastAsia"/>
        </w:rPr>
        <w:t>2、公司各部门负责人是本部门资金预算的第一责任人,负责本部门资金预算的组织编制、报送工作。</w:t>
      </w:r>
    </w:p>
    <w:p w14:paraId="4E14491B">
      <w:pPr>
        <w:ind w:firstLine="560"/>
      </w:pPr>
      <w:r>
        <w:rPr>
          <w:rFonts w:hint="eastAsia"/>
        </w:rPr>
        <w:t>3、资金预算的编制及报送程序</w:t>
      </w:r>
    </w:p>
    <w:p w14:paraId="01E9BE54">
      <w:pPr>
        <w:ind w:firstLine="560"/>
      </w:pPr>
      <w:r>
        <w:rPr>
          <w:rFonts w:hint="eastAsia"/>
        </w:rPr>
        <w:t>1）资金预算编制程序:各部门根据本部门每月、每季、每年的资金需求情况,编制本部门的月度、季度、年度资金使用计划。财务部根据各部门的月度、季度、年度资金预算编制公司当月、季、年度的资金预算。</w:t>
      </w:r>
    </w:p>
    <w:p w14:paraId="4CD37E94">
      <w:pPr>
        <w:ind w:firstLine="560"/>
      </w:pPr>
      <w:r>
        <w:rPr>
          <w:rFonts w:hint="eastAsia"/>
        </w:rPr>
        <w:t>2）报送部门:各部门的月度、季度和年度资金预算以各部门为报送单位。公司的月度、季度和年度资金预算以财务部为报送单位。各报送部门应当对所报送的资金预算负责。</w:t>
      </w:r>
    </w:p>
    <w:p w14:paraId="1FAEACD7">
      <w:pPr>
        <w:ind w:firstLine="560"/>
      </w:pPr>
      <w:r>
        <w:rPr>
          <w:rFonts w:hint="eastAsia"/>
        </w:rPr>
        <w:t>3）报送时间:各部门应当在每月25日前将本部门的下月资金预算报财务部。财务部应当在28日前将各部门所报送的资金预算汇总,形成公司下月的资金预算,连同各部门的资金预算一并报总经理审批;并在30日前向各部门下达公司审批的资金预算。</w:t>
      </w:r>
    </w:p>
    <w:p w14:paraId="0A8B7A5D">
      <w:pPr>
        <w:ind w:firstLine="560"/>
      </w:pPr>
      <w:r>
        <w:rPr>
          <w:rFonts w:hint="eastAsia"/>
        </w:rPr>
        <w:t>(1)各部门应当在每年的12月20日一25日组织编制和报送本部门下一年度的资金预算,财务部应当在12月26日31日完成汇总,各部门(含财务部)应当按照本办法第七条1规定的程序报送。</w:t>
      </w:r>
    </w:p>
    <w:p w14:paraId="29D526CD">
      <w:pPr>
        <w:ind w:firstLine="560"/>
      </w:pPr>
      <w:r>
        <w:rPr>
          <w:rFonts w:hint="eastAsia"/>
        </w:rPr>
        <w:t>(2)如遇资金预算的调整,调整的部门应当在计划调整确定后2日内向财务部补报资金预算。</w:t>
      </w:r>
    </w:p>
    <w:p w14:paraId="07CCEDE5">
      <w:pPr>
        <w:ind w:firstLine="560"/>
      </w:pPr>
      <w:r>
        <w:rPr>
          <w:rFonts w:hint="eastAsia"/>
        </w:rPr>
        <w:t>4、报送方式:</w:t>
      </w:r>
    </w:p>
    <w:p w14:paraId="6F6E9481">
      <w:pPr>
        <w:ind w:firstLine="560"/>
      </w:pPr>
      <w:r>
        <w:rPr>
          <w:rFonts w:hint="eastAsia"/>
        </w:rPr>
        <w:t>(1)总经理办公室、人力资源部、前期部、销售部、策划部、规划设计部、合约部、审算部、材料部、工程部(不含工程进度款)的资金预算经主管副总经审批后报财务部。</w:t>
      </w:r>
    </w:p>
    <w:p w14:paraId="6F4F1F1C">
      <w:pPr>
        <w:ind w:firstLine="560"/>
      </w:pPr>
      <w:r>
        <w:rPr>
          <w:rFonts w:hint="eastAsia"/>
        </w:rPr>
        <w:t>(2)工程进度的资金预算由工程部按照合同的约定、工程进度形象计划及预计将发生的合同项目报审算部,由审算部负责汇总、审核并编制工程类资金预算后,反馈回工程部确认后报财务部。</w:t>
      </w:r>
    </w:p>
    <w:p w14:paraId="299077DF">
      <w:pPr>
        <w:ind w:firstLine="560"/>
      </w:pPr>
      <w:r>
        <w:rPr>
          <w:rFonts w:hint="eastAsia"/>
        </w:rPr>
        <w:t>(3)各部门编制的资金预算(含变更计划)应当由部门负责人签署,报主管副总经理审批后报送。资金预算应当按公司规定的标准文件格式报送(见《企业管理工作流程》)</w:t>
      </w:r>
    </w:p>
    <w:p w14:paraId="43C5AF3C">
      <w:pPr>
        <w:ind w:firstLine="560"/>
      </w:pPr>
      <w:r>
        <w:rPr>
          <w:rFonts w:hint="eastAsia"/>
        </w:rPr>
        <w:t>5、报送程序:各部门负责人提出→主管副总经理审批→财务部资金预算会计汇总一财务部经理审核→财务总监审查→总经理审批→返回财务部→常务副总经理阅知→下达给各部门负责人。公司审批后下发的资金预算将作为财务部付款的重要依据,原则上无计划不付款。报送程序中的所有相关审核人员应在当日内完成审核。</w:t>
      </w:r>
    </w:p>
    <w:p w14:paraId="672ED4E2">
      <w:pPr>
        <w:ind w:firstLine="560"/>
      </w:pPr>
      <w:r>
        <w:rPr>
          <w:rFonts w:hint="eastAsia"/>
        </w:rPr>
        <w:t>6、报送要求:</w:t>
      </w:r>
    </w:p>
    <w:p w14:paraId="3FA704D8">
      <w:pPr>
        <w:ind w:firstLine="560"/>
      </w:pPr>
      <w:r>
        <w:rPr>
          <w:rFonts w:hint="eastAsia"/>
        </w:rPr>
        <w:t>(1)各部门应当严格按照《资金预算表》要求的内容真实、准确地填报。</w:t>
      </w:r>
    </w:p>
    <w:p w14:paraId="6A2FBFFE">
      <w:pPr>
        <w:ind w:firstLine="560"/>
      </w:pPr>
      <w:r>
        <w:rPr>
          <w:rFonts w:hint="eastAsia"/>
        </w:rPr>
        <w:t>(2)《资金预算表》后应当附有资金使用的相关资料,如合同、工程结算书、公司副总经理及总经理的批示和工作计划等。</w:t>
      </w:r>
    </w:p>
    <w:p w14:paraId="4E81D7DA">
      <w:pPr>
        <w:ind w:firstLine="560"/>
      </w:pPr>
      <w:r>
        <w:rPr>
          <w:rFonts w:hint="eastAsia"/>
        </w:rPr>
        <w:t>(3)在制定资金预算时,相关资料还无法取得的不在此限,但应当将不确定的原因予以注明。</w:t>
      </w:r>
    </w:p>
    <w:p w14:paraId="13808ED2">
      <w:pPr>
        <w:ind w:firstLine="560"/>
      </w:pPr>
      <w:r>
        <w:rPr>
          <w:rFonts w:hint="eastAsia"/>
        </w:rPr>
        <w:t>(4)销售部除按上述要求办理外,还应当附《月度回款计划表》</w:t>
      </w:r>
    </w:p>
    <w:p w14:paraId="39861610">
      <w:pPr>
        <w:ind w:firstLine="560"/>
      </w:pPr>
      <w:r>
        <w:rPr>
          <w:rFonts w:hint="eastAsia"/>
        </w:rPr>
        <w:t>7、管辖原则:为明确各部门编制、报送资金预算的权限,避免重复报送和职责不清,资金预算应当由合同经办部门(工程项目除外)负责申报。如所报送的资金预算需要相关部门复审的,应当在报送前征求相关部门的书面见。</w:t>
      </w:r>
    </w:p>
    <w:p w14:paraId="34B27F15">
      <w:pPr>
        <w:ind w:firstLine="560"/>
      </w:pPr>
      <w:r>
        <w:rPr>
          <w:rFonts w:hint="eastAsia"/>
        </w:rPr>
        <w:t>8、资金预算执行情况的分析</w:t>
      </w:r>
    </w:p>
    <w:p w14:paraId="4708373A">
      <w:pPr>
        <w:ind w:firstLine="560"/>
      </w:pPr>
      <w:r>
        <w:rPr>
          <w:rFonts w:hint="eastAsia"/>
        </w:rPr>
        <w:t>(1)、财务部应当在每月10日前将上月资金预算的执行情况进行分析,并将情况分析报告向部门经理级以上的管理人员公布,同时报送总经理。</w:t>
      </w:r>
    </w:p>
    <w:p w14:paraId="340786AC">
      <w:pPr>
        <w:ind w:firstLine="560"/>
      </w:pPr>
      <w:r>
        <w:rPr>
          <w:rFonts w:hint="eastAsia"/>
        </w:rPr>
        <w:t>(2)、各部门负责人应当针对财务部资金预算执行情况的分析报告,及时总结本部门在编制、报送和执行资金预算方面存在的问题,以便完善资金预算制度。公司各副总经理应当对所主管的部门的资金预算负有核定和监督责任。</w:t>
      </w:r>
    </w:p>
    <w:p w14:paraId="57DF250B">
      <w:pPr>
        <w:ind w:firstLine="560"/>
      </w:pPr>
      <w:r>
        <w:rPr>
          <w:rFonts w:hint="eastAsia"/>
        </w:rPr>
        <w:t>9、预算外资金的特别规定</w:t>
      </w:r>
    </w:p>
    <w:p w14:paraId="0E297A42">
      <w:pPr>
        <w:ind w:firstLine="560"/>
      </w:pPr>
      <w:r>
        <w:rPr>
          <w:rFonts w:hint="eastAsia"/>
        </w:rPr>
        <w:t>1）由于非各部门的原因而未列入资金预算,以及公司总经理临时交办的事项而使用的资金为计划外资金。公司严格控制和尽可能地避免预算外资金的使用。</w:t>
      </w:r>
    </w:p>
    <w:p w14:paraId="6CE91957">
      <w:pPr>
        <w:ind w:firstLine="560"/>
      </w:pPr>
      <w:r>
        <w:rPr>
          <w:rFonts w:hint="eastAsia"/>
        </w:rPr>
        <w:t>2)预算外资金使用应按照公司总经理的要求办理。同时按照公司相应的规定办理。</w:t>
      </w:r>
    </w:p>
    <w:p w14:paraId="0416E502">
      <w:pPr>
        <w:ind w:firstLine="560"/>
      </w:pPr>
      <w:r>
        <w:rPr>
          <w:rFonts w:hint="eastAsia"/>
        </w:rPr>
        <w:t>3)公司财务部应当在每月3日前将上月预算外资金的支出情况汇总,并报总经理审阅。并应当在会计年度终了的15日内,将本年度的预算外资金支收情况汇总,并报总经理审阅。</w:t>
      </w:r>
    </w:p>
    <w:p w14:paraId="461C6715">
      <w:pPr>
        <w:ind w:firstLine="560"/>
      </w:pPr>
      <w:r>
        <w:rPr>
          <w:rFonts w:hint="eastAsia"/>
        </w:rPr>
        <w:t>10、资金预算是公司重要文件,属商业秘密。任何部门或员工均不得对外泄漏本部门及公司的资金预算。如有对外泄漏资金预算的情形,由公司总经理办公室按公司的侵犯商业秘密等有关规定处理。</w:t>
      </w:r>
    </w:p>
    <w:p w14:paraId="633980CF">
      <w:pPr>
        <w:ind w:firstLine="560"/>
      </w:pPr>
      <w:r>
        <w:rPr>
          <w:rFonts w:hint="eastAsia"/>
        </w:rPr>
        <w:t>11、资金预算的阅读范围如下:公司总经理、常务副总经理、副总经理、财务总监、各部门负责人、财务部资金主管会计。</w:t>
      </w:r>
    </w:p>
    <w:p w14:paraId="5EACCC58">
      <w:pPr>
        <w:ind w:firstLine="560"/>
      </w:pPr>
      <w:r>
        <w:rPr>
          <w:rFonts w:hint="eastAsia"/>
        </w:rPr>
        <w:t>12、公司各级管理人员应当充分重视资金预算的编制、报送和执行等情况。资金预算编制的准确性、科学性及合理性,以及报送的及时性将列入公司年终对各部门的考核内容。并作为考核公司部门负责人管理能力的重要内容之一。</w:t>
      </w:r>
    </w:p>
    <w:p w14:paraId="50DC8331">
      <w:pPr>
        <w:pStyle w:val="5"/>
        <w:spacing w:before="31" w:after="31"/>
        <w:ind w:firstLine="562"/>
      </w:pPr>
      <w:bookmarkStart w:id="9439" w:name="_Toc22895"/>
      <w:bookmarkStart w:id="9440" w:name="_Toc573"/>
      <w:bookmarkStart w:id="9441" w:name="_Toc30672"/>
      <w:bookmarkStart w:id="9442" w:name="_Toc17425"/>
      <w:bookmarkStart w:id="9443" w:name="_Toc4664"/>
      <w:bookmarkStart w:id="9444" w:name="_Toc3193"/>
      <w:bookmarkStart w:id="9445" w:name="_Toc12075"/>
      <w:bookmarkStart w:id="9446" w:name="_Toc30135"/>
      <w:bookmarkStart w:id="9447" w:name="_Toc31899"/>
      <w:bookmarkStart w:id="9448" w:name="_Toc4820"/>
      <w:bookmarkStart w:id="9449" w:name="_Toc24134"/>
      <w:bookmarkStart w:id="9450" w:name="_Toc26475"/>
      <w:bookmarkStart w:id="9451" w:name="_Toc9716"/>
      <w:bookmarkStart w:id="9452" w:name="_Toc30309"/>
      <w:bookmarkStart w:id="9453" w:name="_Toc18985"/>
      <w:bookmarkStart w:id="9454" w:name="_Toc6669"/>
      <w:bookmarkStart w:id="9455" w:name="_Toc11843"/>
      <w:bookmarkStart w:id="9456" w:name="_Toc1110"/>
      <w:bookmarkStart w:id="9457" w:name="_Toc25807"/>
      <w:bookmarkStart w:id="9458" w:name="_Toc18601"/>
      <w:bookmarkStart w:id="9459" w:name="_Toc1826"/>
      <w:bookmarkStart w:id="9460" w:name="_Toc2003"/>
      <w:bookmarkStart w:id="9461" w:name="_Toc11615"/>
      <w:bookmarkStart w:id="9462" w:name="_Toc23938"/>
      <w:bookmarkStart w:id="9463" w:name="_Toc31934"/>
      <w:bookmarkStart w:id="9464" w:name="_Toc29408"/>
      <w:bookmarkStart w:id="9465" w:name="_Toc20932"/>
      <w:bookmarkStart w:id="9466" w:name="_Toc12142"/>
      <w:bookmarkStart w:id="9467" w:name="_Toc21182"/>
      <w:bookmarkStart w:id="9468" w:name="_Toc14892"/>
      <w:bookmarkStart w:id="9469" w:name="_Toc32459"/>
      <w:bookmarkStart w:id="9470" w:name="_Toc28481"/>
      <w:bookmarkStart w:id="9471" w:name="_Toc15708"/>
      <w:bookmarkStart w:id="9472" w:name="_Toc10222"/>
      <w:bookmarkStart w:id="9473" w:name="_Toc29379"/>
      <w:bookmarkStart w:id="9474" w:name="_Toc21365"/>
      <w:bookmarkStart w:id="9475" w:name="_Toc31288"/>
      <w:bookmarkStart w:id="9476" w:name="_Toc13533"/>
      <w:bookmarkStart w:id="9477" w:name="_Toc20438"/>
      <w:bookmarkStart w:id="9478" w:name="_Toc9485"/>
      <w:bookmarkStart w:id="9479" w:name="_Toc22241"/>
      <w:bookmarkStart w:id="9480" w:name="_Toc10455"/>
      <w:bookmarkStart w:id="9481" w:name="_Toc11306"/>
      <w:bookmarkStart w:id="9482" w:name="_Toc14293"/>
      <w:bookmarkStart w:id="9483" w:name="_Toc4795"/>
      <w:bookmarkStart w:id="9484" w:name="_Toc20325"/>
      <w:bookmarkStart w:id="9485" w:name="_Toc1328"/>
      <w:bookmarkStart w:id="9486" w:name="_Toc12301"/>
      <w:bookmarkStart w:id="9487" w:name="_Toc29182"/>
      <w:bookmarkStart w:id="9488" w:name="_Toc21737"/>
      <w:bookmarkStart w:id="9489" w:name="_Toc6126"/>
      <w:bookmarkStart w:id="9490" w:name="_Toc5952"/>
      <w:bookmarkStart w:id="9491" w:name="_Toc30476"/>
      <w:bookmarkStart w:id="9492" w:name="_Toc15435"/>
      <w:bookmarkStart w:id="9493" w:name="_Toc8820"/>
      <w:r>
        <w:rPr>
          <w:rFonts w:hint="eastAsia"/>
        </w:rPr>
        <w:t>（九）农民工工资管理制度</w:t>
      </w:r>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p>
    <w:p w14:paraId="11505649">
      <w:pPr>
        <w:ind w:firstLine="560"/>
      </w:pPr>
      <w:r>
        <w:rPr>
          <w:rFonts w:hint="eastAsia"/>
        </w:rPr>
        <w:t>一）建立劳务管理机制</w:t>
      </w:r>
    </w:p>
    <w:p w14:paraId="7A17269A">
      <w:pPr>
        <w:pStyle w:val="18"/>
      </w:pPr>
      <w:r>
        <w:rPr>
          <w:lang w:val="en-US" w:bidi="ar-SA"/>
        </w:rPr>
        <w:drawing>
          <wp:inline distT="0" distB="0" distL="114300" distR="114300">
            <wp:extent cx="5271135" cy="3752850"/>
            <wp:effectExtent l="0" t="0" r="5715" b="0"/>
            <wp:docPr id="4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8"/>
                    <pic:cNvPicPr>
                      <a:picLocks noChangeAspect="1"/>
                    </pic:cNvPicPr>
                  </pic:nvPicPr>
                  <pic:blipFill>
                    <a:blip r:embed="rId77">
                      <a:grayscl/>
                    </a:blip>
                    <a:stretch>
                      <a:fillRect/>
                    </a:stretch>
                  </pic:blipFill>
                  <pic:spPr>
                    <a:xfrm>
                      <a:off x="0" y="0"/>
                      <a:ext cx="5271135" cy="3752850"/>
                    </a:xfrm>
                    <a:prstGeom prst="rect">
                      <a:avLst/>
                    </a:prstGeom>
                    <a:noFill/>
                    <a:ln>
                      <a:noFill/>
                    </a:ln>
                  </pic:spPr>
                </pic:pic>
              </a:graphicData>
            </a:graphic>
          </wp:inline>
        </w:drawing>
      </w:r>
    </w:p>
    <w:p w14:paraId="18C643FB">
      <w:pPr>
        <w:ind w:firstLine="560"/>
      </w:pPr>
      <w:r>
        <w:rPr>
          <w:rFonts w:hint="eastAsia"/>
        </w:rPr>
        <w:t>1、为建立规范有序的外部劳务队伍管理运行机制、认真贯彻落实国家以及公司关于劳务队伍农民工工资支付管理的有关规定、确保企业依法有效利用社会资源、促进企业又快又好发展，维持协作队伍人员稳定，保证施工生产正常进行，切实保障农民工的合法权益，依据《劳务合同法》等国家相关法律、法规，结合公司实际情况，制定本制度。</w:t>
      </w:r>
    </w:p>
    <w:p w14:paraId="2B63D549">
      <w:pPr>
        <w:ind w:firstLine="560"/>
      </w:pPr>
      <w:r>
        <w:rPr>
          <w:rFonts w:hint="eastAsia"/>
        </w:rPr>
        <w:t>2、农民工工资支付原则</w:t>
      </w:r>
    </w:p>
    <w:p w14:paraId="61A47BAE">
      <w:pPr>
        <w:ind w:firstLine="560"/>
      </w:pPr>
      <w:r>
        <w:rPr>
          <w:rFonts w:hint="eastAsia"/>
        </w:rPr>
        <w:t>1）农民工工资保证金纳入合同条款的原则。</w:t>
      </w:r>
    </w:p>
    <w:p w14:paraId="48316EA8">
      <w:pPr>
        <w:ind w:firstLine="560"/>
      </w:pPr>
      <w:r>
        <w:rPr>
          <w:rFonts w:hint="eastAsia"/>
        </w:rPr>
        <w:t>2）优先于工程款支付的原则。</w:t>
      </w:r>
    </w:p>
    <w:p w14:paraId="1D7B8266">
      <w:pPr>
        <w:ind w:firstLine="560"/>
      </w:pPr>
      <w:r>
        <w:rPr>
          <w:rFonts w:hint="eastAsia"/>
        </w:rPr>
        <w:t>3）由项目部农民工工资管理办公室和财务人员代为直接发放的原则。</w:t>
      </w:r>
    </w:p>
    <w:p w14:paraId="50FFFDF5">
      <w:pPr>
        <w:ind w:firstLine="560"/>
      </w:pPr>
      <w:r>
        <w:rPr>
          <w:rFonts w:hint="eastAsia"/>
        </w:rPr>
        <w:t>4）及时、足额发放的的原则。</w:t>
      </w:r>
    </w:p>
    <w:p w14:paraId="288C2AF0">
      <w:pPr>
        <w:ind w:firstLine="560"/>
      </w:pPr>
      <w:r>
        <w:rPr>
          <w:rFonts w:hint="eastAsia"/>
        </w:rPr>
        <w:t>二）工资支付</w:t>
      </w:r>
    </w:p>
    <w:p w14:paraId="0F8210A9">
      <w:pPr>
        <w:ind w:firstLine="560"/>
      </w:pPr>
      <w:r>
        <w:rPr>
          <w:rFonts w:hint="eastAsia"/>
        </w:rPr>
        <w:t>（1）农民工工资标准的制定</w:t>
      </w:r>
    </w:p>
    <w:p w14:paraId="6C9B0B41">
      <w:pPr>
        <w:ind w:firstLine="560"/>
      </w:pPr>
      <w:r>
        <w:rPr>
          <w:rFonts w:hint="eastAsia"/>
        </w:rPr>
        <w:t>由协作队伍负责人具体制定，报项目部农民工工资管理办公室备案。对工作优秀、做出重大贡献的劳务人员，除工资正常支付外由协作队伍负责人给予奖励。</w:t>
      </w:r>
    </w:p>
    <w:p w14:paraId="249E51A6">
      <w:pPr>
        <w:ind w:firstLine="560"/>
      </w:pPr>
      <w:r>
        <w:rPr>
          <w:rFonts w:hint="eastAsia"/>
        </w:rPr>
        <w:t>（2）支付细则</w:t>
      </w:r>
    </w:p>
    <w:p w14:paraId="592F8613">
      <w:pPr>
        <w:ind w:firstLine="560"/>
      </w:pPr>
      <w:r>
        <w:rPr>
          <w:rFonts w:hint="eastAsia"/>
        </w:rPr>
        <w:t>1）每月30日前，劳务队伍负责人将当月农民工工资支付清单一式两份报项目部农民工工资管理办公室，清单内容包括应支付农民工花名册、工资支付明细、考勤表、工资打款流水明细。</w:t>
      </w:r>
    </w:p>
    <w:p w14:paraId="47C7C59D">
      <w:pPr>
        <w:ind w:firstLine="560"/>
      </w:pPr>
      <w:r>
        <w:rPr>
          <w:rFonts w:hint="eastAsia"/>
        </w:rPr>
        <w:t>2）由农民工工资管理办公室牵头，财务部、合约部共同对劳务队伍作业班组的人员数量对照身份证进行核准、落实。</w:t>
      </w:r>
    </w:p>
    <w:p w14:paraId="1C0871EE">
      <w:pPr>
        <w:ind w:firstLine="560"/>
      </w:pPr>
      <w:r>
        <w:rPr>
          <w:rFonts w:hint="eastAsia"/>
        </w:rPr>
        <w:t>3）每月5日-10日，项目部农民工工资管理办公室、财务部进入施工现场进行监督直接发放工资，劳务人员凭本人身份证，领取当月工资，并在签收栏签字，签字后的工资单正、副本交项目部农民工工资管理办公室一份存档，协作队伍财务留一份备案。</w:t>
      </w:r>
    </w:p>
    <w:p w14:paraId="215F4DE3">
      <w:pPr>
        <w:ind w:firstLine="560"/>
      </w:pPr>
      <w:r>
        <w:rPr>
          <w:rFonts w:hint="eastAsia"/>
        </w:rPr>
        <w:t>4)原则上不允许拖欠劳务工资，若协作队伍负责人有个别要求，需扣压一个月工资的情况，项目部把核实后的劳务工资款项做为工资保证金存在项目部财务专用账户。待工程结束后，或更换队伍时办清一切手续后，一次性结清劳务工资，保障劳动者权益。</w:t>
      </w:r>
    </w:p>
    <w:p w14:paraId="79C19BB8">
      <w:pPr>
        <w:ind w:firstLine="560"/>
      </w:pPr>
      <w:r>
        <w:rPr>
          <w:rFonts w:hint="eastAsia"/>
        </w:rPr>
        <w:t>5)为便于农民工工资发放与管理，由协作队伍负责人员招聘、选用的劳务人员要及时签订《劳务用工合同》，并将劳务人员分班组建制，合同甲方必须由协作队伍所挂靠公司的盖章；乙方由劳务人员本人签字，报项目部备案。</w:t>
      </w:r>
    </w:p>
    <w:p w14:paraId="7417976A">
      <w:pPr>
        <w:ind w:firstLine="560"/>
      </w:pPr>
      <w:r>
        <w:rPr>
          <w:rFonts w:hint="eastAsia"/>
        </w:rPr>
        <w:t>（3）保障措施</w:t>
      </w:r>
    </w:p>
    <w:p w14:paraId="07EF2F3C">
      <w:pPr>
        <w:ind w:firstLine="560"/>
      </w:pPr>
      <w:r>
        <w:rPr>
          <w:rFonts w:hint="eastAsia"/>
        </w:rPr>
        <w:t>1)项目开工前，农民工工资按工程款的5%做为工资保证金存入项目部财务专用账户，预防拖欠情况发生。</w:t>
      </w:r>
    </w:p>
    <w:p w14:paraId="0B5674BD">
      <w:pPr>
        <w:ind w:firstLine="560"/>
      </w:pPr>
      <w:r>
        <w:rPr>
          <w:rFonts w:hint="eastAsia"/>
        </w:rPr>
        <w:t>2)每月签字后的工资单，在项目部及劳务队伍驻地进行公示。项目部农民工工资管理办公室留存备案。</w:t>
      </w:r>
    </w:p>
    <w:p w14:paraId="0F2F46CE">
      <w:pPr>
        <w:ind w:firstLine="560"/>
      </w:pPr>
      <w:r>
        <w:rPr>
          <w:rFonts w:hint="eastAsia"/>
        </w:rPr>
        <w:t>3)每月30日前，各项目把发放农民工工资报表及时报公司农民工工资管理部，汇总各项目发放情况后及时向公司主管领导汇报。</w:t>
      </w:r>
    </w:p>
    <w:p w14:paraId="55939B71">
      <w:pPr>
        <w:ind w:firstLine="560"/>
      </w:pPr>
      <w:r>
        <w:rPr>
          <w:rFonts w:hint="eastAsia"/>
        </w:rPr>
        <w:t>4)严格执行国家劳动和社会保障部关于保障农民工工资支付的四项基本措施。</w:t>
      </w:r>
    </w:p>
    <w:p w14:paraId="1F107B17">
      <w:pPr>
        <w:ind w:firstLine="560"/>
      </w:pPr>
      <w:r>
        <w:rPr>
          <w:rFonts w:hint="eastAsia"/>
        </w:rPr>
        <w:t>5)为了保证工人工资得到保障，我公司单独开设了农民工调查小组。专门调查解决农民工拖欠、纠纷等现象，一经发现公司将对其严厉处罚，做到“工程清工资清”，决不拖欠民工一分钱。</w:t>
      </w:r>
    </w:p>
    <w:p w14:paraId="69EEF0A7">
      <w:pPr>
        <w:pStyle w:val="18"/>
        <w:rPr>
          <w:lang w:val="en-US"/>
        </w:rPr>
      </w:pPr>
      <w:r>
        <w:rPr>
          <w:lang w:val="en-US" w:bidi="ar-SA"/>
        </w:rPr>
        <w:drawing>
          <wp:inline distT="0" distB="0" distL="114300" distR="114300">
            <wp:extent cx="5143500" cy="2486025"/>
            <wp:effectExtent l="0" t="0" r="0" b="9525"/>
            <wp:docPr id="4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9"/>
                    <pic:cNvPicPr>
                      <a:picLocks noChangeAspect="1"/>
                    </pic:cNvPicPr>
                  </pic:nvPicPr>
                  <pic:blipFill>
                    <a:blip r:embed="rId78">
                      <a:grayscl/>
                    </a:blip>
                    <a:stretch>
                      <a:fillRect/>
                    </a:stretch>
                  </pic:blipFill>
                  <pic:spPr>
                    <a:xfrm>
                      <a:off x="0" y="0"/>
                      <a:ext cx="5143500" cy="2486025"/>
                    </a:xfrm>
                    <a:prstGeom prst="rect">
                      <a:avLst/>
                    </a:prstGeom>
                    <a:noFill/>
                    <a:ln>
                      <a:noFill/>
                    </a:ln>
                  </pic:spPr>
                </pic:pic>
              </a:graphicData>
            </a:graphic>
          </wp:inline>
        </w:drawing>
      </w:r>
    </w:p>
    <w:p w14:paraId="75165BA0">
      <w:pPr>
        <w:ind w:firstLine="560"/>
      </w:pPr>
      <w:r>
        <w:rPr>
          <w:rFonts w:hint="eastAsia"/>
        </w:rPr>
        <w:t>不拖欠农民工工资的承诺书：</w:t>
      </w:r>
    </w:p>
    <w:p w14:paraId="10941A90">
      <w:pPr>
        <w:ind w:firstLine="560"/>
      </w:pPr>
      <w:r>
        <w:rPr>
          <w:rFonts w:hint="eastAsia"/>
        </w:rPr>
        <w:t>为认真贯彻落实各上级主管部门关于切实解决建设领域拖欠工程款的民工工资问题的要求，我公司承诺：决不出现拖欠民工工资。具体措施为：</w:t>
      </w:r>
    </w:p>
    <w:p w14:paraId="1C1EA35B">
      <w:pPr>
        <w:ind w:firstLine="560"/>
      </w:pPr>
      <w:r>
        <w:rPr>
          <w:rFonts w:hint="eastAsia"/>
        </w:rPr>
        <w:t>1）施工单位与所有民工签订劳动合同。</w:t>
      </w:r>
    </w:p>
    <w:p w14:paraId="5FD0EE33">
      <w:pPr>
        <w:ind w:firstLine="560"/>
      </w:pPr>
      <w:r>
        <w:rPr>
          <w:rFonts w:hint="eastAsia"/>
        </w:rPr>
        <w:t>2）开设专门帐户，由公司财务派专人专管，保证工程款的专款专用。</w:t>
      </w:r>
    </w:p>
    <w:p w14:paraId="3B530689">
      <w:pPr>
        <w:ind w:firstLine="560"/>
      </w:pPr>
      <w:r>
        <w:rPr>
          <w:rFonts w:hint="eastAsia"/>
        </w:rPr>
        <w:t>3）根据工程进度计划，让施工单位制订出民工工资支付计划表。</w:t>
      </w:r>
    </w:p>
    <w:p w14:paraId="70914439">
      <w:pPr>
        <w:ind w:firstLine="560"/>
      </w:pPr>
      <w:r>
        <w:rPr>
          <w:rFonts w:hint="eastAsia"/>
        </w:rPr>
        <w:t>4）将民工工资的支付情况纳入项目经理部的各项考核指标中进行统一考核。</w:t>
      </w:r>
    </w:p>
    <w:p w14:paraId="7F00D7D8">
      <w:pPr>
        <w:ind w:firstLine="560"/>
      </w:pPr>
      <w:r>
        <w:rPr>
          <w:rFonts w:hint="eastAsia"/>
        </w:rPr>
        <w:t>5）严格按行政主管部门规定，足额发放农民工工资如果发生农民工工资拖欠现象，无条件接受上级主管部门处罚。</w:t>
      </w:r>
    </w:p>
    <w:p w14:paraId="5DC77AB0">
      <w:pPr>
        <w:ind w:firstLine="560"/>
      </w:pPr>
      <w:r>
        <w:rPr>
          <w:rFonts w:hint="eastAsia"/>
        </w:rPr>
        <w:t>三）日常管理</w:t>
      </w:r>
    </w:p>
    <w:p w14:paraId="7F779A02">
      <w:pPr>
        <w:ind w:firstLine="560"/>
      </w:pPr>
      <w:r>
        <w:rPr>
          <w:rFonts w:hint="eastAsia"/>
        </w:rPr>
        <w:t>（1）组织机构</w:t>
      </w:r>
    </w:p>
    <w:p w14:paraId="2A1B1937">
      <w:pPr>
        <w:ind w:firstLine="560"/>
      </w:pPr>
      <w:r>
        <w:rPr>
          <w:rFonts w:hint="eastAsia"/>
        </w:rPr>
        <w:t>农民工工资发放实行两级机构管理。公司设置农民工工资管理部，项目部相应成立农民工工资管理办公室，设主任1人、成员1人，在公司农民工工资管理部的整体指导下开展各项工作。</w:t>
      </w:r>
    </w:p>
    <w:p w14:paraId="1698800E">
      <w:pPr>
        <w:ind w:firstLine="560"/>
      </w:pPr>
      <w:r>
        <w:rPr>
          <w:rFonts w:hint="eastAsia"/>
        </w:rPr>
        <w:t>（2）管理职责</w:t>
      </w:r>
    </w:p>
    <w:p w14:paraId="253DEC73">
      <w:pPr>
        <w:ind w:firstLine="560"/>
      </w:pPr>
      <w:r>
        <w:rPr>
          <w:rFonts w:hint="eastAsia"/>
        </w:rPr>
        <w:t>1）公司设置农民工工资管理部负责公司农民工工资管理全面工作。</w:t>
      </w:r>
    </w:p>
    <w:p w14:paraId="5167C277">
      <w:pPr>
        <w:ind w:firstLine="560"/>
      </w:pPr>
      <w:r>
        <w:rPr>
          <w:rFonts w:hint="eastAsia"/>
        </w:rPr>
        <w:t>2）项目部农民工工资管理办公室：</w:t>
      </w:r>
    </w:p>
    <w:p w14:paraId="1CD1C26A">
      <w:pPr>
        <w:ind w:firstLine="560"/>
      </w:pPr>
      <w:r>
        <w:rPr>
          <w:rFonts w:hint="eastAsia"/>
        </w:rPr>
        <w:t>3）建立健全劳务队伍管理和劳务工资发放制度。</w:t>
      </w:r>
    </w:p>
    <w:p w14:paraId="7D806F80">
      <w:pPr>
        <w:ind w:firstLine="560"/>
      </w:pPr>
      <w:r>
        <w:rPr>
          <w:rFonts w:hint="eastAsia"/>
        </w:rPr>
        <w:t>4）建立健全劳务队伍管理各项台账。</w:t>
      </w:r>
    </w:p>
    <w:p w14:paraId="0F678E20">
      <w:pPr>
        <w:ind w:firstLine="560"/>
      </w:pPr>
      <w:r>
        <w:rPr>
          <w:rFonts w:hint="eastAsia"/>
        </w:rPr>
        <w:t>5）及时上报劳务队伍管理的各项信息及报表。</w:t>
      </w:r>
    </w:p>
    <w:p w14:paraId="7FD42290">
      <w:pPr>
        <w:ind w:firstLine="560"/>
      </w:pPr>
      <w:r>
        <w:rPr>
          <w:rFonts w:hint="eastAsia"/>
        </w:rPr>
        <w:t>6）负责本项目劳务队伍的考核、考评工作及进场劳务队伍资质认定，上报准入资料等工作。</w:t>
      </w:r>
    </w:p>
    <w:p w14:paraId="2C7D42AF">
      <w:pPr>
        <w:ind w:firstLine="560"/>
      </w:pPr>
      <w:r>
        <w:rPr>
          <w:rFonts w:hint="eastAsia"/>
        </w:rPr>
        <w:t>7）协同各部门做好日常劳务队伍管理及基础资料整理工作，迎接公司定期检查考核工作。</w:t>
      </w:r>
    </w:p>
    <w:p w14:paraId="75399968">
      <w:pPr>
        <w:ind w:firstLine="560"/>
      </w:pPr>
      <w:r>
        <w:rPr>
          <w:rFonts w:hint="eastAsia"/>
        </w:rPr>
        <w:t>（3）相关要求</w:t>
      </w:r>
    </w:p>
    <w:p w14:paraId="1DFCFF20">
      <w:pPr>
        <w:ind w:firstLine="560"/>
      </w:pPr>
      <w:r>
        <w:rPr>
          <w:rFonts w:hint="eastAsia"/>
        </w:rPr>
        <w:t>1）项目部农民工工资管理办公室配备的电脑、照相机等必要办公设备，以使工作正常开展。</w:t>
      </w:r>
    </w:p>
    <w:p w14:paraId="53E6C107">
      <w:pPr>
        <w:ind w:firstLine="560"/>
      </w:pPr>
      <w:r>
        <w:rPr>
          <w:rFonts w:hint="eastAsia"/>
        </w:rPr>
        <w:t>2）项目部按要求做好每月农民工工资发放的影像资料并保存。</w:t>
      </w:r>
    </w:p>
    <w:p w14:paraId="2AC07C53">
      <w:pPr>
        <w:ind w:firstLine="560"/>
      </w:pPr>
      <w:r>
        <w:rPr>
          <w:rFonts w:hint="eastAsia"/>
        </w:rPr>
        <w:t>3）协作队伍必须配备一名财务人员，负责农民工工资发放及管理工作。</w:t>
      </w:r>
    </w:p>
    <w:p w14:paraId="7BB261E3">
      <w:pPr>
        <w:ind w:firstLine="560"/>
      </w:pPr>
      <w:r>
        <w:rPr>
          <w:rFonts w:hint="eastAsia"/>
        </w:rPr>
        <w:t>4）农民工工资支付管理纳入年度协作队伍考核及项目部评先争优工作。</w:t>
      </w:r>
    </w:p>
    <w:p w14:paraId="6A58DCBB">
      <w:pPr>
        <w:ind w:firstLine="560"/>
      </w:pPr>
      <w:r>
        <w:rPr>
          <w:rFonts w:hint="eastAsia"/>
        </w:rPr>
        <w:t>四）考核评价</w:t>
      </w:r>
    </w:p>
    <w:p w14:paraId="35F4CA3E">
      <w:pPr>
        <w:ind w:firstLine="560"/>
      </w:pPr>
      <w:r>
        <w:rPr>
          <w:rFonts w:hint="eastAsia"/>
        </w:rPr>
        <w:t>1、农民工工资支付管理工作实行项目部和劳务队伍双向考核。</w:t>
      </w:r>
    </w:p>
    <w:p w14:paraId="4F6F4746">
      <w:pPr>
        <w:ind w:firstLine="560"/>
      </w:pPr>
      <w:r>
        <w:rPr>
          <w:rFonts w:hint="eastAsia"/>
        </w:rPr>
        <w:t>2、项目部考核。</w:t>
      </w:r>
    </w:p>
    <w:p w14:paraId="1EBB0B0C">
      <w:pPr>
        <w:ind w:firstLine="560"/>
      </w:pPr>
      <w:r>
        <w:rPr>
          <w:rFonts w:hint="eastAsia"/>
        </w:rPr>
        <w:t>3、公司农民工工资管理部对项目部进行考核评价。</w:t>
      </w:r>
    </w:p>
    <w:p w14:paraId="173AB18E">
      <w:pPr>
        <w:ind w:firstLine="560"/>
      </w:pPr>
      <w:r>
        <w:rPr>
          <w:rFonts w:hint="eastAsia"/>
        </w:rPr>
        <w:t>4、考核评价内容</w:t>
      </w:r>
    </w:p>
    <w:p w14:paraId="0EB57463">
      <w:pPr>
        <w:ind w:firstLine="560"/>
      </w:pPr>
      <w:r>
        <w:rPr>
          <w:rFonts w:hint="eastAsia"/>
        </w:rPr>
        <w:t>1）项目部组织机构健全，有农民工工资管理办公室且人员配齐，办公设备配全。</w:t>
      </w:r>
    </w:p>
    <w:p w14:paraId="70FB648A">
      <w:pPr>
        <w:ind w:firstLine="560"/>
      </w:pPr>
      <w:r>
        <w:rPr>
          <w:rFonts w:hint="eastAsia"/>
        </w:rPr>
        <w:t>2）农民工管理办公室基础资料齐全，两个台帐建立清楚。对劳务队伍的人员，工资发放，拖欠情况等问题底数清淅。</w:t>
      </w:r>
    </w:p>
    <w:p w14:paraId="54BB6113">
      <w:pPr>
        <w:ind w:firstLine="560"/>
      </w:pPr>
      <w:r>
        <w:rPr>
          <w:rFonts w:hint="eastAsia"/>
        </w:rPr>
        <w:t>3）工资发放制度健全，措施有力，可操作性强。</w:t>
      </w:r>
    </w:p>
    <w:p w14:paraId="199B20C7">
      <w:pPr>
        <w:ind w:firstLine="560"/>
      </w:pPr>
      <w:r>
        <w:rPr>
          <w:rFonts w:hint="eastAsia"/>
        </w:rPr>
        <w:t>4）劳务队伍积极配合，建立和谐高效的用工关系。</w:t>
      </w:r>
    </w:p>
    <w:p w14:paraId="1930F425">
      <w:pPr>
        <w:ind w:firstLine="560"/>
      </w:pPr>
      <w:r>
        <w:rPr>
          <w:rFonts w:hint="eastAsia"/>
        </w:rPr>
        <w:t>5）劳务队伍有专人管理农民工工资底数清，资料全，发放及时。能妥善解决矛盾纠纷，保证施工生产顺利完成。</w:t>
      </w:r>
    </w:p>
    <w:p w14:paraId="2928F86C">
      <w:pPr>
        <w:pStyle w:val="18"/>
      </w:pPr>
      <w:r>
        <w:rPr>
          <w:lang w:val="en-US" w:bidi="ar-SA"/>
        </w:rPr>
        <w:drawing>
          <wp:inline distT="0" distB="0" distL="114300" distR="114300">
            <wp:extent cx="2613660" cy="2727960"/>
            <wp:effectExtent l="0" t="0" r="0" b="0"/>
            <wp:docPr id="4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0"/>
                    <pic:cNvPicPr>
                      <a:picLocks noChangeAspect="1"/>
                    </pic:cNvPicPr>
                  </pic:nvPicPr>
                  <pic:blipFill>
                    <a:blip r:embed="rId79">
                      <a:grayscl/>
                    </a:blip>
                    <a:stretch>
                      <a:fillRect/>
                    </a:stretch>
                  </pic:blipFill>
                  <pic:spPr>
                    <a:xfrm>
                      <a:off x="0" y="0"/>
                      <a:ext cx="2613660" cy="2727960"/>
                    </a:xfrm>
                    <a:prstGeom prst="rect">
                      <a:avLst/>
                    </a:prstGeom>
                    <a:noFill/>
                    <a:ln>
                      <a:noFill/>
                    </a:ln>
                  </pic:spPr>
                </pic:pic>
              </a:graphicData>
            </a:graphic>
          </wp:inline>
        </w:drawing>
      </w:r>
      <w:r>
        <w:rPr>
          <w:lang w:val="en-US" w:bidi="ar-SA"/>
        </w:rPr>
        <w:drawing>
          <wp:inline distT="0" distB="0" distL="114300" distR="114300">
            <wp:extent cx="2597785" cy="2741930"/>
            <wp:effectExtent l="0" t="0" r="0" b="1270"/>
            <wp:docPr id="4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
                    <pic:cNvPicPr>
                      <a:picLocks noChangeAspect="1"/>
                    </pic:cNvPicPr>
                  </pic:nvPicPr>
                  <pic:blipFill>
                    <a:blip r:embed="rId80">
                      <a:grayscl/>
                    </a:blip>
                    <a:stretch>
                      <a:fillRect/>
                    </a:stretch>
                  </pic:blipFill>
                  <pic:spPr>
                    <a:xfrm>
                      <a:off x="0" y="0"/>
                      <a:ext cx="2597785" cy="2741930"/>
                    </a:xfrm>
                    <a:prstGeom prst="rect">
                      <a:avLst/>
                    </a:prstGeom>
                    <a:noFill/>
                    <a:ln>
                      <a:noFill/>
                    </a:ln>
                  </pic:spPr>
                </pic:pic>
              </a:graphicData>
            </a:graphic>
          </wp:inline>
        </w:drawing>
      </w:r>
    </w:p>
    <w:p w14:paraId="11A6242D">
      <w:pPr>
        <w:ind w:firstLine="560"/>
      </w:pPr>
      <w:r>
        <w:rPr>
          <w:rFonts w:hint="eastAsia"/>
        </w:rPr>
        <w:t>五）协作队伍考核。</w:t>
      </w:r>
    </w:p>
    <w:p w14:paraId="55921A43">
      <w:pPr>
        <w:ind w:firstLine="560"/>
      </w:pPr>
      <w:r>
        <w:rPr>
          <w:rFonts w:hint="eastAsia"/>
        </w:rPr>
        <w:t>1、农民工工资发放及拖欠情况纳入年终劳务队伍信誉考核，做为劳务队伍资格评审的重要依据。对不拖欠劳务人员工资，各项考核资格达标的，建议评为A级（优秀）；对出现拖欠工资现象，切有不稳定因素存在的，建议评为B级（合格）；对个别队伍以拖欠农民工工资为理由发生闹事、纠纷的，建议评为C级（不合格），纳入我公司黑名单。</w:t>
      </w:r>
    </w:p>
    <w:p w14:paraId="1D20D8CA">
      <w:pPr>
        <w:ind w:firstLine="560"/>
      </w:pPr>
      <w:r>
        <w:rPr>
          <w:rFonts w:hint="eastAsia"/>
        </w:rPr>
        <w:t>2、考评结果年终在公司公示栏里公示。</w:t>
      </w:r>
    </w:p>
    <w:p w14:paraId="1920A554">
      <w:pPr>
        <w:ind w:firstLine="560"/>
      </w:pPr>
      <w:r>
        <w:rPr>
          <w:rFonts w:hint="eastAsia"/>
        </w:rPr>
        <w:t>六）责任追究</w:t>
      </w:r>
    </w:p>
    <w:p w14:paraId="7A7A8915">
      <w:pPr>
        <w:ind w:firstLine="560"/>
      </w:pPr>
      <w:r>
        <w:rPr>
          <w:rFonts w:hint="eastAsia"/>
        </w:rPr>
        <w:t>农民工工资管理工作是我公司今年以来新推行的一项重要工作。项目部要认真学习，严格执行。对执行迟缓，措施不力，人员落实不到位的单位进行责任双向追究。</w:t>
      </w:r>
    </w:p>
    <w:p w14:paraId="03F87A36">
      <w:pPr>
        <w:ind w:firstLine="560"/>
      </w:pPr>
      <w:r>
        <w:rPr>
          <w:rFonts w:hint="eastAsia"/>
        </w:rPr>
        <w:t>第一，追究项目主要领导责任；视情况对项目部进行年终评先及期薪兑现挂钩。</w:t>
      </w:r>
    </w:p>
    <w:p w14:paraId="7B6DBD74">
      <w:pPr>
        <w:ind w:firstLine="560"/>
      </w:pPr>
      <w:r>
        <w:rPr>
          <w:rFonts w:hint="eastAsia"/>
        </w:rPr>
        <w:t>第二，追究劳务队伍的责任；对出现拖欠农民工工资发生闹事，围攻项目部或到当地政府部门上防事件的项目，取消当年评先，评优资格。</w:t>
      </w:r>
    </w:p>
    <w:p w14:paraId="15203898">
      <w:pPr>
        <w:pStyle w:val="5"/>
        <w:spacing w:before="31" w:after="31"/>
        <w:ind w:firstLine="562"/>
      </w:pPr>
      <w:bookmarkStart w:id="9494" w:name="_Toc4109"/>
      <w:bookmarkStart w:id="9495" w:name="_Toc5384"/>
      <w:bookmarkStart w:id="9496" w:name="_Toc24305"/>
      <w:bookmarkStart w:id="9497" w:name="_Toc23761"/>
      <w:bookmarkStart w:id="9498" w:name="_Toc23736"/>
      <w:bookmarkStart w:id="9499" w:name="_Toc17587"/>
      <w:bookmarkStart w:id="9500" w:name="_Toc27214"/>
      <w:bookmarkStart w:id="9501" w:name="_Toc4034"/>
      <w:bookmarkStart w:id="9502" w:name="_Toc5727"/>
      <w:bookmarkStart w:id="9503" w:name="_Toc32477"/>
      <w:bookmarkStart w:id="9504" w:name="_Toc5959"/>
      <w:bookmarkStart w:id="9505" w:name="_Toc17263"/>
      <w:bookmarkStart w:id="9506" w:name="_Toc132"/>
      <w:bookmarkStart w:id="9507" w:name="_Toc11297"/>
      <w:bookmarkStart w:id="9508" w:name="_Toc25875"/>
      <w:bookmarkStart w:id="9509" w:name="_Toc29115"/>
      <w:bookmarkStart w:id="9510" w:name="_Toc23356"/>
      <w:bookmarkStart w:id="9511" w:name="_Toc3336"/>
      <w:bookmarkStart w:id="9512" w:name="_Toc26224"/>
      <w:bookmarkStart w:id="9513" w:name="_Toc11549"/>
      <w:bookmarkStart w:id="9514" w:name="_Toc14633"/>
      <w:bookmarkStart w:id="9515" w:name="_Toc9784"/>
      <w:bookmarkStart w:id="9516" w:name="_Toc11507"/>
      <w:bookmarkStart w:id="9517" w:name="_Toc31919"/>
      <w:bookmarkStart w:id="9518" w:name="_Toc32705"/>
      <w:bookmarkStart w:id="9519" w:name="_Toc10235"/>
      <w:bookmarkStart w:id="9520" w:name="_Toc9546"/>
      <w:bookmarkStart w:id="9521" w:name="_Toc19977"/>
      <w:bookmarkStart w:id="9522" w:name="_Toc25885"/>
      <w:bookmarkStart w:id="9523" w:name="_Toc29350"/>
      <w:bookmarkStart w:id="9524" w:name="_Toc17465"/>
      <w:bookmarkStart w:id="9525" w:name="_Toc6773"/>
      <w:bookmarkStart w:id="9526" w:name="_Toc7121"/>
      <w:bookmarkStart w:id="9527" w:name="_Toc30753"/>
      <w:bookmarkStart w:id="9528" w:name="_Toc29690"/>
      <w:bookmarkStart w:id="9529" w:name="_Toc31801"/>
      <w:bookmarkStart w:id="9530" w:name="_Toc7033"/>
      <w:bookmarkStart w:id="9531" w:name="_Toc279"/>
      <w:bookmarkStart w:id="9532" w:name="_Toc26673"/>
      <w:bookmarkStart w:id="9533" w:name="_Toc21125"/>
      <w:bookmarkStart w:id="9534" w:name="_Toc16297"/>
      <w:bookmarkStart w:id="9535" w:name="_Toc17210"/>
      <w:bookmarkStart w:id="9536" w:name="_Toc4657"/>
      <w:bookmarkStart w:id="9537" w:name="_Toc10403"/>
      <w:bookmarkStart w:id="9538" w:name="_Toc32064"/>
      <w:bookmarkStart w:id="9539" w:name="_Toc8379"/>
      <w:bookmarkStart w:id="9540" w:name="_Toc30851"/>
      <w:bookmarkStart w:id="9541" w:name="_Toc32315"/>
      <w:bookmarkStart w:id="9542" w:name="_Toc12277"/>
      <w:bookmarkStart w:id="9543" w:name="_Toc2399"/>
      <w:bookmarkStart w:id="9544" w:name="_Toc16099"/>
      <w:bookmarkStart w:id="9545" w:name="_Toc4622"/>
      <w:bookmarkStart w:id="9546" w:name="_Toc3084"/>
      <w:r>
        <w:rPr>
          <w:rFonts w:hint="eastAsia"/>
        </w:rPr>
        <w:t>（十）农民工工资发放管理办法</w:t>
      </w:r>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p>
    <w:p w14:paraId="28EB72F2">
      <w:pPr>
        <w:ind w:firstLine="560"/>
      </w:pPr>
      <w:r>
        <w:rPr>
          <w:rFonts w:hint="eastAsia"/>
        </w:rPr>
        <w:t>为维护广大民工的合法权益，严格贯彻执行《劳动法》及遵毕项目办下发的《项目管理手册》中关于民工工资管理办法的相关规定，我部一直非常重视民工管理，并把民工工资发放情况作为一项重要工作，加强对民工及其工资的管理。现就我部对民工及其工资管理的方法介绍如下：</w:t>
      </w:r>
    </w:p>
    <w:p w14:paraId="6F8B04F8">
      <w:pPr>
        <w:ind w:firstLine="560"/>
      </w:pPr>
      <w:r>
        <w:rPr>
          <w:rFonts w:hint="eastAsia"/>
        </w:rPr>
        <w:t>（一）严格执行民工就业的准入制度。</w:t>
      </w:r>
    </w:p>
    <w:p w14:paraId="7B9BDC01">
      <w:pPr>
        <w:ind w:firstLine="560"/>
      </w:pPr>
      <w:r>
        <w:rPr>
          <w:rFonts w:hint="eastAsia"/>
        </w:rPr>
        <w:t>建立民工的花名册和暂住证办理情况的台帐。仔细审阅身份证的有效性，对童工、未成年人、无效证件者拒绝吸纳为职工，并与当地公安部门联系，由公安部门下派二名协管员下驻项目部，专门到现场为民工办理暂住证，确保每一位民工的进场时间和出场时间都能反映在台帐中。</w:t>
      </w:r>
    </w:p>
    <w:p w14:paraId="52C5CBBD">
      <w:pPr>
        <w:ind w:firstLine="560"/>
      </w:pPr>
      <w:r>
        <w:rPr>
          <w:rFonts w:hint="eastAsia"/>
        </w:rPr>
        <w:t>（二）工资发放方法：</w:t>
      </w:r>
    </w:p>
    <w:p w14:paraId="4047DDA7">
      <w:pPr>
        <w:ind w:firstLine="560"/>
      </w:pPr>
      <w:r>
        <w:rPr>
          <w:rFonts w:hint="eastAsia"/>
        </w:rPr>
        <w:t>1、项目部对民工建立民工花名册，然后每月各劳务施工单位将考勤表、工资发放表交项目部备案，项目部监督落实劳务施工单位对农民工工资发放情况落实。</w:t>
      </w:r>
    </w:p>
    <w:p w14:paraId="4E2A4921">
      <w:pPr>
        <w:ind w:firstLine="560"/>
      </w:pPr>
      <w:r>
        <w:rPr>
          <w:rFonts w:hint="eastAsia"/>
        </w:rPr>
        <w:t>2、最低工资控制，项目部对每位民工的工资进行审阅。</w:t>
      </w:r>
    </w:p>
    <w:p w14:paraId="73C0BF0D">
      <w:pPr>
        <w:ind w:firstLine="560"/>
      </w:pPr>
      <w:r>
        <w:rPr>
          <w:rFonts w:hint="eastAsia"/>
        </w:rPr>
        <w:t>3、工资是以货币形式支付给农民工的劳动报酬，不得以实物或有价证券抵付。</w:t>
      </w:r>
    </w:p>
    <w:p w14:paraId="35FE7C3D">
      <w:pPr>
        <w:ind w:firstLine="560"/>
      </w:pPr>
      <w:r>
        <w:rPr>
          <w:rFonts w:hint="eastAsia"/>
        </w:rPr>
        <w:t>4、农民工领取工资应办理签收手续，项目经理部每次支付工资前三日应在项目经理部或各工区所在地公示民工工资支付情况，并在工程竣工验收前将民工工资总的支付情况进行公示。</w:t>
      </w:r>
    </w:p>
    <w:p w14:paraId="1BEAE7ED">
      <w:pPr>
        <w:ind w:firstLine="560"/>
      </w:pPr>
      <w:r>
        <w:rPr>
          <w:rFonts w:hint="eastAsia"/>
        </w:rPr>
        <w:t>（三）工资发放监督</w:t>
      </w:r>
    </w:p>
    <w:p w14:paraId="0627AE93">
      <w:pPr>
        <w:ind w:firstLine="560"/>
      </w:pPr>
      <w:r>
        <w:rPr>
          <w:rFonts w:hint="eastAsia"/>
        </w:rPr>
        <w:t>1、按照“谁承包、谁负责”的原则，工区长对其所管辖的工程范围内的农民工工资发放工作负全面责任，项目经理为最终负责人。</w:t>
      </w:r>
    </w:p>
    <w:p w14:paraId="503E2E64">
      <w:pPr>
        <w:ind w:firstLine="560"/>
      </w:pPr>
      <w:r>
        <w:rPr>
          <w:rFonts w:hint="eastAsia"/>
        </w:rPr>
        <w:t>2、项目经理部认真把好工区结算关，加强责任成本管理，严格分解、明确责任，杜绝劳务协作队伍、工区拖欠农民工工资情况的出现。</w:t>
      </w:r>
    </w:p>
    <w:p w14:paraId="6BB6DE77">
      <w:pPr>
        <w:ind w:firstLine="560"/>
      </w:pPr>
      <w:r>
        <w:rPr>
          <w:rFonts w:hint="eastAsia"/>
        </w:rPr>
        <w:t>3、项目经理部资金无论如何紧张，必须首先保证各工区农民工的工资支付，并督促劳务协作队伍按时发放农民工工资。</w:t>
      </w:r>
    </w:p>
    <w:p w14:paraId="2A88010B">
      <w:pPr>
        <w:ind w:firstLine="560"/>
      </w:pPr>
      <w:r>
        <w:rPr>
          <w:rFonts w:hint="eastAsia"/>
        </w:rPr>
        <w:t>4、为妥善处理劳务协作队伍的劳资纠纷，项目经理部聘请当地的乡镇村领导为廉政监督员，确保民工工资兑现支付，保证工程的顺利进行。</w:t>
      </w:r>
    </w:p>
    <w:p w14:paraId="47E889E4">
      <w:pPr>
        <w:ind w:firstLine="560"/>
      </w:pPr>
      <w:r>
        <w:rPr>
          <w:rFonts w:hint="eastAsia"/>
        </w:rPr>
        <w:t>（四）施工队考核管理办法</w:t>
      </w:r>
    </w:p>
    <w:p w14:paraId="25532578">
      <w:pPr>
        <w:ind w:firstLine="560"/>
      </w:pPr>
      <w:r>
        <w:rPr>
          <w:rFonts w:hint="eastAsia"/>
        </w:rPr>
        <w:t>1、项目经理部下属劳务协作队伍、工区等不得克扣和拖欠农民工工资，加强监督，发现有以下情况的，本月考核按不及格处理，情节严重的，将进行清场处理上报公司劳资部挂名，上报贵遵毕监办、项目办挂名。</w:t>
      </w:r>
    </w:p>
    <w:p w14:paraId="41D48EA3">
      <w:pPr>
        <w:ind w:firstLine="560"/>
      </w:pPr>
      <w:r>
        <w:rPr>
          <w:rFonts w:hint="eastAsia"/>
        </w:rPr>
        <w:t>2、劳务协作队伍若出现恶意拖欠农民工工资的情况，经查实，项目部将从其工程结算款中扣除相应金额，直接支付拖欠民工工资，施工协作队伍负责人签字认可，且本月考核按不及格处理，情节严重的，将进行清场处理上报公司劳资部挂名，上报总监办、项目办挂名。</w:t>
      </w:r>
    </w:p>
    <w:p w14:paraId="5FCCAC71">
      <w:pPr>
        <w:ind w:firstLine="560"/>
      </w:pPr>
      <w:r>
        <w:rPr>
          <w:rFonts w:hint="eastAsia"/>
        </w:rPr>
        <w:t>（五）实施办法</w:t>
      </w:r>
    </w:p>
    <w:p w14:paraId="00143729">
      <w:pPr>
        <w:ind w:firstLine="560"/>
      </w:pPr>
      <w:r>
        <w:rPr>
          <w:rFonts w:hint="eastAsia"/>
        </w:rPr>
        <w:t>1、建立工资支付监控制度，全面监控和重点监控相结合，列为重点监控对象的，要定期向劳动保障部门报送工资支付情况。</w:t>
      </w:r>
    </w:p>
    <w:p w14:paraId="776CB8A9">
      <w:pPr>
        <w:ind w:firstLine="560"/>
      </w:pPr>
      <w:r>
        <w:rPr>
          <w:rFonts w:hint="eastAsia"/>
        </w:rPr>
        <w:t>2、推行工资保证金制度，施工单位缴纳一定数额的工资保证金，；以保证农民工工资不因单位资金状况而被拖欠。</w:t>
      </w:r>
    </w:p>
    <w:p w14:paraId="24771CAA">
      <w:pPr>
        <w:ind w:firstLine="560"/>
      </w:pPr>
      <w:r>
        <w:rPr>
          <w:rFonts w:hint="eastAsia"/>
        </w:rPr>
        <w:t>3、推行施工单位劳动保障诚信制度，建立健全施工单位用工和工资支付行为信息网络，完善监控手段。</w:t>
      </w:r>
    </w:p>
    <w:p w14:paraId="04AEF12D">
      <w:pPr>
        <w:ind w:firstLine="560"/>
      </w:pPr>
      <w:r>
        <w:rPr>
          <w:rFonts w:hint="eastAsia"/>
        </w:rPr>
        <w:t>4、推行施工现场门禁系统，民工上下班刷卡制度，动态监管各民工个体工时情况，以保证民工工资核算真实性、准确性。</w:t>
      </w:r>
    </w:p>
    <w:p w14:paraId="11D489DA">
      <w:pPr>
        <w:ind w:firstLine="560"/>
      </w:pPr>
      <w:r>
        <w:rPr>
          <w:rFonts w:hint="eastAsia"/>
        </w:rPr>
        <w:t>5、全面推进劳动合同制度实施行动计划，用人单位招用农民工都必须依法订立书面劳动合同，建立权利义务明确、规范的劳动关系。</w:t>
      </w:r>
    </w:p>
    <w:p w14:paraId="35772F67">
      <w:pPr>
        <w:ind w:firstLine="560"/>
      </w:pPr>
      <w:bookmarkStart w:id="9547" w:name="_Toc11612"/>
      <w:bookmarkStart w:id="9548" w:name="_Toc5233"/>
      <w:bookmarkStart w:id="9549" w:name="_Toc23781"/>
      <w:bookmarkStart w:id="9550" w:name="_Toc2898"/>
      <w:bookmarkStart w:id="9551" w:name="_Toc26067"/>
      <w:bookmarkStart w:id="9552" w:name="_Toc21145"/>
      <w:bookmarkStart w:id="9553" w:name="_Toc26577"/>
      <w:bookmarkStart w:id="9554" w:name="_Toc23289"/>
      <w:bookmarkStart w:id="9555" w:name="_Toc7462"/>
      <w:bookmarkStart w:id="9556" w:name="_Toc24176"/>
      <w:bookmarkStart w:id="9557" w:name="_Toc6223"/>
      <w:bookmarkStart w:id="9558" w:name="_Toc10503"/>
      <w:bookmarkStart w:id="9559" w:name="_Toc21989"/>
      <w:bookmarkStart w:id="9560" w:name="_Toc24950"/>
      <w:bookmarkStart w:id="9561" w:name="_Toc20017"/>
      <w:bookmarkStart w:id="9562" w:name="_Toc23051"/>
      <w:bookmarkStart w:id="9563" w:name="_Toc21230"/>
      <w:bookmarkStart w:id="9564" w:name="_Toc30868"/>
      <w:bookmarkStart w:id="9565" w:name="_Toc19198"/>
      <w:bookmarkStart w:id="9566" w:name="_Toc28574"/>
      <w:bookmarkStart w:id="9567" w:name="_Toc21827"/>
      <w:bookmarkStart w:id="9568" w:name="_Toc3545"/>
      <w:bookmarkStart w:id="9569" w:name="_Toc21629"/>
      <w:bookmarkStart w:id="9570" w:name="_Toc32724"/>
      <w:bookmarkStart w:id="9571" w:name="_Toc20856"/>
      <w:bookmarkStart w:id="9572" w:name="_Toc13894"/>
      <w:bookmarkStart w:id="9573" w:name="_Toc4571"/>
      <w:bookmarkStart w:id="9574" w:name="_Toc20708"/>
      <w:bookmarkStart w:id="9575" w:name="_Toc28652"/>
      <w:bookmarkStart w:id="9576" w:name="_Toc11860"/>
      <w:bookmarkStart w:id="9577" w:name="_Toc9794"/>
      <w:bookmarkStart w:id="9578" w:name="_Toc16264"/>
      <w:bookmarkStart w:id="9579" w:name="_Toc16740"/>
      <w:bookmarkStart w:id="9580" w:name="_Toc18285"/>
      <w:bookmarkStart w:id="9581" w:name="_Toc13143"/>
      <w:bookmarkStart w:id="9582" w:name="_Toc25113"/>
      <w:bookmarkStart w:id="9583" w:name="_Toc11734"/>
      <w:bookmarkStart w:id="9584" w:name="_Toc11002"/>
      <w:bookmarkStart w:id="9585" w:name="_Toc27979"/>
      <w:bookmarkStart w:id="9586" w:name="_Toc22217"/>
      <w:bookmarkStart w:id="9587" w:name="_Toc27275"/>
      <w:bookmarkStart w:id="9588" w:name="_Toc19283"/>
      <w:bookmarkStart w:id="9589" w:name="_Toc5221"/>
      <w:bookmarkStart w:id="9590" w:name="_Toc29256"/>
      <w:bookmarkStart w:id="9591" w:name="_Toc511"/>
      <w:bookmarkStart w:id="9592" w:name="_Toc11955"/>
      <w:bookmarkStart w:id="9593" w:name="_Toc22051"/>
      <w:bookmarkStart w:id="9594" w:name="_Toc10962"/>
      <w:bookmarkStart w:id="9595" w:name="_Toc18243"/>
      <w:bookmarkStart w:id="9596" w:name="_Toc16736"/>
      <w:bookmarkStart w:id="9597" w:name="_Toc20412"/>
      <w:bookmarkStart w:id="9598" w:name="_Toc19557"/>
      <w:bookmarkStart w:id="9599" w:name="_Toc23509"/>
      <w:r>
        <w:rPr>
          <w:rFonts w:hint="eastAsia"/>
        </w:rPr>
        <w:t>（六）农民工工资发放监管措施</w:t>
      </w:r>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p>
    <w:p w14:paraId="38D4BF0D">
      <w:pPr>
        <w:ind w:firstLine="560"/>
      </w:pPr>
      <w:r>
        <w:rPr>
          <w:rFonts w:hint="eastAsia"/>
        </w:rPr>
        <w:t>1、项目部成立农民工工资发放领导小组，负责本项目农民工工资管理的监督、宣传、协调和查处工作。领导小组下设办公室，配备相应的专项监管人员，负责项目农民工工资管理的日常工作。</w:t>
      </w:r>
    </w:p>
    <w:p w14:paraId="70EE216D">
      <w:pPr>
        <w:ind w:firstLine="560"/>
      </w:pPr>
      <w:r>
        <w:rPr>
          <w:rFonts w:hint="eastAsia"/>
        </w:rPr>
        <w:t>2、各项目部的工程部经理担任该领导小组组长，工程部经理为第一责任人。由内业资料员负责收集、整理农民工工资管理合同、管理制度、工资发放资料。</w:t>
      </w:r>
    </w:p>
    <w:p w14:paraId="25FD11F4">
      <w:pPr>
        <w:ind w:firstLine="560"/>
      </w:pPr>
      <w:r>
        <w:rPr>
          <w:rFonts w:hint="eastAsia"/>
        </w:rPr>
        <w:t>3、民工进场后，项目部安排相关人员做好安全教育工作，同时做好民工相关信息登记，建立录用的农民工用工花名册；并提取身份证复印件及照片、办理进出场门禁卡，以便用于民工上下班打卡。</w:t>
      </w:r>
    </w:p>
    <w:p w14:paraId="12CB68F2">
      <w:pPr>
        <w:ind w:firstLine="560"/>
      </w:pPr>
      <w:r>
        <w:rPr>
          <w:rFonts w:hint="eastAsia"/>
        </w:rPr>
        <w:t>4、项目部应建立民工考勤制度，用于编制民工工资支付清单，如实记录民工姓名、身份证号码、用工天数、支付单位、支付时间、支付对象、支付数额等情况。</w:t>
      </w:r>
    </w:p>
    <w:p w14:paraId="29D1316A">
      <w:pPr>
        <w:ind w:firstLine="560"/>
      </w:pPr>
      <w:r>
        <w:rPr>
          <w:rFonts w:hint="eastAsia"/>
        </w:rPr>
        <w:t>5、根据合同各施工单位根据实际已完工程量提交已完成节点工程进度款申请报告，项目部及时针对各施工单位已完工程量、考勤信息及施工合同支付比例审核各施工单位工程进度款，并最终确定支付金额。</w:t>
      </w:r>
    </w:p>
    <w:p w14:paraId="5F22D954">
      <w:pPr>
        <w:ind w:firstLine="560"/>
      </w:pPr>
      <w:r>
        <w:rPr>
          <w:rFonts w:hint="eastAsia"/>
        </w:rPr>
        <w:t>6、各施工单位根据项目部各节点支付金额及民工出勤情况，编制民工工资支付清单，并上交项目部农民工工资发放领导小组审核。</w:t>
      </w:r>
    </w:p>
    <w:p w14:paraId="4B54C52E">
      <w:pPr>
        <w:ind w:firstLine="560"/>
      </w:pPr>
      <w:r>
        <w:rPr>
          <w:rFonts w:hint="eastAsia"/>
        </w:rPr>
        <w:t>7、公司财务将工程款发放至各施工单位，各施工单位和农民工工资发放领导小组相结合根据民工工资支付清单及时支付各节点民工工资，且应将民工工资直接发放给民工本人，严禁发放给班组长或其他不具备主体资格的组织或个人。</w:t>
      </w:r>
    </w:p>
    <w:p w14:paraId="1481DFFD">
      <w:pPr>
        <w:ind w:firstLine="560"/>
      </w:pPr>
      <w:r>
        <w:rPr>
          <w:rFonts w:hint="eastAsia"/>
        </w:rPr>
        <w:t>8、各项目部应定期自检，本公司采用不定期抽查。一旦发现拖欠苗头，要及时采取措施加以解决，避免事态扩大。对于出现拖欠、克扣及农民工工资发放数额不实等情况的项目，由公司研究限期整改和通报批评，同时针对实际情况对项目部处一定罚款。</w:t>
      </w:r>
    </w:p>
    <w:p w14:paraId="325D1F2F">
      <w:pPr>
        <w:ind w:firstLine="560"/>
      </w:pPr>
      <w:r>
        <w:rPr>
          <w:rFonts w:hint="eastAsia"/>
        </w:rPr>
        <w:t>9、工程结束或民工退场，各施工单位在3日内完成民工工资结算工作，确定支付时间、支付方式，并上报项目部农民工工资发放领导小组。对已完工程，项目部在规定时间内完成该项工程结算工作，项目部根据劳务施工合同支付比例，支付时间；确定支付金额，且应先保证该工程民工工资足额发放。</w:t>
      </w:r>
    </w:p>
    <w:p w14:paraId="2204A942">
      <w:pPr>
        <w:ind w:firstLine="560"/>
      </w:pPr>
      <w:r>
        <w:rPr>
          <w:rFonts w:hint="eastAsia"/>
        </w:rPr>
        <w:t>10、各项目部农民工工资发放领导小组同时负责处理拖欠民工工资投诉工作，制定应急预案，及时处理突发事件，让事态从源头上进行遏制。</w:t>
      </w:r>
    </w:p>
    <w:p w14:paraId="7612476B">
      <w:pPr>
        <w:ind w:firstLine="560"/>
      </w:pPr>
      <w:r>
        <w:rPr>
          <w:rFonts w:hint="eastAsia"/>
        </w:rPr>
        <w:t>11、施工现场必须设置《民工工资维权告知牌》项目部必须于开工前将《民工工资维权告知牌》设置在“五牌一图”处，如有损坏应及时更换。</w:t>
      </w:r>
    </w:p>
    <w:p w14:paraId="40FB575C">
      <w:pPr>
        <w:ind w:firstLine="560"/>
      </w:pPr>
      <w:r>
        <w:rPr>
          <w:rFonts w:hint="eastAsia"/>
        </w:rPr>
        <w:t>12、拖欠民工工资投诉的处理</w:t>
      </w:r>
    </w:p>
    <w:p w14:paraId="266092D4">
      <w:pPr>
        <w:ind w:firstLine="560"/>
      </w:pPr>
      <w:r>
        <w:rPr>
          <w:rFonts w:hint="eastAsia"/>
        </w:rPr>
        <w:t>12.1项目部应高度重视拖欠民工工资投诉，对有拖欠民工工资的工程项目，必须采取措施，及时给予解决，避免民工到有关部门投诉。</w:t>
      </w:r>
    </w:p>
    <w:p w14:paraId="4C0B6124">
      <w:pPr>
        <w:ind w:firstLine="560"/>
      </w:pPr>
      <w:r>
        <w:rPr>
          <w:rFonts w:hint="eastAsia"/>
        </w:rPr>
        <w:t>12.2各施工单位未按合同约定与建设工程各班组结清工程款，致使建设工程承包企业拖欠民工工资的，由工程施工单位业先行垫付民工被拖欠的民工工资，先行垫付的工资数额以未结清的工程款为限。</w:t>
      </w:r>
    </w:p>
    <w:p w14:paraId="19ADE606">
      <w:pPr>
        <w:ind w:firstLine="560"/>
      </w:pPr>
      <w:r>
        <w:rPr>
          <w:rFonts w:hint="eastAsia"/>
        </w:rPr>
        <w:t>12.3各施工单位负责人把民工工资发放给班组长等不具备主体资格的组织或个人，导致拖欠民工工资的，由各施工单位负责人解决所拖欠的民工工资。</w:t>
      </w:r>
    </w:p>
    <w:p w14:paraId="4BF0CFAE">
      <w:pPr>
        <w:ind w:firstLine="560"/>
      </w:pPr>
      <w:r>
        <w:rPr>
          <w:rFonts w:hint="eastAsia"/>
        </w:rPr>
        <w:t>12.4若有民工投诉拖欠工资问题，项目部农民工工资发放领导小组接到相关部门通知后，应立即派农民工工资发放领导小组人员及各施工单位负责人到指定地点处理处理拖欠民工工资。已结清工账的，当场确定清欠期限、清欠方式等；未结清工账的，当场确定结清工账的期限、清欠期限、清欠方式等。</w:t>
      </w:r>
    </w:p>
    <w:p w14:paraId="055D96D1">
      <w:pPr>
        <w:ind w:firstLine="560"/>
      </w:pPr>
      <w:bookmarkStart w:id="9600" w:name="_Toc538"/>
      <w:bookmarkStart w:id="9601" w:name="_Toc30673"/>
      <w:bookmarkStart w:id="9602" w:name="_Toc1876"/>
      <w:bookmarkStart w:id="9603" w:name="_Toc825"/>
      <w:bookmarkStart w:id="9604" w:name="_Toc12957"/>
      <w:bookmarkStart w:id="9605" w:name="_Toc2566"/>
      <w:bookmarkStart w:id="9606" w:name="_Toc13273"/>
      <w:bookmarkStart w:id="9607" w:name="_Toc16009"/>
      <w:bookmarkStart w:id="9608" w:name="_Toc10540"/>
      <w:bookmarkStart w:id="9609" w:name="_Toc28152"/>
      <w:bookmarkStart w:id="9610" w:name="_Toc18827"/>
      <w:bookmarkStart w:id="9611" w:name="_Toc15384"/>
      <w:bookmarkStart w:id="9612" w:name="_Toc23463"/>
      <w:bookmarkStart w:id="9613" w:name="_Toc3708"/>
      <w:bookmarkStart w:id="9614" w:name="_Toc29370"/>
      <w:bookmarkStart w:id="9615" w:name="_Toc6011"/>
      <w:bookmarkStart w:id="9616" w:name="_Toc3319"/>
      <w:bookmarkStart w:id="9617" w:name="_Toc14236"/>
      <w:bookmarkStart w:id="9618" w:name="_Toc13834"/>
      <w:bookmarkStart w:id="9619" w:name="_Toc6618"/>
      <w:bookmarkStart w:id="9620" w:name="_Toc23169"/>
      <w:bookmarkStart w:id="9621" w:name="_Toc24579"/>
      <w:bookmarkStart w:id="9622" w:name="_Toc16776"/>
      <w:bookmarkStart w:id="9623" w:name="_Toc27331"/>
      <w:bookmarkStart w:id="9624" w:name="_Toc253"/>
      <w:bookmarkStart w:id="9625" w:name="_Toc5414"/>
      <w:bookmarkStart w:id="9626" w:name="_Toc12289"/>
      <w:bookmarkStart w:id="9627" w:name="_Toc20321"/>
      <w:bookmarkStart w:id="9628" w:name="_Toc12682"/>
      <w:bookmarkStart w:id="9629" w:name="_Toc18276"/>
      <w:bookmarkStart w:id="9630" w:name="_Toc19876"/>
      <w:bookmarkStart w:id="9631" w:name="_Toc19395"/>
      <w:bookmarkStart w:id="9632" w:name="_Toc3080"/>
      <w:bookmarkStart w:id="9633" w:name="_Toc20584"/>
      <w:bookmarkStart w:id="9634" w:name="_Toc15864"/>
      <w:bookmarkStart w:id="9635" w:name="_Toc1717"/>
      <w:bookmarkStart w:id="9636" w:name="_Toc6902"/>
      <w:bookmarkStart w:id="9637" w:name="_Toc7823"/>
      <w:bookmarkStart w:id="9638" w:name="_Toc27315"/>
      <w:bookmarkStart w:id="9639" w:name="_Toc545"/>
      <w:bookmarkStart w:id="9640" w:name="_Toc1036"/>
      <w:bookmarkStart w:id="9641" w:name="_Toc6756"/>
      <w:bookmarkStart w:id="9642" w:name="_Toc30950"/>
      <w:bookmarkStart w:id="9643" w:name="_Toc9613"/>
      <w:bookmarkStart w:id="9644" w:name="_Toc25672"/>
      <w:bookmarkStart w:id="9645" w:name="_Toc14180"/>
      <w:bookmarkStart w:id="9646" w:name="_Toc10208"/>
      <w:bookmarkStart w:id="9647" w:name="_Toc9889"/>
      <w:bookmarkStart w:id="9648" w:name="_Toc7851"/>
      <w:bookmarkStart w:id="9649" w:name="_Toc30454"/>
      <w:bookmarkStart w:id="9650" w:name="_Toc25837"/>
      <w:bookmarkStart w:id="9651" w:name="_Toc10163"/>
      <w:bookmarkStart w:id="9652" w:name="_Toc2542"/>
      <w:bookmarkStart w:id="9653" w:name="_Toc29591"/>
      <w:bookmarkStart w:id="9654" w:name="_Toc16272"/>
      <w:bookmarkStart w:id="9655" w:name="_Toc12564"/>
      <w:r>
        <w:rPr>
          <w:rFonts w:hint="eastAsia"/>
        </w:rPr>
        <w:t>（七）农民工考勤管理办法</w:t>
      </w:r>
      <w:bookmarkEnd w:id="9600"/>
      <w:bookmarkEnd w:id="9601"/>
      <w:bookmarkEnd w:id="9602"/>
      <w:bookmarkEnd w:id="9603"/>
      <w:bookmarkEnd w:id="9604"/>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p>
    <w:p w14:paraId="1F32FCBA">
      <w:pPr>
        <w:ind w:firstLine="560"/>
      </w:pPr>
      <w:r>
        <w:rPr>
          <w:rFonts w:hint="eastAsia"/>
        </w:rPr>
        <w:t>1、项目部必须在施工现场建立农民工专用通道,安装考勤门禁系统,并设立专人监督使用及维护。施工队辖下农民工进出施工现场必须通过该通道,不得从其他通道或以其他方式进出施工现场。施工队必须认可项目部所安装的门禁考勤系统,以及由该系统记录生成的农民工考勤信息,施工队辖下农民工上工下工必须在专用通道处通过考勤系统记录相关信息。如发现施工队及辖下农民工有损害、毁坏考勤门禁系统设备的情形,施工队必须赔偿相关一切损失,工程款将不结算,并将追究施工队的法律责任。</w:t>
      </w:r>
    </w:p>
    <w:p w14:paraId="3E3B2F9E">
      <w:pPr>
        <w:ind w:firstLine="560"/>
      </w:pPr>
      <w:r>
        <w:rPr>
          <w:rFonts w:hint="eastAsia"/>
        </w:rPr>
        <w:t>2、施工队辖下的农民工在进场前必须到项目部办理个人考勤卡,在系统内录入个人详细信息,之后方可持卡进入施工现场。每张考勤卡外皮必须注明该卡登记持有人相关信息,并贴有持卡人一寸免冠照片一张。每张考勤卡施工队应向项目部交纳50元押金,持卡人必须妥善保管本人考勤卡,若出现丢失、损坏考勤卡的情况,应及时到项目部补办考勤卡,补办每张考勤卡必须交费20元。若未及时补办考勤卡,则该卡登记的农民工无考勤记录期间的劳务费不予结算。每个农民工在离职时必须上交本人考勤卡,若无法上交考勤卡或上交的考勤卡与本人信息不符,则在工程结算时不予结算该农民工所有劳务费</w:t>
      </w:r>
    </w:p>
    <w:p w14:paraId="2A6B926B">
      <w:pPr>
        <w:ind w:firstLine="560"/>
      </w:pPr>
      <w:r>
        <w:rPr>
          <w:rFonts w:hint="eastAsia"/>
        </w:rPr>
        <w:t>3、项目部必须专门设农民工考勤管理人员,主要负责:监督农民工考勤打卡工作,整理每日农民工考勤记录表存档备查,每月向项目经理及公司相关部门提供当月农民工考勤记录档案。农民工考勤记录档案每页必须加盖施工队公章予以确认。</w:t>
      </w:r>
    </w:p>
    <w:p w14:paraId="6B117C9C">
      <w:pPr>
        <w:ind w:firstLine="560"/>
      </w:pPr>
      <w:r>
        <w:rPr>
          <w:rFonts w:hint="eastAsia"/>
        </w:rPr>
        <w:t>4、施工队必须专门设农民工考勤管理人员,与项目部农民工考勤管理人员共同完成农民工考勤管理工作,协调处理相关事宜。</w:t>
      </w:r>
    </w:p>
    <w:p w14:paraId="75E6CEB4">
      <w:pPr>
        <w:ind w:firstLine="560"/>
      </w:pPr>
      <w:r>
        <w:rPr>
          <w:rFonts w:hint="eastAsia"/>
        </w:rPr>
        <w:t>5、项目部与施工队必须建立农民工考勤档案,农民工考勤记录工作必须每天如实记录相关信息并导出结合每日考勤备忘录整理后录入农民工考勤档案,并由当天执行监督工作的双方考勤管理人员共同签字确认。双方必须建立每日考勤备忘录,以记录当日考勤记录工作发生的各项情况,由双方考勤管理人员共同签字确认。工程结算时,农民工考勤档案将作为结算依据</w:t>
      </w:r>
    </w:p>
    <w:p w14:paraId="1E8974B9">
      <w:pPr>
        <w:ind w:firstLine="560"/>
      </w:pPr>
      <w:r>
        <w:rPr>
          <w:rFonts w:hint="eastAsia"/>
        </w:rPr>
        <w:t>6、若出现农民工丢失、损坏、忘带或持非本人考勤卡等情况,导致无法正常由考勤机记录的情形,必须在当日考勤备忘录上注明详细情况,由双方考勤管理人员共同签字确认,并上报项目部负责人。未经项目部考勤管理人员确认允许,丢失、损坏、忘带或持非本人考勤卡的农民工不得进入施工现场,若违反此规定项目部将视具体情况对施工队处以100-500元人民币的罚金,并且该农民工当日劳务费不子结算。若发现未经允许,从其他通道或者以其他方式在施工期间进出施工现场的农民工,施工队必须以书面形式向项目部汇报具体情况,如有违反规定的情形,则项目部将视具体情况对施工队处以100-500元人民币的罚金,并且该农民工当日劳务费不予结算。</w:t>
      </w:r>
    </w:p>
    <w:p w14:paraId="4B876E0F">
      <w:pPr>
        <w:ind w:firstLine="560"/>
      </w:pPr>
      <w:r>
        <w:rPr>
          <w:rFonts w:hint="eastAsia"/>
        </w:rPr>
        <w:t>7、农民工专用通道必须设立门卫,门卫应负责看护考勤门禁系统不受损害,并监督农民工进出施工现场情况。农民工在施工时间段内若需离开施工现场,必须在门卫处登记,写明姓名、班、离开时间、离开原因,返回时必须登记返回时间并签字确认。若发现无正当原因长时间离开施工现场的,门卫应向项目管理人员汇报,查证后当日不予记录考勤。</w:t>
      </w:r>
    </w:p>
    <w:p w14:paraId="720177A3">
      <w:pPr>
        <w:ind w:firstLine="560"/>
      </w:pPr>
      <w:r>
        <w:rPr>
          <w:rFonts w:hint="eastAsia"/>
        </w:rPr>
        <w:t>8、施工时间段内,项目部农民工考勤管理人员应不定时巡查现场,项目管理人员(包括工长、安全员等)协助项目部农民工考勤管理员监督农民工工作情况,对相关班组出勤情况填写实际出勤记录交付考勤管理人员,如发现虚报出勤、消极怠工等情形,应向项目经理如实汇报,根据具体情况可采取不予记录该农民工当日考勤等手段加以管理。</w:t>
      </w:r>
    </w:p>
    <w:p w14:paraId="1887EC58">
      <w:pPr>
        <w:ind w:firstLine="560"/>
      </w:pPr>
      <w:r>
        <w:rPr>
          <w:rFonts w:hint="eastAsia"/>
        </w:rPr>
        <w:t>9、农民工考勤档案一式三份,公司管理部门、项目部、施工队各执一份,每页必须有施工队盖章确认。</w:t>
      </w:r>
    </w:p>
    <w:p w14:paraId="24D2E4C2">
      <w:pPr>
        <w:ind w:firstLine="560"/>
      </w:pPr>
      <w:r>
        <w:rPr>
          <w:rFonts w:hint="eastAsia"/>
        </w:rPr>
        <w:t>10、施工队在签定劳务施工合同时必须以书面文件形式承诺认可本农民工考勤管理制度。</w:t>
      </w:r>
    </w:p>
    <w:p w14:paraId="1E1F72AD">
      <w:pPr>
        <w:pStyle w:val="5"/>
        <w:spacing w:before="31" w:after="31"/>
        <w:ind w:firstLine="562"/>
      </w:pPr>
      <w:bookmarkStart w:id="9656" w:name="_Toc18317"/>
      <w:bookmarkStart w:id="9657" w:name="_Toc9280"/>
      <w:bookmarkStart w:id="9658" w:name="_Toc5273"/>
      <w:bookmarkStart w:id="9659" w:name="_Toc30258"/>
      <w:bookmarkStart w:id="9660" w:name="_Toc2323"/>
      <w:bookmarkStart w:id="9661" w:name="_Toc25080"/>
      <w:bookmarkStart w:id="9662" w:name="_Toc21090"/>
      <w:bookmarkStart w:id="9663" w:name="_Toc30676"/>
      <w:bookmarkStart w:id="9664" w:name="_Toc18086"/>
      <w:bookmarkStart w:id="9665" w:name="_Toc25464"/>
      <w:bookmarkStart w:id="9666" w:name="_Toc22049"/>
      <w:bookmarkStart w:id="9667" w:name="_Toc31183"/>
      <w:bookmarkStart w:id="9668" w:name="_Toc6426"/>
      <w:bookmarkStart w:id="9669" w:name="_Toc8461"/>
      <w:bookmarkStart w:id="9670" w:name="_Toc8088"/>
      <w:bookmarkStart w:id="9671" w:name="_Toc28885"/>
      <w:bookmarkStart w:id="9672" w:name="_Toc30108"/>
      <w:bookmarkStart w:id="9673" w:name="_Toc27685"/>
      <w:bookmarkStart w:id="9674" w:name="_Toc25018"/>
      <w:bookmarkStart w:id="9675" w:name="_Toc5368"/>
      <w:bookmarkStart w:id="9676" w:name="_Toc13041"/>
      <w:bookmarkStart w:id="9677" w:name="_Toc11440"/>
      <w:bookmarkStart w:id="9678" w:name="_Toc2614"/>
      <w:bookmarkStart w:id="9679" w:name="_Toc10656"/>
      <w:bookmarkStart w:id="9680" w:name="_Toc5880"/>
      <w:bookmarkStart w:id="9681" w:name="_Toc31080"/>
      <w:bookmarkStart w:id="9682" w:name="_Toc5949"/>
      <w:bookmarkStart w:id="9683" w:name="_Toc15547"/>
      <w:bookmarkStart w:id="9684" w:name="_Toc37"/>
      <w:bookmarkStart w:id="9685" w:name="_Toc10710"/>
      <w:bookmarkStart w:id="9686" w:name="_Toc11562"/>
      <w:bookmarkStart w:id="9687" w:name="_Toc31494"/>
      <w:bookmarkStart w:id="9688" w:name="_Toc14978"/>
      <w:bookmarkStart w:id="9689" w:name="_Toc16471"/>
      <w:bookmarkStart w:id="9690" w:name="_Toc2817"/>
      <w:bookmarkStart w:id="9691" w:name="_Toc16371"/>
      <w:bookmarkStart w:id="9692" w:name="_Toc21567"/>
      <w:bookmarkStart w:id="9693" w:name="_Toc21233"/>
      <w:bookmarkStart w:id="9694" w:name="_Toc5132"/>
      <w:bookmarkStart w:id="9695" w:name="_Toc29609"/>
      <w:bookmarkStart w:id="9696" w:name="_Toc5138"/>
      <w:bookmarkStart w:id="9697" w:name="_Toc22793"/>
      <w:bookmarkStart w:id="9698" w:name="_Toc28810"/>
      <w:bookmarkStart w:id="9699" w:name="_Toc2877"/>
      <w:bookmarkStart w:id="9700" w:name="_Toc28217"/>
      <w:bookmarkStart w:id="9701" w:name="_Toc10087"/>
      <w:bookmarkStart w:id="9702" w:name="_Toc5072"/>
      <w:bookmarkStart w:id="9703" w:name="_Toc27700"/>
      <w:bookmarkStart w:id="9704" w:name="_Toc10836"/>
      <w:bookmarkStart w:id="9705" w:name="_Toc20238"/>
      <w:bookmarkStart w:id="9706" w:name="_Toc6170"/>
      <w:bookmarkStart w:id="9707" w:name="_Toc29146"/>
      <w:bookmarkStart w:id="9708" w:name="_Toc17301"/>
      <w:bookmarkStart w:id="9709" w:name="_Toc30093"/>
      <w:r>
        <w:rPr>
          <w:rFonts w:hint="eastAsia"/>
        </w:rPr>
        <w:t>（十一）农民工工资支付应急预案</w:t>
      </w:r>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p>
    <w:p w14:paraId="27B5EAF7">
      <w:pPr>
        <w:ind w:firstLine="560"/>
      </w:pPr>
      <w:r>
        <w:rPr>
          <w:rFonts w:hint="eastAsia"/>
        </w:rPr>
        <w:t>（一）坚持以项目部为主，实行项目经理负责制。</w:t>
      </w:r>
    </w:p>
    <w:p w14:paraId="4C954787">
      <w:pPr>
        <w:ind w:firstLine="560"/>
      </w:pPr>
      <w:r>
        <w:rPr>
          <w:rFonts w:hint="eastAsia"/>
        </w:rPr>
        <w:t>坚持预防为主，预防结合，在项目经理领导下，各有关部门“快速反应、赶赴现场，协调配合、控制局面、安善处理”，做到早发现、早报告、早控制、早解决，防止矛盾微化和事态扩大，尽快恢复生产、生活和社会秩序，减少或避免经济损失和不良影响，确保社会稳定。</w:t>
      </w:r>
    </w:p>
    <w:p w14:paraId="6BE1D885">
      <w:pPr>
        <w:ind w:firstLine="560"/>
      </w:pPr>
      <w:r>
        <w:rPr>
          <w:rFonts w:hint="eastAsia"/>
        </w:rPr>
        <w:t>（二）适用范围</w:t>
      </w:r>
    </w:p>
    <w:p w14:paraId="62A8FD0F">
      <w:pPr>
        <w:ind w:firstLine="560"/>
      </w:pPr>
      <w:r>
        <w:rPr>
          <w:rFonts w:hint="eastAsia"/>
        </w:rPr>
        <w:t>项目区域内因用人单位拖欠克扣农民工工资引发的突发事件的应急响应，包括:</w:t>
      </w:r>
    </w:p>
    <w:p w14:paraId="30E89052">
      <w:pPr>
        <w:ind w:firstLine="560"/>
      </w:pPr>
      <w:r>
        <w:rPr>
          <w:rFonts w:hint="eastAsia"/>
        </w:rPr>
        <w:t>1.罢工、停工、息工事件；</w:t>
      </w:r>
    </w:p>
    <w:p w14:paraId="77F7FA36">
      <w:pPr>
        <w:ind w:firstLine="560"/>
      </w:pPr>
      <w:r>
        <w:rPr>
          <w:rFonts w:hint="eastAsia"/>
        </w:rPr>
        <w:t>2.围堵项目部办公室、场区交通要道事件；</w:t>
      </w:r>
    </w:p>
    <w:p w14:paraId="605F7104">
      <w:pPr>
        <w:ind w:firstLine="560"/>
      </w:pPr>
      <w:r>
        <w:rPr>
          <w:rFonts w:hint="eastAsia"/>
        </w:rPr>
        <w:t>3.群殴、致人重伤或死亡事件；</w:t>
      </w:r>
    </w:p>
    <w:p w14:paraId="4738C163">
      <w:pPr>
        <w:ind w:firstLine="560"/>
      </w:pPr>
      <w:r>
        <w:rPr>
          <w:rFonts w:hint="eastAsia"/>
        </w:rPr>
        <w:t>4.自杀、自残等恶性事件；</w:t>
      </w:r>
    </w:p>
    <w:p w14:paraId="1A951301">
      <w:pPr>
        <w:ind w:firstLine="560"/>
      </w:pPr>
      <w:r>
        <w:rPr>
          <w:rFonts w:hint="eastAsia"/>
        </w:rPr>
        <w:t>5.造成农民工生活困难、危及人民生命财产安全、影响社会稳定的事件；</w:t>
      </w:r>
    </w:p>
    <w:p w14:paraId="202A055E">
      <w:pPr>
        <w:ind w:firstLine="560"/>
      </w:pPr>
      <w:r>
        <w:rPr>
          <w:rFonts w:hint="eastAsia"/>
        </w:rPr>
        <w:t>6.其他因拖欠克扣农民工工资引发的突发事件等。</w:t>
      </w:r>
    </w:p>
    <w:p w14:paraId="54A12436">
      <w:pPr>
        <w:ind w:firstLine="560"/>
      </w:pPr>
      <w:r>
        <w:rPr>
          <w:rFonts w:hint="eastAsia"/>
        </w:rPr>
        <w:t>（三）领导小组工作职责:</w:t>
      </w:r>
    </w:p>
    <w:p w14:paraId="361236B4">
      <w:pPr>
        <w:ind w:firstLine="560"/>
      </w:pPr>
      <w:r>
        <w:rPr>
          <w:rFonts w:hint="eastAsia"/>
        </w:rPr>
        <w:t>全面负责拖欠克扣农民工工资突发事件的应急处置工作。拖欠克扣农民工工资突发事件发生后，在领导小组的统一指挥下，根据情况，生产部门、安全部门、财务部门、劳务部门等应同时到场组成现场处理小组进行应急处理。</w:t>
      </w:r>
    </w:p>
    <w:p w14:paraId="67E27EBC">
      <w:pPr>
        <w:ind w:firstLine="560"/>
      </w:pPr>
      <w:r>
        <w:rPr>
          <w:rFonts w:hint="eastAsia"/>
        </w:rPr>
        <w:t>（四）各部门职责</w:t>
      </w:r>
    </w:p>
    <w:p w14:paraId="58C55025">
      <w:pPr>
        <w:ind w:firstLine="560"/>
      </w:pPr>
      <w:r>
        <w:rPr>
          <w:rFonts w:hint="eastAsia"/>
        </w:rPr>
        <w:t>（1）生产部门</w:t>
      </w:r>
    </w:p>
    <w:p w14:paraId="0B916E15">
      <w:pPr>
        <w:ind w:firstLine="560"/>
      </w:pPr>
      <w:r>
        <w:rPr>
          <w:rFonts w:hint="eastAsia"/>
        </w:rPr>
        <w:t>协助做好现场劳资双方当事人的调解工作，积极引导农民工通过协商、投诉、诉讼等正常渠道维护自己的合法权益。</w:t>
      </w:r>
    </w:p>
    <w:p w14:paraId="5D22A1D7">
      <w:pPr>
        <w:ind w:firstLine="560"/>
      </w:pPr>
      <w:r>
        <w:rPr>
          <w:rFonts w:hint="eastAsia"/>
        </w:rPr>
        <w:t>（2）财务部门</w:t>
      </w:r>
    </w:p>
    <w:p w14:paraId="3F1FB2C9">
      <w:pPr>
        <w:ind w:firstLine="560"/>
      </w:pPr>
      <w:r>
        <w:rPr>
          <w:rFonts w:hint="eastAsia"/>
        </w:rPr>
        <w:t>负责调查核实欠薪事实及数额，责令欠薪单位立即支付。协助做好拖欠克扣农民工工资突发事件的农民工工资核实工作，责令用工单位立即支付农民工工资。</w:t>
      </w:r>
    </w:p>
    <w:p w14:paraId="16297638">
      <w:pPr>
        <w:ind w:firstLine="560"/>
      </w:pPr>
      <w:r>
        <w:rPr>
          <w:rFonts w:hint="eastAsia"/>
        </w:rPr>
        <w:t>（3）安全部门</w:t>
      </w:r>
    </w:p>
    <w:p w14:paraId="0D37841A">
      <w:pPr>
        <w:ind w:firstLine="560"/>
      </w:pPr>
      <w:r>
        <w:rPr>
          <w:rFonts w:hint="eastAsia"/>
        </w:rPr>
        <w:t>畅通职工诉求表达渠道，及时了解并报告用人单位欠薪情况。负责维持现场秩序，预防、制止违法犯罪行为必要时拨打110。</w:t>
      </w:r>
    </w:p>
    <w:p w14:paraId="669EB9EC">
      <w:pPr>
        <w:ind w:firstLine="560"/>
      </w:pPr>
      <w:r>
        <w:rPr>
          <w:rFonts w:hint="eastAsia"/>
        </w:rPr>
        <w:t>（4）劳务部门</w:t>
      </w:r>
    </w:p>
    <w:p w14:paraId="26FBED50">
      <w:pPr>
        <w:ind w:firstLine="560"/>
      </w:pPr>
      <w:r>
        <w:rPr>
          <w:rFonts w:hint="eastAsia"/>
        </w:rPr>
        <w:t>负责宣传、教育并引导农民工按照国家法律法规，依法维护自身的合法权益。</w:t>
      </w:r>
    </w:p>
    <w:p w14:paraId="1AEFD900">
      <w:pPr>
        <w:ind w:firstLine="560"/>
      </w:pPr>
      <w:r>
        <w:rPr>
          <w:rFonts w:hint="eastAsia"/>
        </w:rPr>
        <w:t>（五）应急响应和处置程序</w:t>
      </w:r>
    </w:p>
    <w:p w14:paraId="6FCB591A">
      <w:pPr>
        <w:ind w:firstLine="560"/>
      </w:pPr>
      <w:r>
        <w:rPr>
          <w:rFonts w:hint="eastAsia"/>
        </w:rPr>
        <w:t>信息报告:发生拖欠克扣农民工工资突发事件后，应当在20分钟内上报领导小组，重特大事件应在10分钟内报告公司领导，报告内容为:</w:t>
      </w:r>
    </w:p>
    <w:p w14:paraId="3C6A45A5">
      <w:pPr>
        <w:ind w:firstLine="560"/>
      </w:pPr>
      <w:r>
        <w:rPr>
          <w:rFonts w:hint="eastAsia"/>
        </w:rPr>
        <w:t>1.突发事件发生的基本情况，包括时间、地点、规模、涉及人员、破坏程度以及伤亡等情况。</w:t>
      </w:r>
    </w:p>
    <w:p w14:paraId="7F3DF279">
      <w:pPr>
        <w:ind w:firstLine="560"/>
      </w:pPr>
      <w:r>
        <w:rPr>
          <w:rFonts w:hint="eastAsia"/>
        </w:rPr>
        <w:t>2.突发事件发生的起因分析、性质判断和影响程度预测。</w:t>
      </w:r>
    </w:p>
    <w:p w14:paraId="4EEF782C">
      <w:pPr>
        <w:ind w:firstLine="560"/>
      </w:pPr>
      <w:r>
        <w:rPr>
          <w:rFonts w:hint="eastAsia"/>
        </w:rPr>
        <w:t>3.突发事件发生的用人单位和有关部门已做好工作和采取的措施及处理情况。</w:t>
      </w:r>
    </w:p>
    <w:p w14:paraId="3FE23765">
      <w:pPr>
        <w:ind w:firstLine="560"/>
      </w:pPr>
      <w:r>
        <w:rPr>
          <w:rFonts w:hint="eastAsia"/>
        </w:rPr>
        <w:t>4.其他已掌握的情况。启动预案拖欠克扣农民工工资突发事件发生后，领导小组根据实际情况，由领导小组下令启动应急预案。</w:t>
      </w:r>
    </w:p>
    <w:p w14:paraId="508A30EF">
      <w:pPr>
        <w:ind w:firstLine="560"/>
      </w:pPr>
      <w:r>
        <w:rPr>
          <w:rFonts w:hint="eastAsia"/>
        </w:rPr>
        <w:t>应急处置</w:t>
      </w:r>
    </w:p>
    <w:p w14:paraId="2067227A">
      <w:pPr>
        <w:ind w:firstLine="560"/>
      </w:pPr>
      <w:r>
        <w:rPr>
          <w:rFonts w:hint="eastAsia"/>
        </w:rPr>
        <w:t>各部门在接到预案启动指令的20分钟内，根据案情投入应急处理工作。各部门在接到通知后，应快速赶赴现场，在领导的统一指挥下，了解情况，进行初步分析研究，按各自职责果断处置。</w:t>
      </w:r>
    </w:p>
    <w:p w14:paraId="21C7C1BC">
      <w:pPr>
        <w:ind w:firstLine="560"/>
      </w:pPr>
      <w:r>
        <w:rPr>
          <w:rFonts w:hint="eastAsia"/>
        </w:rPr>
        <w:t>（六）后期处置</w:t>
      </w:r>
    </w:p>
    <w:p w14:paraId="40A2DBAB">
      <w:pPr>
        <w:ind w:firstLine="560"/>
      </w:pPr>
      <w:r>
        <w:rPr>
          <w:rFonts w:hint="eastAsia"/>
        </w:rPr>
        <w:t>拖欠克扣农民工工资突发事件发生后，领导小组应做好预案的后期组织、协调、监督，有关部门应督促、帮助用人单位尽快恢复生产序，完善劳动用工管理，及时向公司领导报告后期处置工作进展情况。将发生拖欠克扣农民工资突发事件的用人单位列入诚信系统黑名单。拖欠克扣农民工工资突发事件结束后，领导小组要组织相关人员对事件进行分析，评估事件后果，总结经验教训，进一步巩固成果，防止事件反弹，并对事件处理情况进行上报。项目领导小组要在事件结束后的10个工作日内向公司领导提交处置报告。内容包括:发生突发事件单位的基本情况、导致突发事件的原因、事态发展趋势、处理经过、处理结果、进度、形象影响评估等。</w:t>
      </w:r>
    </w:p>
    <w:p w14:paraId="3A2416B9">
      <w:pPr>
        <w:ind w:firstLine="560"/>
      </w:pPr>
      <w:r>
        <w:rPr>
          <w:rFonts w:hint="eastAsia"/>
        </w:rPr>
        <w:t>在预防和处置拖欠克扣农民工工资突发事件中，部门及工作人员有下列情形之一的，应当严肃追究有关领导和相关人员的责任:</w:t>
      </w:r>
    </w:p>
    <w:p w14:paraId="6254154F">
      <w:pPr>
        <w:ind w:firstLine="560"/>
      </w:pPr>
      <w:r>
        <w:rPr>
          <w:rFonts w:hint="eastAsia"/>
        </w:rPr>
        <w:t>1.对本工程区和所属单位开展拖欠克扣农民工工资预警预报工作不重视，不负责，情况不明，措施不力，造成劳动纠纷不断，拖欠克扣农民工工资突发事件多发，社会影响恶劣的。</w:t>
      </w:r>
    </w:p>
    <w:p w14:paraId="6AEE53B2">
      <w:pPr>
        <w:ind w:firstLine="560"/>
      </w:pPr>
      <w:r>
        <w:rPr>
          <w:rFonts w:hint="eastAsia"/>
        </w:rPr>
        <w:t>2.对农民工反映的可能引发灾发事件的问题不关心，或处理不当导致问题趋向激化；多次发生，长期得不到解决，致使问题和矛盾越来越多，事件苗头发现不及时，发生突发事件等现象的;对拖欠克扣农民工工资情况发生后，缓报、谎报、瞒报或未采取积极有效措施进行调查处理，或在调查处理工作中推诿扯皮、处置不力，以致延误时机，造成不良影响和后果的。</w:t>
      </w:r>
    </w:p>
    <w:p w14:paraId="47079001">
      <w:pPr>
        <w:pStyle w:val="5"/>
        <w:spacing w:before="31" w:after="31"/>
        <w:ind w:firstLine="562"/>
      </w:pPr>
      <w:bookmarkStart w:id="9710" w:name="_Toc27831"/>
      <w:bookmarkStart w:id="9711" w:name="_Toc19436"/>
      <w:bookmarkStart w:id="9712" w:name="_Toc20658"/>
      <w:bookmarkStart w:id="9713" w:name="_Toc3871"/>
      <w:bookmarkStart w:id="9714" w:name="_Toc23116"/>
      <w:bookmarkStart w:id="9715" w:name="_Toc6631"/>
      <w:bookmarkStart w:id="9716" w:name="_Toc21257"/>
      <w:bookmarkStart w:id="9717" w:name="_Toc25795"/>
      <w:bookmarkStart w:id="9718" w:name="_Toc890"/>
      <w:bookmarkStart w:id="9719" w:name="_Toc23871"/>
      <w:bookmarkStart w:id="9720" w:name="_Toc15495"/>
      <w:bookmarkStart w:id="9721" w:name="_Toc6119"/>
      <w:bookmarkStart w:id="9722" w:name="_Toc140"/>
      <w:bookmarkStart w:id="9723" w:name="_Toc14522"/>
      <w:bookmarkStart w:id="9724" w:name="_Toc17058"/>
      <w:bookmarkStart w:id="9725" w:name="_Toc12718"/>
      <w:bookmarkStart w:id="9726" w:name="_Toc12374"/>
      <w:bookmarkStart w:id="9727" w:name="_Toc20541"/>
      <w:bookmarkStart w:id="9728" w:name="_Toc28874"/>
      <w:bookmarkStart w:id="9729" w:name="_Toc29129"/>
      <w:bookmarkStart w:id="9730" w:name="_Toc1704"/>
      <w:bookmarkStart w:id="9731" w:name="_Toc12055"/>
      <w:bookmarkStart w:id="9732" w:name="_Toc449"/>
      <w:bookmarkStart w:id="9733" w:name="_Toc28486"/>
      <w:bookmarkStart w:id="9734" w:name="_Toc8015"/>
      <w:bookmarkStart w:id="9735" w:name="_Toc28402"/>
      <w:bookmarkStart w:id="9736" w:name="_Toc27821"/>
      <w:bookmarkStart w:id="9737" w:name="_Toc18444"/>
      <w:bookmarkStart w:id="9738" w:name="_Toc26709"/>
      <w:bookmarkStart w:id="9739" w:name="_Toc6273"/>
      <w:bookmarkStart w:id="9740" w:name="_Toc21966"/>
      <w:bookmarkStart w:id="9741" w:name="_Toc20626"/>
      <w:bookmarkStart w:id="9742" w:name="_Toc2548"/>
      <w:bookmarkStart w:id="9743" w:name="_Toc26769"/>
      <w:bookmarkStart w:id="9744" w:name="_Toc14470"/>
      <w:bookmarkStart w:id="9745" w:name="_Toc5956"/>
      <w:bookmarkStart w:id="9746" w:name="_Toc13945"/>
      <w:bookmarkStart w:id="9747" w:name="_Toc998"/>
      <w:bookmarkStart w:id="9748" w:name="_Toc26294"/>
      <w:bookmarkStart w:id="9749" w:name="_Toc14738"/>
      <w:bookmarkStart w:id="9750" w:name="_Toc8026"/>
      <w:bookmarkStart w:id="9751" w:name="_Toc18394"/>
      <w:bookmarkStart w:id="9752" w:name="_Toc8173"/>
      <w:bookmarkStart w:id="9753" w:name="_Toc20775"/>
      <w:bookmarkStart w:id="9754" w:name="_Toc29921"/>
      <w:bookmarkStart w:id="9755" w:name="_Toc9569"/>
      <w:bookmarkStart w:id="9756" w:name="_Toc4182"/>
      <w:bookmarkStart w:id="9757" w:name="_Toc16224"/>
      <w:bookmarkStart w:id="9758" w:name="_Toc23193"/>
      <w:bookmarkStart w:id="9759" w:name="_Toc25392"/>
      <w:bookmarkStart w:id="9760" w:name="_Toc20397"/>
      <w:r>
        <w:rPr>
          <w:rFonts w:hint="eastAsia"/>
        </w:rPr>
        <w:t>（十二）农民工工资发放保证措施</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bookmarkEnd w:id="9752"/>
      <w:bookmarkEnd w:id="9753"/>
      <w:bookmarkEnd w:id="9754"/>
      <w:bookmarkEnd w:id="9755"/>
      <w:bookmarkEnd w:id="9756"/>
      <w:bookmarkEnd w:id="9757"/>
      <w:bookmarkEnd w:id="9758"/>
      <w:bookmarkEnd w:id="9759"/>
      <w:bookmarkEnd w:id="9760"/>
    </w:p>
    <w:p w14:paraId="78C2B67B">
      <w:pPr>
        <w:ind w:firstLine="560"/>
      </w:pPr>
      <w:r>
        <w:rPr>
          <w:rFonts w:hint="eastAsia"/>
        </w:rPr>
        <w:t>（一）严格执行国家劳动和社会保障部关于保障农民工工资支付的四项基本措施：</w:t>
      </w:r>
    </w:p>
    <w:p w14:paraId="20270EF3">
      <w:pPr>
        <w:ind w:firstLine="560"/>
      </w:pPr>
      <w:r>
        <w:rPr>
          <w:rFonts w:hint="eastAsia"/>
        </w:rPr>
        <w:t>1、是建立工资支付监控制度，全面监控和重点监控相结合，列为重点监控对象的，要定期向劳动保障部门报送工资支付情况；建立施工单位工资支付信息网络，完善监控手段。</w:t>
      </w:r>
    </w:p>
    <w:p w14:paraId="2E3519E2">
      <w:pPr>
        <w:ind w:firstLine="560"/>
      </w:pPr>
      <w:r>
        <w:rPr>
          <w:rFonts w:hint="eastAsia"/>
        </w:rPr>
        <w:t>2、是推行工资保证金制度，施工单位缴纳一定数额的工资保证金，以保证农民工工资不因单位资金状况而被拖欠。</w:t>
      </w:r>
    </w:p>
    <w:p w14:paraId="393C3030">
      <w:pPr>
        <w:ind w:firstLine="560"/>
      </w:pPr>
      <w:r>
        <w:rPr>
          <w:rFonts w:hint="eastAsia"/>
        </w:rPr>
        <w:t>3、是推行企业劳动保障诚信制度，规范施工单位用工和工资支付行为。</w:t>
      </w:r>
    </w:p>
    <w:p w14:paraId="12AE887E">
      <w:pPr>
        <w:ind w:firstLine="560"/>
      </w:pPr>
      <w:r>
        <w:rPr>
          <w:rFonts w:hint="eastAsia"/>
        </w:rPr>
        <w:t>4、全面推进劳动合同制度实施行动计划，用人单位招用农民工都依法订立书面劳动合同，建立权利义务明确、规范的劳动关系。</w:t>
      </w:r>
    </w:p>
    <w:p w14:paraId="62B05B1F">
      <w:pPr>
        <w:ind w:firstLine="560"/>
      </w:pPr>
      <w:r>
        <w:rPr>
          <w:rFonts w:hint="eastAsia"/>
        </w:rPr>
        <w:t>（二）为了保证民工工资，我公司做了多项保证措施。</w:t>
      </w:r>
    </w:p>
    <w:p w14:paraId="2437B21D">
      <w:pPr>
        <w:ind w:firstLine="560"/>
      </w:pPr>
      <w:r>
        <w:rPr>
          <w:rFonts w:hint="eastAsia"/>
        </w:rPr>
        <w:t>1、俗话说，一份辛劳一份收获，我公司各有关部门积极采取措施，保证农民工工资及时发放、让农民工劳有所得，也促进了企业的发展。为了保证工人工资得到保障，我公司单独开设了农民工调查小组。专门调查解决农民工拖欠、纠纷等现象，一经发现公司将对其严厉处罚，做到“工程清工资清”，决不拖欠民工一分钱。</w:t>
      </w:r>
    </w:p>
    <w:p w14:paraId="55CEF5E7">
      <w:pPr>
        <w:ind w:firstLine="560"/>
      </w:pPr>
      <w:r>
        <w:rPr>
          <w:rFonts w:hint="eastAsia"/>
        </w:rPr>
        <w:t>2、我公司为民工设立了绿色通道及意见箱，民工有意见或事情可以直接到公司找相关单位，并且为其大力解决难题。</w:t>
      </w:r>
    </w:p>
    <w:p w14:paraId="3C86BB0E">
      <w:pPr>
        <w:ind w:firstLine="560"/>
      </w:pPr>
      <w:r>
        <w:rPr>
          <w:rFonts w:hint="eastAsia"/>
        </w:rPr>
        <w:t>3、在所在地区劳动保障行政部门与建设行政主管部门管理下，我公司督促施工单位与民工签订了劳动合同，保证民工及时拿到自己的辛苦钱，也保证了工程建设的顺利进展。</w:t>
      </w:r>
    </w:p>
    <w:p w14:paraId="7280C4D4">
      <w:pPr>
        <w:ind w:firstLine="560"/>
      </w:pPr>
      <w:r>
        <w:rPr>
          <w:rFonts w:hint="eastAsia"/>
        </w:rPr>
        <w:t>4、我公司设立民工工资专用帐户，预存工资款，避免了由于工程中一些复杂问题而造成资金困难，使的工资迟迟发不下去。建立专用帐户正是能保障工程在危急时候能够保证民工工资。</w:t>
      </w:r>
    </w:p>
    <w:p w14:paraId="0B8E324D">
      <w:pPr>
        <w:ind w:firstLine="560"/>
      </w:pPr>
      <w:r>
        <w:rPr>
          <w:rFonts w:hint="eastAsia"/>
        </w:rPr>
        <w:t>5、保证按月发放工资，要求施工单位每月准时发放民工工资。</w:t>
      </w:r>
    </w:p>
    <w:p w14:paraId="7CAE0FD8">
      <w:pPr>
        <w:ind w:firstLine="560"/>
      </w:pPr>
      <w:r>
        <w:rPr>
          <w:rFonts w:hint="eastAsia"/>
        </w:rPr>
        <w:t>6、我公司采取“举证责任倒置”办法，即由用人单位负责举证，企业拿不出工资发放证据就视为欠薪，解决了农民工讨薪时“举证难”的问题。在目前农民工讨薪难的大环境下，不失为一种方便农民工的行政举措。</w:t>
      </w:r>
    </w:p>
    <w:p w14:paraId="7628A99C">
      <w:pPr>
        <w:ind w:firstLine="560"/>
      </w:pPr>
      <w:r>
        <w:rPr>
          <w:rFonts w:hint="eastAsia"/>
        </w:rPr>
        <w:t>（三）不拖欠农民工工资的承诺书为认真贯彻落实各上级主管部门关于切实解决建设领域拖欠工程款的民工工资问题的要求，我公司承诺：决不出现施工单位拖欠民工工资。具体措施为：</w:t>
      </w:r>
    </w:p>
    <w:p w14:paraId="6C8F77BF">
      <w:pPr>
        <w:ind w:firstLine="560"/>
      </w:pPr>
      <w:r>
        <w:rPr>
          <w:rFonts w:hint="eastAsia"/>
        </w:rPr>
        <w:t>1、施工单位与所有民工签订劳动合同。</w:t>
      </w:r>
    </w:p>
    <w:p w14:paraId="1F038110">
      <w:pPr>
        <w:ind w:firstLine="560"/>
      </w:pPr>
      <w:r>
        <w:rPr>
          <w:rFonts w:hint="eastAsia"/>
        </w:rPr>
        <w:t>2、开设专门帐户，由公司财务派专人专管，保证工程款的专款专用。</w:t>
      </w:r>
    </w:p>
    <w:p w14:paraId="7D9EDBD0">
      <w:pPr>
        <w:ind w:firstLine="560"/>
      </w:pPr>
      <w:r>
        <w:rPr>
          <w:rFonts w:hint="eastAsia"/>
        </w:rPr>
        <w:t>3、根据工程进度计划，让施工单位制订出民工工资支付计划表。</w:t>
      </w:r>
    </w:p>
    <w:p w14:paraId="384DD325">
      <w:pPr>
        <w:ind w:firstLine="560"/>
      </w:pPr>
      <w:r>
        <w:rPr>
          <w:rFonts w:hint="eastAsia"/>
        </w:rPr>
        <w:t>4、将民工工资的支付情况纳入项目经理部的各项考核指标中进行统一考核。</w:t>
      </w:r>
    </w:p>
    <w:p w14:paraId="1F3EEA99">
      <w:pPr>
        <w:ind w:firstLine="560"/>
      </w:pPr>
      <w:r>
        <w:rPr>
          <w:rFonts w:hint="eastAsia"/>
        </w:rPr>
        <w:t>5、严格按行政主管部门规定，足额发放农民工工资如果发生农民工工资拖欠现象，无条件接受上级主管部门处罚。</w:t>
      </w:r>
    </w:p>
    <w:p w14:paraId="0A8BFAD0">
      <w:pPr>
        <w:ind w:firstLine="560"/>
      </w:pPr>
      <w:bookmarkStart w:id="9761" w:name="_Toc14899"/>
      <w:bookmarkStart w:id="9762" w:name="_Toc28034"/>
      <w:bookmarkStart w:id="9763" w:name="_Toc28730"/>
      <w:bookmarkStart w:id="9764" w:name="_Toc23607"/>
      <w:bookmarkStart w:id="9765" w:name="_Toc5785"/>
      <w:bookmarkStart w:id="9766" w:name="_Toc2046"/>
      <w:bookmarkStart w:id="9767" w:name="_Toc12486"/>
      <w:bookmarkStart w:id="9768" w:name="_Toc10449"/>
      <w:bookmarkStart w:id="9769" w:name="_Toc10824"/>
      <w:bookmarkStart w:id="9770" w:name="_Toc27376"/>
      <w:bookmarkStart w:id="9771" w:name="_Toc14049"/>
      <w:bookmarkStart w:id="9772" w:name="_Toc19024"/>
      <w:bookmarkStart w:id="9773" w:name="_Toc11636"/>
      <w:bookmarkStart w:id="9774" w:name="_Toc1939"/>
      <w:bookmarkStart w:id="9775" w:name="_Toc5696"/>
      <w:bookmarkStart w:id="9776" w:name="_Toc10510"/>
      <w:bookmarkStart w:id="9777" w:name="_Toc9182"/>
      <w:bookmarkStart w:id="9778" w:name="_Toc10749"/>
      <w:bookmarkStart w:id="9779" w:name="_Toc7767"/>
      <w:bookmarkStart w:id="9780" w:name="_Toc3947"/>
      <w:bookmarkStart w:id="9781" w:name="_Toc26169"/>
      <w:bookmarkStart w:id="9782" w:name="_Toc4926"/>
      <w:bookmarkStart w:id="9783" w:name="_Toc4854"/>
      <w:bookmarkStart w:id="9784" w:name="_Toc17716"/>
      <w:bookmarkStart w:id="9785" w:name="_Toc16951"/>
      <w:bookmarkStart w:id="9786" w:name="_Toc16486"/>
      <w:bookmarkStart w:id="9787" w:name="_Toc5164"/>
      <w:bookmarkStart w:id="9788" w:name="_Toc26160"/>
      <w:bookmarkStart w:id="9789" w:name="_Toc28701"/>
      <w:bookmarkStart w:id="9790" w:name="_Toc14454"/>
      <w:bookmarkStart w:id="9791" w:name="_Toc13111"/>
      <w:bookmarkStart w:id="9792" w:name="_Toc29720"/>
      <w:bookmarkStart w:id="9793" w:name="_Toc12884"/>
      <w:bookmarkStart w:id="9794" w:name="_Toc23409"/>
      <w:bookmarkStart w:id="9795" w:name="_Toc12683"/>
      <w:bookmarkStart w:id="9796" w:name="_Toc807"/>
      <w:bookmarkStart w:id="9797" w:name="_Toc25677"/>
      <w:bookmarkStart w:id="9798" w:name="_Toc28241"/>
      <w:bookmarkStart w:id="9799" w:name="_Toc9303"/>
      <w:bookmarkStart w:id="9800" w:name="_Toc7806"/>
      <w:bookmarkStart w:id="9801" w:name="_Toc25736"/>
      <w:bookmarkStart w:id="9802" w:name="_Toc1736"/>
      <w:bookmarkStart w:id="9803" w:name="_Toc8992"/>
      <w:bookmarkStart w:id="9804" w:name="_Toc15398"/>
      <w:bookmarkStart w:id="9805" w:name="_Toc12807"/>
      <w:bookmarkStart w:id="9806" w:name="_Toc14153"/>
      <w:bookmarkStart w:id="9807" w:name="_Toc19932"/>
      <w:bookmarkStart w:id="9808" w:name="_Toc17258"/>
      <w:bookmarkStart w:id="9809" w:name="_Toc18227"/>
      <w:bookmarkStart w:id="9810" w:name="_Toc6282"/>
      <w:bookmarkStart w:id="9811" w:name="_Toc22407"/>
      <w:bookmarkStart w:id="9812" w:name="_Toc29391"/>
      <w:bookmarkStart w:id="9813" w:name="_Toc22154"/>
      <w:bookmarkStart w:id="9814" w:name="_Toc21650"/>
      <w:r>
        <w:rPr>
          <w:rFonts w:hint="eastAsia"/>
        </w:rPr>
        <w:t>（四）民工工资支付的方案</w:t>
      </w:r>
      <w:bookmarkEnd w:id="9761"/>
      <w:bookmarkEnd w:id="9762"/>
      <w:bookmarkEnd w:id="9763"/>
      <w:bookmarkEnd w:id="9764"/>
      <w:bookmarkEnd w:id="9765"/>
      <w:bookmarkEnd w:id="9766"/>
      <w:bookmarkEnd w:id="9767"/>
      <w:bookmarkEnd w:id="9768"/>
      <w:bookmarkEnd w:id="9769"/>
      <w:bookmarkEnd w:id="9770"/>
      <w:bookmarkEnd w:id="9771"/>
      <w:bookmarkEnd w:id="9772"/>
      <w:bookmarkEnd w:id="9773"/>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bookmarkEnd w:id="9814"/>
    </w:p>
    <w:p w14:paraId="6213E86E">
      <w:pPr>
        <w:ind w:firstLine="560"/>
      </w:pPr>
      <w:r>
        <w:rPr>
          <w:rFonts w:hint="eastAsia"/>
        </w:rPr>
        <w:t>对所有进场工人签订用工协议，在用工协议上明确甲乙双方的责任和民工工资，注意民工不得低于当地最低工资标准。</w:t>
      </w:r>
    </w:p>
    <w:p w14:paraId="734510D6">
      <w:pPr>
        <w:ind w:firstLine="560"/>
      </w:pPr>
      <w:r>
        <w:rPr>
          <w:rFonts w:hint="eastAsia"/>
        </w:rPr>
        <w:t>工资支付办法应包括以下内容：支付项目、支付标准、支付方式、支付周期和日期、加班工资计算基数、特殊情况下的工资支付以及其他工资支付内容。</w:t>
      </w:r>
    </w:p>
    <w:p w14:paraId="11758364">
      <w:pPr>
        <w:ind w:firstLine="560"/>
      </w:pPr>
      <w:r>
        <w:rPr>
          <w:rFonts w:hint="eastAsia"/>
        </w:rPr>
        <w:t>工人工资由劳务施工企业支付的，现场指挥部综合办公室对劳务施工企业支付农民工工资情况进行监督。对由我公司自行组织工人进行劳务作业的，其工资由我公司发直接放给农民工本人。</w:t>
      </w:r>
    </w:p>
    <w:p w14:paraId="76E36BB2">
      <w:pPr>
        <w:ind w:firstLine="560"/>
      </w:pPr>
      <w:r>
        <w:rPr>
          <w:rFonts w:hint="eastAsia"/>
        </w:rPr>
        <w:t>严禁将工资交给劳务承包人或其他不具备用工主体资格的组织和个人发放。支付民工工资应编制工资支付表，如实记录支付单位、支付时间、支付对象、支付数额等工资支付情况，并保存两年以上备查。每月一次，定期发给劳动者应得工资，不得以任何借口拖欠或克扣员工工资。按月支付工人工资，工资不得低于当地最低工资标准，施工现场必须在告示栏中公告每月工资发放时间、当地政府规定的最低工资标准以及企业劳动工资部门的电话，以接受工人监督。</w:t>
      </w:r>
    </w:p>
    <w:p w14:paraId="4E10547F">
      <w:pPr>
        <w:ind w:firstLine="560"/>
      </w:pPr>
      <w:r>
        <w:rPr>
          <w:rFonts w:hint="eastAsia"/>
        </w:rPr>
        <w:t>对计件班组，领取工资时必须由班长和副班长两人同时签领，共同负责。领取工资后，最迟次日要发到该班工人手中，并做好签收。两天内把发放签收表报到综合办。工地对工程承包队的工资发放，以完成工作量的一定比例，分期支付。</w:t>
      </w:r>
    </w:p>
    <w:p w14:paraId="37728952">
      <w:pPr>
        <w:ind w:firstLine="560"/>
      </w:pPr>
      <w:r>
        <w:rPr>
          <w:rFonts w:hint="eastAsia"/>
        </w:rPr>
        <w:t>每月发放工资都要公示并督促其及时发到班组，并会知所属班组长和工人，指挥部综合办负责跟进。工人班组退场时，要及时进行工程结算和质量检测，发给他们应得的工资，避免滞留发生不必要的纠纷。班内少数人或个别人退场，班组长和专业队长，要先行发放他们的工资。如有争议或资金不足发放他们的工资，可找工资管理小组或综合办协助处理。</w:t>
      </w:r>
    </w:p>
    <w:p w14:paraId="59E064E7">
      <w:pPr>
        <w:ind w:firstLine="560"/>
      </w:pPr>
      <w:r>
        <w:rPr>
          <w:rFonts w:hint="eastAsia"/>
        </w:rPr>
        <w:t>与施工单位签订施工合同时，合同应含有确保遵守有关法律、法规和及时发放民工工资的条款，总承包商有权对此进行监督。</w:t>
      </w:r>
    </w:p>
    <w:p w14:paraId="7470BE3B">
      <w:pPr>
        <w:ind w:firstLine="560"/>
      </w:pPr>
      <w:bookmarkStart w:id="9815" w:name="_Toc30634"/>
      <w:bookmarkStart w:id="9816" w:name="_Toc19001"/>
      <w:bookmarkStart w:id="9817" w:name="_Toc23523"/>
      <w:bookmarkStart w:id="9818" w:name="_Toc18437"/>
      <w:bookmarkStart w:id="9819" w:name="_Toc14407"/>
      <w:bookmarkStart w:id="9820" w:name="_Toc22278"/>
      <w:bookmarkStart w:id="9821" w:name="_Toc2253"/>
      <w:bookmarkStart w:id="9822" w:name="_Toc14390"/>
      <w:bookmarkStart w:id="9823" w:name="_Toc13107"/>
      <w:bookmarkStart w:id="9824" w:name="_Toc12985"/>
      <w:bookmarkStart w:id="9825" w:name="_Toc7578"/>
      <w:bookmarkStart w:id="9826" w:name="_Toc20174"/>
      <w:bookmarkStart w:id="9827" w:name="_Toc32646"/>
      <w:bookmarkStart w:id="9828" w:name="_Toc17063"/>
      <w:bookmarkStart w:id="9829" w:name="_Toc20754"/>
      <w:bookmarkStart w:id="9830" w:name="_Toc32422"/>
      <w:bookmarkStart w:id="9831" w:name="_Toc30954"/>
      <w:bookmarkStart w:id="9832" w:name="_Toc28185"/>
      <w:bookmarkStart w:id="9833" w:name="_Toc12322"/>
      <w:bookmarkStart w:id="9834" w:name="_Toc4419"/>
      <w:bookmarkStart w:id="9835" w:name="_Toc15955"/>
      <w:bookmarkStart w:id="9836" w:name="_Toc13676"/>
      <w:bookmarkStart w:id="9837" w:name="_Toc11685"/>
      <w:bookmarkStart w:id="9838" w:name="_Toc31156"/>
      <w:bookmarkStart w:id="9839" w:name="_Toc24415"/>
      <w:bookmarkStart w:id="9840" w:name="_Toc29890"/>
      <w:bookmarkStart w:id="9841" w:name="_Toc24964"/>
      <w:bookmarkStart w:id="9842" w:name="_Toc30177"/>
      <w:bookmarkStart w:id="9843" w:name="_Toc519"/>
      <w:bookmarkStart w:id="9844" w:name="_Toc21467"/>
      <w:bookmarkStart w:id="9845" w:name="_Toc8292"/>
      <w:bookmarkStart w:id="9846" w:name="_Toc7196"/>
      <w:bookmarkStart w:id="9847" w:name="_Toc30831"/>
      <w:bookmarkStart w:id="9848" w:name="_Toc12919"/>
      <w:bookmarkStart w:id="9849" w:name="_Toc11141"/>
      <w:bookmarkStart w:id="9850" w:name="_Toc9751"/>
      <w:bookmarkStart w:id="9851" w:name="_Toc2679"/>
      <w:bookmarkStart w:id="9852" w:name="_Toc13097"/>
      <w:bookmarkStart w:id="9853" w:name="_Toc13641"/>
      <w:bookmarkStart w:id="9854" w:name="_Toc5129"/>
      <w:bookmarkStart w:id="9855" w:name="_Toc18850"/>
      <w:bookmarkStart w:id="9856" w:name="_Toc29452"/>
      <w:bookmarkStart w:id="9857" w:name="_Toc8138"/>
      <w:bookmarkStart w:id="9858" w:name="_Toc9434"/>
      <w:bookmarkStart w:id="9859" w:name="_Toc28145"/>
      <w:bookmarkStart w:id="9860" w:name="_Toc30449"/>
      <w:bookmarkStart w:id="9861" w:name="_Toc16048"/>
      <w:bookmarkStart w:id="9862" w:name="_Toc3943"/>
      <w:bookmarkStart w:id="9863" w:name="_Toc19945"/>
      <w:bookmarkStart w:id="9864" w:name="_Toc2028"/>
      <w:bookmarkStart w:id="9865" w:name="_Toc26381"/>
      <w:bookmarkStart w:id="9866" w:name="_Toc25335"/>
      <w:bookmarkStart w:id="9867" w:name="_Toc1349"/>
      <w:bookmarkStart w:id="9868" w:name="_Toc11567"/>
      <w:bookmarkStart w:id="9869" w:name="_Toc1559"/>
      <w:r>
        <w:rPr>
          <w:rFonts w:hint="eastAsia"/>
        </w:rPr>
        <w:t>（五）保证农民工工资支付措施</w:t>
      </w:r>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bookmarkEnd w:id="9864"/>
      <w:bookmarkEnd w:id="9865"/>
      <w:bookmarkEnd w:id="9866"/>
      <w:bookmarkEnd w:id="9867"/>
      <w:bookmarkEnd w:id="9868"/>
      <w:bookmarkEnd w:id="9869"/>
    </w:p>
    <w:p w14:paraId="5DF39B90">
      <w:pPr>
        <w:ind w:firstLine="560"/>
      </w:pPr>
      <w:r>
        <w:rPr>
          <w:rFonts w:hint="eastAsia"/>
        </w:rPr>
        <w:t>必须严格按照《劳动法》、《工资支付暂行规定》和《最低工资规定》等有关规定支付农民工工资，不得拖欠或克扣。</w:t>
      </w:r>
    </w:p>
    <w:p w14:paraId="0CC9DB30">
      <w:pPr>
        <w:ind w:firstLine="560"/>
      </w:pPr>
      <w:r>
        <w:rPr>
          <w:rFonts w:hint="eastAsia"/>
        </w:rPr>
        <w:t>由现场管理指挥部综合治理办公室成立民工工资管理小组，在指挥部领导下，共同抓好本招标工程的民工工资管理工作。以每个施工区与作业队或班组签订用工协议，明确工程工作范围，进度和质量要求，结算单价，核算办法，工资发放期限和方法等内容，减少争议发生。劳动者进场时，查核相关证件，办理用工手续，建立名册。对作业队长，班组长和工资发放责任人，进行姓名、身份证号、居住地址，通讯电话号码等必要资料的登记，并对他们讲清工资发放规定和工资管理措施。各施工区定期对工程情况进行排查，看还需要什么专业队、大约多少人、什么时候进场、工作时间多长等。现工作的作业队或班组有多少个，各多少人，大约还要做多久，他们的工资发放情况如何，当他们退场时能否及时结算并发放工资，有没有足够的资金发放工资，如不够又有何办法，及时用书面报告给指挥部综合办。按规定记录工时或核定完成工作数量，作为计发报酬依据。对计件班组，领取工资时必须由班长和副班长两人同时签领，共同负责。</w:t>
      </w:r>
    </w:p>
    <w:p w14:paraId="0FCB9231">
      <w:pPr>
        <w:ind w:firstLine="560"/>
      </w:pPr>
      <w:r>
        <w:rPr>
          <w:rFonts w:hint="eastAsia"/>
        </w:rPr>
        <w:t>领取工资后，最迟次日要发到该班工人手中，并做好签收。两天内把发放签收表报到综合办。工地对工程承包队的工资发放，以完成工作量的一定比例，分期支付。</w:t>
      </w:r>
    </w:p>
    <w:p w14:paraId="0F3E2317">
      <w:pPr>
        <w:ind w:firstLine="560"/>
      </w:pPr>
      <w:r>
        <w:rPr>
          <w:rFonts w:hint="eastAsia"/>
        </w:rPr>
        <w:t>每月发放工资都要公示并督促其及时发到班组，并会知所属班组长和工人，指挥部综合办负责跟进。不得以任何借口拖欠或克扣员工工资，集体发放现金时，应派有关人员和保安队监护，确保安全发放。</w:t>
      </w:r>
    </w:p>
    <w:p w14:paraId="281C978F">
      <w:pPr>
        <w:ind w:firstLine="560"/>
      </w:pPr>
      <w:r>
        <w:rPr>
          <w:rFonts w:hint="eastAsia"/>
        </w:rPr>
        <w:t>如发生工资纠纷，现场管理人员立即查核了解、分析情况，作出裁定，避免事态扩大，并通知劳资工作小组人员协同处理。</w:t>
      </w:r>
    </w:p>
    <w:p w14:paraId="1A00431B">
      <w:pPr>
        <w:ind w:firstLine="560"/>
      </w:pPr>
      <w:r>
        <w:rPr>
          <w:rFonts w:hint="eastAsia"/>
        </w:rPr>
        <w:t>如发生班组长携款潜逃，造成工人不能及时领取工资，由所属的专业承包队负责人，先行垫支解决，再寻找班组长追究责任。如承包队一时难以筹款，工地可借支，日后在工程款中扣除。如发生作业承包队长携款潜逃，一时未能追回，则工地和项目部须预付款发给工人，确保工人劳动所得，维护社会稳定。</w:t>
      </w:r>
    </w:p>
    <w:p w14:paraId="3BFE595E">
      <w:pPr>
        <w:ind w:firstLine="560"/>
      </w:pPr>
      <w:r>
        <w:rPr>
          <w:rFonts w:hint="eastAsia"/>
        </w:rPr>
        <w:t>工地管理人员，不定期对在场工人了解工资发放情况，如发现有违反劳动政策和损害工人利益的情况，及时干预，防患于未然。并坚持每月一报该工地当月工资发放情况，特别要注明有否拖欠，拖欠原因和解决办法。</w:t>
      </w:r>
    </w:p>
    <w:p w14:paraId="59996838">
      <w:pPr>
        <w:ind w:firstLine="560"/>
      </w:pPr>
      <w:r>
        <w:rPr>
          <w:rFonts w:hint="eastAsia"/>
        </w:rPr>
        <w:t>如发生意外事故，现场管理指挥部、项目经理部及各施工区项目部相应部门及人员，随时赶到现场，尽快解决，维护正常生产秩序和社会安定。现场管理指挥部综合办实行24小时值班制度，开通24小时值班电话，及时为民工排忧解难。</w:t>
      </w:r>
    </w:p>
    <w:p w14:paraId="77B12844">
      <w:pPr>
        <w:ind w:firstLine="560"/>
      </w:pPr>
      <w:bookmarkStart w:id="9870" w:name="_Toc9891"/>
      <w:bookmarkStart w:id="9871" w:name="_Toc18290"/>
      <w:bookmarkStart w:id="9872" w:name="_Toc21261"/>
      <w:bookmarkStart w:id="9873" w:name="_Toc15469"/>
      <w:bookmarkStart w:id="9874" w:name="_Toc22010"/>
      <w:bookmarkStart w:id="9875" w:name="_Toc14129"/>
      <w:bookmarkStart w:id="9876" w:name="_Toc13618"/>
      <w:bookmarkStart w:id="9877" w:name="_Toc17076"/>
      <w:bookmarkStart w:id="9878" w:name="_Toc24769"/>
      <w:bookmarkStart w:id="9879" w:name="_Toc19738"/>
      <w:bookmarkStart w:id="9880" w:name="_Toc15604"/>
      <w:bookmarkStart w:id="9881" w:name="_Toc4450"/>
      <w:bookmarkStart w:id="9882" w:name="_Toc15316"/>
      <w:bookmarkStart w:id="9883" w:name="_Toc27729"/>
      <w:bookmarkStart w:id="9884" w:name="_Toc16349"/>
      <w:bookmarkStart w:id="9885" w:name="_Toc15391"/>
      <w:bookmarkStart w:id="9886" w:name="_Toc4053"/>
      <w:bookmarkStart w:id="9887" w:name="_Toc10648"/>
      <w:bookmarkStart w:id="9888" w:name="_Toc21626"/>
      <w:bookmarkStart w:id="9889" w:name="_Toc8130"/>
      <w:bookmarkStart w:id="9890" w:name="_Toc5401"/>
      <w:bookmarkStart w:id="9891" w:name="_Toc17249"/>
      <w:bookmarkStart w:id="9892" w:name="_Toc19238"/>
      <w:bookmarkStart w:id="9893" w:name="_Toc29378"/>
      <w:bookmarkStart w:id="9894" w:name="_Toc20152"/>
      <w:bookmarkStart w:id="9895" w:name="_Toc23688"/>
      <w:bookmarkStart w:id="9896" w:name="_Toc6167"/>
      <w:bookmarkStart w:id="9897" w:name="_Toc4480"/>
      <w:bookmarkStart w:id="9898" w:name="_Toc15010"/>
      <w:bookmarkStart w:id="9899" w:name="_Toc15598"/>
      <w:bookmarkStart w:id="9900" w:name="_Toc16549"/>
      <w:bookmarkStart w:id="9901" w:name="_Toc70"/>
      <w:bookmarkStart w:id="9902" w:name="_Toc12603"/>
      <w:bookmarkStart w:id="9903" w:name="_Toc14966"/>
      <w:bookmarkStart w:id="9904" w:name="_Toc10501"/>
      <w:bookmarkStart w:id="9905" w:name="_Toc32554"/>
      <w:bookmarkStart w:id="9906" w:name="_Toc32072"/>
      <w:bookmarkStart w:id="9907" w:name="_Toc9574"/>
      <w:bookmarkStart w:id="9908" w:name="_Toc3730"/>
      <w:bookmarkStart w:id="9909" w:name="_Toc2754"/>
      <w:bookmarkStart w:id="9910" w:name="_Toc50"/>
      <w:bookmarkStart w:id="9911" w:name="_Toc27664"/>
      <w:bookmarkStart w:id="9912" w:name="_Toc24951"/>
      <w:bookmarkStart w:id="9913" w:name="_Toc25624"/>
      <w:bookmarkStart w:id="9914" w:name="_Toc27426"/>
      <w:bookmarkStart w:id="9915" w:name="_Toc7565"/>
      <w:bookmarkStart w:id="9916" w:name="_Toc14107"/>
      <w:bookmarkStart w:id="9917" w:name="_Toc3688"/>
      <w:bookmarkStart w:id="9918" w:name="_Toc1721"/>
      <w:r>
        <w:rPr>
          <w:rFonts w:hint="eastAsia"/>
        </w:rPr>
        <w:t>（六）农民工工资发放承诺</w:t>
      </w:r>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p>
    <w:p w14:paraId="45934726">
      <w:pPr>
        <w:ind w:firstLine="560"/>
      </w:pPr>
      <w:r>
        <w:rPr>
          <w:rFonts w:hint="eastAsia"/>
        </w:rPr>
        <w:t>我项目部签订劳务施工合同，为保障工程中的农民工工资发放工作顺利进行和落实，我项目部做出如下承诺：</w:t>
      </w:r>
    </w:p>
    <w:p w14:paraId="1A16874E">
      <w:pPr>
        <w:ind w:firstLine="560"/>
      </w:pPr>
      <w:r>
        <w:rPr>
          <w:rFonts w:hint="eastAsia"/>
        </w:rPr>
        <w:t>1、根据国家有关规定，我项目部按照制式合同，与农民工签定用工合同，规定工资支付标准、支付方式、支付周期和日期及特殊情况下工资支付内容。施工作业班组、劳务施工单位等不具备用工主体资格,不得与农民工签订劳动合同。</w:t>
      </w:r>
    </w:p>
    <w:p w14:paraId="02697C8D">
      <w:pPr>
        <w:ind w:firstLine="560"/>
      </w:pPr>
      <w:r>
        <w:rPr>
          <w:rFonts w:hint="eastAsia"/>
        </w:rPr>
        <w:t>2、我项目部对农民工工资的支付负直接责任，全面负责与之形成劳动关系的农民工的用工管理。</w:t>
      </w:r>
    </w:p>
    <w:p w14:paraId="3EA315F0">
      <w:pPr>
        <w:ind w:firstLine="560"/>
      </w:pPr>
      <w:r>
        <w:rPr>
          <w:rFonts w:hint="eastAsia"/>
        </w:rPr>
        <w:t>3、我部若有拖欠农民工工资的行为是我项目部与农民工之间发生的违约责任，其法律责任与法律后果施工方不负任何责任。</w:t>
      </w:r>
    </w:p>
    <w:p w14:paraId="6547A0E7">
      <w:pPr>
        <w:ind w:firstLine="560"/>
      </w:pPr>
      <w:r>
        <w:rPr>
          <w:rFonts w:hint="eastAsia"/>
        </w:rPr>
        <w:t>4、我项目部农民工工资的支付工作接受监督管理，双方签定的施工合同必须就施工方农民工工资的支付作出约定，我项目部按施工方提供的规范文本签定保障农民工工资发放工作的承诺书。我项目部若有违反合同约定中农民工工资支付相关条款及承诺书中条款的行为，全部责任由我项目部承担，并按合同约定的违约条款对施工方负责。</w:t>
      </w:r>
    </w:p>
    <w:p w14:paraId="501B01AD">
      <w:pPr>
        <w:ind w:firstLine="560"/>
      </w:pPr>
      <w:r>
        <w:rPr>
          <w:rFonts w:hint="eastAsia"/>
        </w:rPr>
        <w:t>5、我项目部在农民工进场后10日内建立进场农民工花名册，其中包含进场农民工个人详细信息、进场时间、从事工种、所在班组等资料，随册附进场农民工身份证，暂住证、劳动合同、技术专业证书、健康证等相关材料，随时掌握进场农民工的数量。该花名册制作正本、副本各一份，副本每页加盖我项目部公章，送交施工方备查。进场农民工如有增减变化我项目部应及时更新相关资料，并制作副本一份，加盖我公司公章后送交施工方备查。我项目负责人直接管理施工现场的农民工，不得通过“包工头”、“带班长”等代管。</w:t>
      </w:r>
    </w:p>
    <w:p w14:paraId="41640F1E">
      <w:pPr>
        <w:ind w:firstLine="560"/>
      </w:pPr>
      <w:r>
        <w:rPr>
          <w:rFonts w:hint="eastAsia"/>
        </w:rPr>
        <w:t>6、我部在银行建立农民工工资专用预储帐户，并书面承诺该帐户资金只用于支付农民工工资，不能挪作他用，银行负责对资金用途进行监管。我部在依法与农民工签订劳动合同后，到专用预储帐户开户银行为每一名农民工办理个人工资帐户，签订代发工资协议，每月由银行代发农民工工资。我部为每个农民工建立银行卡时应由每个农民工亲自领取银行卡，并在领取登记表上签名确认。我公司在办理上述工作之后将农民工在工资支付专用预储帐户开户银行的开户信息、银行卡号等编制成册，制作正本、副本各一份，副本加盖我公司公章后送交承包方备查。</w:t>
      </w:r>
    </w:p>
    <w:p w14:paraId="49617866">
      <w:pPr>
        <w:ind w:firstLine="560"/>
      </w:pPr>
      <w:r>
        <w:rPr>
          <w:rFonts w:hint="eastAsia"/>
        </w:rPr>
        <w:t>7、我部支付农民工工资，支付办法包括以下内容：支付项目、支付标准、支付方式、支付周期和日期、加班工资计算基数、特殊情况下的工资支付以及其他工资支付内容；根据各班组上报的考勤表或班组计工表，按双方签定的合同，编制工资支付表，如实记录支付单位、支付时间、支付对象（姓名、身份证编号、银行卡号）、支付数额等工资支付情况。每月安排专职农民工管理人员和专职财务人员，根据工资支付表将工资由农民工工资存入专用预储帐户转帐到农民工登记在册的工资银行卡。不得通过“包工头”、“带班长”等代发。我部编制的农民工工资支付表在工资发放之后必须由领取工资的农民工本人签字确认。</w:t>
      </w:r>
    </w:p>
    <w:p w14:paraId="1D507C83">
      <w:pPr>
        <w:ind w:firstLine="560"/>
      </w:pPr>
      <w:r>
        <w:rPr>
          <w:rFonts w:hint="eastAsia"/>
        </w:rPr>
        <w:t>8、我部每月定时发放农民工工资。若不能足额发放，则以不低于本市最工资标准的金额支付农民工基本生活费，每季度按劳动合同约定对农民工劳务费进行一次性结算，并足额支付农民工剩余应得工资，出现此类情形，我公司将具体工资发放情况做出书面报告，并将有农民工签字确认的实际发放明细清单连同书面报告加盖施工方公章后送交施工方备查。</w:t>
      </w:r>
    </w:p>
    <w:p w14:paraId="20DA7A2B">
      <w:pPr>
        <w:ind w:firstLine="560"/>
      </w:pPr>
      <w:r>
        <w:rPr>
          <w:rFonts w:hint="eastAsia"/>
        </w:rPr>
        <w:t>9、每次发放工资后，我部将有农民工签字确认的农民工工资支付表及银行转帐清单等资料全套复印一份并加盖我部公章后送交承包方备查。</w:t>
      </w:r>
    </w:p>
    <w:p w14:paraId="6421808C">
      <w:pPr>
        <w:ind w:firstLine="560"/>
      </w:pPr>
      <w:r>
        <w:rPr>
          <w:rFonts w:hint="eastAsia"/>
        </w:rPr>
        <w:t>10、我部在申请拨付工程款时将相应施工进度形象部位所产生的农民工劳务费明细结合相应班组农民工工资标准等材料制作成书面文本资料加盖我部公章后送交承包方备查。拨付工程款时，将所含劳务费部分直接转帐到我部在银行建立的农民工工资专用预储帐户，其余部分转帐到我部指定帐户。我部在拨付工程款后按劳动合同约定及时支付农民工工资。</w:t>
      </w:r>
    </w:p>
    <w:p w14:paraId="30A4A22B">
      <w:pPr>
        <w:ind w:firstLine="560"/>
      </w:pPr>
      <w:r>
        <w:rPr>
          <w:rFonts w:hint="eastAsia"/>
        </w:rPr>
        <w:t>11、每期拨款前我部如未将上期各月有农民工签字确认的农民工工资支付表及银行转帐清单等资料送交施工方，施工方若不予进行拨款，我部无异议，并按施工方要求补齐上期应交资料。</w:t>
      </w:r>
    </w:p>
    <w:p w14:paraId="2335F179">
      <w:pPr>
        <w:ind w:firstLine="560"/>
      </w:pPr>
      <w:r>
        <w:rPr>
          <w:rFonts w:hint="eastAsia"/>
        </w:rPr>
        <w:t>12、我部在施工开始前，向施工方一次性缴纳￥万元，作为农民工工资发放保证金。。若工程进行期间我部拖欠农民工工资而又为未用任何办法支付农民工工资，施工方将有权动用农民工工资保证金，支付拖欠的农民工工资，其余部分将优先作为罚金或违约金。工程竣工结算完结42天后，经施工方审核我公司已全部付清农民工工资，剩余保证金全部返还我部。</w:t>
      </w:r>
    </w:p>
    <w:p w14:paraId="7A6155BB">
      <w:pPr>
        <w:ind w:firstLine="560"/>
      </w:pPr>
      <w:r>
        <w:rPr>
          <w:rFonts w:hint="eastAsia"/>
        </w:rPr>
        <w:t>13、我部承诺将农民工工资保证金专款专用，不得挪作他用。</w:t>
      </w:r>
    </w:p>
    <w:p w14:paraId="36E0ADB9">
      <w:pPr>
        <w:ind w:firstLine="560"/>
      </w:pPr>
      <w:r>
        <w:rPr>
          <w:rFonts w:hint="eastAsia"/>
        </w:rPr>
        <w:t>14、我部在工地醒目的位置，设立农民工劳动权益保障告示牌，明确农民工工资发放制度，公开举报电话和各级责任人。</w:t>
      </w:r>
    </w:p>
    <w:p w14:paraId="54B21F48">
      <w:pPr>
        <w:ind w:firstLine="560"/>
      </w:pPr>
      <w:r>
        <w:rPr>
          <w:rFonts w:hint="eastAsia"/>
        </w:rPr>
        <w:t>15、若我部农民工工资发放工作发生举报并调查属实，施工方有权暂停进行拨款，直至问题解决。若因此产生任何法律后果，其责任全部由我部承担，若因此对施工方的工程造成不利影响，承包方有权追究我部的责任。</w:t>
      </w:r>
    </w:p>
    <w:p w14:paraId="316D8BC3">
      <w:pPr>
        <w:ind w:firstLine="560"/>
      </w:pPr>
      <w:r>
        <w:rPr>
          <w:rFonts w:hint="eastAsia"/>
        </w:rPr>
        <w:t>16、若我部发放农民工工资发生拖欠情形，施工方采用以下保障措施，我部承诺对此无异议。</w:t>
      </w:r>
    </w:p>
    <w:p w14:paraId="57E72BE2">
      <w:pPr>
        <w:ind w:firstLine="560"/>
      </w:pPr>
      <w:r>
        <w:rPr>
          <w:rFonts w:hint="eastAsia"/>
        </w:rPr>
        <w:t>1）动用当期支付工程款兑付拖欠的农民工工资</w:t>
      </w:r>
    </w:p>
    <w:p w14:paraId="50EA5032">
      <w:pPr>
        <w:ind w:firstLine="560"/>
      </w:pPr>
      <w:r>
        <w:rPr>
          <w:rFonts w:hint="eastAsia"/>
        </w:rPr>
        <w:t>2）若当期工程支付款不足或没有计量，施工方将启动农民工工资保证金支付农民工工资</w:t>
      </w:r>
    </w:p>
    <w:p w14:paraId="20D1B586">
      <w:pPr>
        <w:ind w:firstLine="560"/>
      </w:pPr>
      <w:r>
        <w:rPr>
          <w:rFonts w:hint="eastAsia"/>
        </w:rPr>
        <w:t>17、若施工方启动农民工工资保证金支付农民工工资，我部在10日内足额补存农民工工资保证金。若我部未按时足额补存，施工方在下期拨付的工程款中扣除应补存的金额以补足保证金，我部无异议。</w:t>
      </w:r>
    </w:p>
    <w:p w14:paraId="0ACA3C56">
      <w:pPr>
        <w:ind w:firstLine="560"/>
      </w:pPr>
      <w:r>
        <w:rPr>
          <w:rFonts w:hint="eastAsia"/>
        </w:rPr>
        <w:t>18、我部不得因任何原因以拖欠农民工工资的手段唆使或促成农民工罢工或闹事等恶劣事件，否则施工方有权追究我部的责任。</w:t>
      </w:r>
    </w:p>
    <w:p w14:paraId="7F090D88">
      <w:pPr>
        <w:ind w:firstLine="560"/>
      </w:pPr>
      <w:r>
        <w:rPr>
          <w:rFonts w:hint="eastAsia"/>
        </w:rPr>
        <w:t>19、我部相关人员积极配合施工方落实保障农民工工资发放的各项工作，协调各方面关系，及时按施工方要求送交各项资料。</w:t>
      </w:r>
      <w:bookmarkStart w:id="12133" w:name="_GoBack"/>
      <w:bookmarkEnd w:id="12133"/>
    </w:p>
    <w:p w14:paraId="52A2B581">
      <w:pPr>
        <w:ind w:firstLine="560"/>
      </w:pPr>
      <w:bookmarkStart w:id="9919" w:name="_Toc27550"/>
      <w:bookmarkStart w:id="9920" w:name="_Toc6284"/>
      <w:bookmarkStart w:id="9921" w:name="_Toc28151"/>
      <w:bookmarkStart w:id="9922" w:name="_Toc22628"/>
      <w:bookmarkStart w:id="9923" w:name="_Toc5432"/>
      <w:bookmarkStart w:id="9924" w:name="_Toc4940"/>
      <w:bookmarkStart w:id="9925" w:name="_Toc11166"/>
      <w:bookmarkStart w:id="9926" w:name="_Toc25880"/>
      <w:bookmarkStart w:id="9927" w:name="_Toc24296"/>
      <w:bookmarkStart w:id="9928" w:name="_Toc15223"/>
      <w:bookmarkStart w:id="9929" w:name="_Toc631"/>
      <w:bookmarkStart w:id="9930" w:name="_Toc17082"/>
      <w:bookmarkStart w:id="9931" w:name="_Toc30344"/>
      <w:bookmarkStart w:id="9932" w:name="_Toc19893"/>
      <w:bookmarkStart w:id="9933" w:name="_Toc25637"/>
      <w:bookmarkStart w:id="9934" w:name="_Toc12182"/>
      <w:bookmarkStart w:id="9935" w:name="_Toc26893"/>
      <w:bookmarkStart w:id="9936" w:name="_Toc16251"/>
      <w:bookmarkStart w:id="9937" w:name="_Toc13278"/>
      <w:bookmarkStart w:id="9938" w:name="_Toc29955"/>
      <w:bookmarkStart w:id="9939" w:name="_Toc17124"/>
      <w:bookmarkStart w:id="9940" w:name="_Toc5394"/>
      <w:bookmarkStart w:id="9941" w:name="_Toc3370"/>
      <w:bookmarkStart w:id="9942" w:name="_Toc25204"/>
      <w:bookmarkStart w:id="9943" w:name="_Toc7934"/>
      <w:bookmarkStart w:id="9944" w:name="_Toc8737"/>
      <w:bookmarkStart w:id="9945" w:name="_Toc18142"/>
      <w:bookmarkStart w:id="9946" w:name="_Toc13741"/>
      <w:bookmarkStart w:id="9947" w:name="_Toc8548"/>
      <w:bookmarkStart w:id="9948" w:name="_Toc6094"/>
      <w:bookmarkStart w:id="9949" w:name="_Toc21754"/>
      <w:bookmarkStart w:id="9950" w:name="_Toc28238"/>
      <w:bookmarkStart w:id="9951" w:name="_Toc9213"/>
      <w:bookmarkStart w:id="9952" w:name="_Toc16830"/>
      <w:bookmarkStart w:id="9953" w:name="_Toc746"/>
      <w:bookmarkStart w:id="9954" w:name="_Toc11055"/>
      <w:bookmarkStart w:id="9955" w:name="_Toc27788"/>
      <w:bookmarkStart w:id="9956" w:name="_Toc30547"/>
      <w:bookmarkStart w:id="9957" w:name="_Toc11841"/>
      <w:bookmarkStart w:id="9958" w:name="_Toc10849"/>
      <w:bookmarkStart w:id="9959" w:name="_Toc30092"/>
      <w:bookmarkStart w:id="9960" w:name="_Toc25430"/>
      <w:bookmarkStart w:id="9961" w:name="_Toc9317"/>
      <w:bookmarkStart w:id="9962" w:name="_Toc2377"/>
      <w:bookmarkStart w:id="9963" w:name="_Toc6149"/>
      <w:bookmarkStart w:id="9964" w:name="_Toc3934"/>
      <w:bookmarkStart w:id="9965" w:name="_Toc48"/>
      <w:r>
        <w:rPr>
          <w:rFonts w:hint="eastAsia"/>
        </w:rPr>
        <w:t>20.农民工工资保证金监管</w:t>
      </w:r>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p>
    <w:p w14:paraId="465B5962">
      <w:pPr>
        <w:ind w:firstLine="560"/>
        <w:rPr>
          <w:rFonts w:hint="eastAsia"/>
        </w:rPr>
      </w:pPr>
      <w:r>
        <w:rPr>
          <w:rFonts w:hint="eastAsia"/>
        </w:rPr>
        <w:t>通过保证金管理系统,掌握全市施工单位保证金缴纳及启动情况,并对各区县行政主管部门保证金管理情况实施监控。各区县行政主管部门应及时通报辖区项目拖欠农民工工资情况。</w:t>
      </w:r>
    </w:p>
    <w:p w14:paraId="200FB540">
      <w:pPr>
        <w:pStyle w:val="3"/>
      </w:pPr>
      <w:bookmarkStart w:id="9966" w:name="_Toc29412"/>
      <w:bookmarkStart w:id="9967" w:name="_Toc20326"/>
      <w:bookmarkStart w:id="9968" w:name="_Toc25342"/>
      <w:bookmarkStart w:id="9969" w:name="_Toc21284"/>
      <w:r>
        <w:rPr>
          <w:rFonts w:hint="eastAsia"/>
        </w:rPr>
        <w:t>第五节、</w:t>
      </w:r>
      <w:r>
        <w:t>设备管理</w:t>
      </w:r>
      <w:bookmarkEnd w:id="9966"/>
      <w:bookmarkEnd w:id="9967"/>
      <w:bookmarkEnd w:id="9968"/>
      <w:bookmarkEnd w:id="9969"/>
    </w:p>
    <w:p w14:paraId="0BAB9EAE">
      <w:pPr>
        <w:pStyle w:val="4"/>
        <w:spacing w:before="93" w:after="31"/>
      </w:pPr>
      <w:bookmarkStart w:id="9970" w:name="_Toc31798"/>
      <w:bookmarkStart w:id="9971" w:name="_Toc17955"/>
      <w:bookmarkStart w:id="9972" w:name="_Toc5630"/>
      <w:bookmarkStart w:id="9973" w:name="_Toc12693"/>
      <w:bookmarkStart w:id="9974" w:name="_Toc849"/>
      <w:bookmarkStart w:id="9975" w:name="_Toc8710"/>
      <w:bookmarkStart w:id="9976" w:name="_Toc29670"/>
      <w:bookmarkStart w:id="9977" w:name="_Toc326"/>
      <w:bookmarkStart w:id="9978" w:name="_Toc28070"/>
      <w:bookmarkStart w:id="9979" w:name="_Toc26053"/>
      <w:bookmarkStart w:id="9980" w:name="_Toc25800"/>
      <w:bookmarkStart w:id="9981" w:name="_Toc7040"/>
      <w:bookmarkStart w:id="9982" w:name="_Toc22664"/>
      <w:bookmarkStart w:id="9983" w:name="_Toc31026"/>
      <w:bookmarkStart w:id="9984" w:name="_Toc6153"/>
      <w:bookmarkStart w:id="9985" w:name="_Toc22516"/>
      <w:bookmarkStart w:id="9986" w:name="_Toc25146"/>
      <w:bookmarkStart w:id="9987" w:name="_Toc18498"/>
      <w:bookmarkStart w:id="9988" w:name="_Toc7570"/>
      <w:bookmarkStart w:id="9989" w:name="_Toc9573"/>
      <w:bookmarkStart w:id="9990" w:name="_Toc7158"/>
      <w:bookmarkStart w:id="9991" w:name="_Toc30169"/>
      <w:bookmarkStart w:id="9992" w:name="_Toc24355"/>
      <w:bookmarkStart w:id="9993" w:name="_Toc26120"/>
      <w:bookmarkStart w:id="9994" w:name="_Toc4875"/>
      <w:bookmarkStart w:id="9995" w:name="_Toc11342"/>
      <w:bookmarkStart w:id="9996" w:name="_Toc18689"/>
      <w:bookmarkStart w:id="9997" w:name="_Toc8429"/>
      <w:bookmarkStart w:id="9998" w:name="_Toc14881"/>
      <w:bookmarkStart w:id="9999" w:name="_Toc4045"/>
      <w:bookmarkStart w:id="10000" w:name="_Toc17572"/>
      <w:bookmarkStart w:id="10001" w:name="_Toc5930"/>
      <w:bookmarkStart w:id="10002" w:name="_Toc22719"/>
      <w:bookmarkStart w:id="10003" w:name="_Toc892"/>
      <w:r>
        <w:rPr>
          <w:rFonts w:hint="eastAsia"/>
        </w:rPr>
        <w:t>一、拟投入的主要施工机械、设备计划</w:t>
      </w:r>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p>
    <w:p w14:paraId="22EE732B">
      <w:pPr>
        <w:pStyle w:val="5"/>
        <w:spacing w:before="31" w:after="31"/>
        <w:ind w:firstLine="562"/>
      </w:pPr>
      <w:bookmarkStart w:id="10004" w:name="_Toc19764"/>
      <w:bookmarkStart w:id="10005" w:name="_Toc6609"/>
      <w:bookmarkStart w:id="10006" w:name="_Toc3672"/>
      <w:bookmarkStart w:id="10007" w:name="_Toc2208"/>
      <w:bookmarkStart w:id="10008" w:name="_Toc1109"/>
      <w:bookmarkStart w:id="10009" w:name="_Toc32442"/>
      <w:bookmarkStart w:id="10010" w:name="_Toc29018"/>
      <w:bookmarkStart w:id="10011" w:name="_Toc2590"/>
      <w:bookmarkStart w:id="10012" w:name="_Toc3021"/>
      <w:bookmarkStart w:id="10013" w:name="_Toc4323"/>
      <w:bookmarkStart w:id="10014" w:name="_Toc21158"/>
      <w:bookmarkStart w:id="10015" w:name="_Toc13925"/>
      <w:bookmarkStart w:id="10016" w:name="_Toc23662"/>
      <w:bookmarkStart w:id="10017" w:name="_Toc21405"/>
      <w:bookmarkStart w:id="10018" w:name="_Toc29700"/>
      <w:bookmarkStart w:id="10019" w:name="_Toc24510"/>
      <w:bookmarkStart w:id="10020" w:name="_Toc4459"/>
      <w:bookmarkStart w:id="10021" w:name="_Toc21357"/>
      <w:bookmarkStart w:id="10022" w:name="_Toc31055"/>
      <w:bookmarkStart w:id="10023" w:name="_Toc10757"/>
      <w:bookmarkStart w:id="10024" w:name="_Toc28102"/>
      <w:bookmarkStart w:id="10025" w:name="_Toc17696"/>
      <w:bookmarkStart w:id="10026" w:name="_Toc25739"/>
      <w:bookmarkStart w:id="10027" w:name="_Toc14419"/>
      <w:bookmarkStart w:id="10028" w:name="_Toc3848"/>
      <w:bookmarkStart w:id="10029" w:name="_Toc4394"/>
      <w:bookmarkStart w:id="10030" w:name="_Toc7409"/>
      <w:bookmarkStart w:id="10031" w:name="_Toc2417"/>
      <w:bookmarkStart w:id="10032" w:name="_Toc10993"/>
      <w:bookmarkStart w:id="10033" w:name="_Toc1283"/>
      <w:bookmarkStart w:id="10034" w:name="_Toc13014"/>
      <w:bookmarkStart w:id="10035" w:name="_Toc24616"/>
      <w:bookmarkStart w:id="10036" w:name="_Toc27486"/>
      <w:bookmarkStart w:id="10037" w:name="_Toc5250"/>
      <w:bookmarkStart w:id="10038" w:name="_Toc17904"/>
      <w:bookmarkStart w:id="10039" w:name="_Toc30518"/>
      <w:bookmarkStart w:id="10040" w:name="_Toc26319"/>
      <w:bookmarkStart w:id="10041" w:name="_Toc6124"/>
      <w:bookmarkStart w:id="10042" w:name="_Toc8291"/>
      <w:bookmarkStart w:id="10043" w:name="_Toc11710"/>
      <w:bookmarkStart w:id="10044" w:name="_Toc25211"/>
      <w:bookmarkStart w:id="10045" w:name="_Toc23843"/>
      <w:bookmarkStart w:id="10046" w:name="_Toc574"/>
      <w:bookmarkStart w:id="10047" w:name="_Toc7838"/>
      <w:bookmarkStart w:id="10048" w:name="_Toc25298"/>
      <w:bookmarkStart w:id="10049" w:name="_Toc13959"/>
      <w:bookmarkStart w:id="10050" w:name="_Toc30759"/>
      <w:bookmarkStart w:id="10051" w:name="_Toc19874"/>
      <w:bookmarkStart w:id="10052" w:name="_Toc2663"/>
      <w:bookmarkStart w:id="10053" w:name="_Toc13296"/>
      <w:bookmarkStart w:id="10054" w:name="_Toc13644"/>
      <w:bookmarkStart w:id="10055" w:name="_Toc29069"/>
      <w:bookmarkStart w:id="10056" w:name="_Toc10417"/>
      <w:bookmarkStart w:id="10057" w:name="_Toc23345"/>
      <w:bookmarkStart w:id="10058" w:name="_Toc14238"/>
      <w:r>
        <w:rPr>
          <w:rFonts w:hint="eastAsia"/>
        </w:rPr>
        <w:t>（一）设备仪器表</w:t>
      </w:r>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p>
    <w:p w14:paraId="3252F8B1">
      <w:pPr>
        <w:ind w:firstLine="560"/>
      </w:pPr>
      <w:r>
        <w:rPr>
          <w:rFonts w:hint="eastAsia"/>
        </w:rPr>
        <w:t>根据本工程施工工艺特点，拟投入本工程的主要施工设备及检测仪器见下表:</w:t>
      </w:r>
    </w:p>
    <w:p w14:paraId="45EDF14C">
      <w:pPr>
        <w:pStyle w:val="18"/>
        <w:rPr>
          <w:lang w:val="en-US"/>
        </w:rPr>
      </w:pPr>
      <w:r>
        <w:rPr>
          <w:rFonts w:hint="eastAsia"/>
          <w:lang w:val="en-US"/>
        </w:rPr>
        <w:t>拟投入的主要施工机械设备表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590"/>
        <w:gridCol w:w="1150"/>
        <w:gridCol w:w="1360"/>
        <w:gridCol w:w="590"/>
        <w:gridCol w:w="590"/>
        <w:gridCol w:w="590"/>
        <w:gridCol w:w="2410"/>
        <w:gridCol w:w="590"/>
        <w:gridCol w:w="1430"/>
        <w:gridCol w:w="1196"/>
      </w:tblGrid>
      <w:tr w14:paraId="24229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90" w:hRule="atLeast"/>
          <w:jc w:val="center"/>
        </w:trPr>
        <w:tc>
          <w:tcPr>
            <w:tcW w:w="269" w:type="pct"/>
            <w:shd w:val="clear" w:color="auto" w:fill="auto"/>
            <w:noWrap/>
            <w:vAlign w:val="center"/>
          </w:tcPr>
          <w:p w14:paraId="00E7C111">
            <w:pPr>
              <w:pStyle w:val="18"/>
            </w:pPr>
            <w:r>
              <w:rPr>
                <w:lang w:val="en-US"/>
              </w:rPr>
              <w:t>序号</w:t>
            </w:r>
          </w:p>
        </w:tc>
        <w:tc>
          <w:tcPr>
            <w:tcW w:w="524" w:type="pct"/>
            <w:shd w:val="clear" w:color="auto" w:fill="auto"/>
            <w:noWrap/>
            <w:vAlign w:val="center"/>
          </w:tcPr>
          <w:p w14:paraId="7D4A8CE9">
            <w:pPr>
              <w:pStyle w:val="18"/>
            </w:pPr>
            <w:r>
              <w:rPr>
                <w:lang w:val="en-US"/>
              </w:rPr>
              <w:t>设备名称</w:t>
            </w:r>
          </w:p>
        </w:tc>
        <w:tc>
          <w:tcPr>
            <w:tcW w:w="621" w:type="pct"/>
            <w:shd w:val="clear" w:color="auto" w:fill="auto"/>
            <w:noWrap/>
            <w:vAlign w:val="center"/>
          </w:tcPr>
          <w:p w14:paraId="0DAC431C">
            <w:pPr>
              <w:pStyle w:val="18"/>
              <w:rPr>
                <w:lang w:val="en-US"/>
              </w:rPr>
            </w:pPr>
            <w:r>
              <w:rPr>
                <w:lang w:val="en-US"/>
              </w:rPr>
              <w:t>型号</w:t>
            </w:r>
          </w:p>
          <w:p w14:paraId="6AC8BBE5">
            <w:pPr>
              <w:pStyle w:val="18"/>
            </w:pPr>
            <w:r>
              <w:rPr>
                <w:lang w:val="en-US"/>
              </w:rPr>
              <w:t>规格</w:t>
            </w:r>
          </w:p>
        </w:tc>
        <w:tc>
          <w:tcPr>
            <w:tcW w:w="270" w:type="pct"/>
            <w:shd w:val="clear" w:color="auto" w:fill="auto"/>
            <w:noWrap/>
            <w:vAlign w:val="center"/>
          </w:tcPr>
          <w:p w14:paraId="41A88717">
            <w:pPr>
              <w:pStyle w:val="18"/>
            </w:pPr>
            <w:r>
              <w:rPr>
                <w:lang w:val="en-US"/>
              </w:rPr>
              <w:t>数量</w:t>
            </w:r>
          </w:p>
        </w:tc>
        <w:tc>
          <w:tcPr>
            <w:tcW w:w="270" w:type="pct"/>
            <w:shd w:val="clear" w:color="auto" w:fill="auto"/>
            <w:noWrap/>
            <w:vAlign w:val="center"/>
          </w:tcPr>
          <w:p w14:paraId="7D8C7E2F">
            <w:pPr>
              <w:pStyle w:val="18"/>
              <w:rPr>
                <w:lang w:val="en-US"/>
              </w:rPr>
            </w:pPr>
            <w:r>
              <w:rPr>
                <w:lang w:val="en-US"/>
              </w:rPr>
              <w:t>国别</w:t>
            </w:r>
          </w:p>
          <w:p w14:paraId="6CE225B9">
            <w:pPr>
              <w:pStyle w:val="18"/>
            </w:pPr>
            <w:r>
              <w:rPr>
                <w:lang w:val="en-US"/>
              </w:rPr>
              <w:t>产地</w:t>
            </w:r>
          </w:p>
        </w:tc>
        <w:tc>
          <w:tcPr>
            <w:tcW w:w="270" w:type="pct"/>
            <w:shd w:val="clear" w:color="auto" w:fill="auto"/>
            <w:noWrap/>
            <w:vAlign w:val="center"/>
          </w:tcPr>
          <w:p w14:paraId="625FAF4B">
            <w:pPr>
              <w:pStyle w:val="18"/>
              <w:rPr>
                <w:lang w:val="en-US"/>
              </w:rPr>
            </w:pPr>
            <w:r>
              <w:rPr>
                <w:lang w:val="en-US"/>
              </w:rPr>
              <w:t>制造</w:t>
            </w:r>
          </w:p>
          <w:p w14:paraId="7CE494B5">
            <w:pPr>
              <w:pStyle w:val="18"/>
            </w:pPr>
            <w:r>
              <w:rPr>
                <w:lang w:val="en-US"/>
              </w:rPr>
              <w:t>年份</w:t>
            </w:r>
          </w:p>
        </w:tc>
        <w:tc>
          <w:tcPr>
            <w:tcW w:w="1100" w:type="pct"/>
            <w:shd w:val="clear" w:color="auto" w:fill="auto"/>
            <w:noWrap/>
            <w:vAlign w:val="center"/>
          </w:tcPr>
          <w:p w14:paraId="7490D561">
            <w:pPr>
              <w:pStyle w:val="18"/>
              <w:rPr>
                <w:lang w:val="en-US"/>
              </w:rPr>
            </w:pPr>
            <w:r>
              <w:rPr>
                <w:lang w:val="en-US"/>
              </w:rPr>
              <w:t>额定</w:t>
            </w:r>
          </w:p>
          <w:p w14:paraId="6397EF57">
            <w:pPr>
              <w:pStyle w:val="18"/>
              <w:rPr>
                <w:lang w:val="en-US"/>
              </w:rPr>
            </w:pPr>
            <w:r>
              <w:rPr>
                <w:lang w:val="en-US"/>
              </w:rPr>
              <w:t>功率</w:t>
            </w:r>
          </w:p>
          <w:p w14:paraId="5EC0D3FA">
            <w:pPr>
              <w:pStyle w:val="18"/>
            </w:pPr>
            <w:r>
              <w:rPr>
                <w:lang w:val="en-US"/>
              </w:rPr>
              <w:t>(kW)</w:t>
            </w:r>
          </w:p>
        </w:tc>
        <w:tc>
          <w:tcPr>
            <w:tcW w:w="270" w:type="pct"/>
            <w:shd w:val="clear" w:color="auto" w:fill="auto"/>
            <w:noWrap/>
            <w:vAlign w:val="center"/>
          </w:tcPr>
          <w:p w14:paraId="21610707">
            <w:pPr>
              <w:pStyle w:val="18"/>
              <w:rPr>
                <w:lang w:val="en-US"/>
              </w:rPr>
            </w:pPr>
            <w:r>
              <w:rPr>
                <w:lang w:val="en-US"/>
              </w:rPr>
              <w:t>生产</w:t>
            </w:r>
          </w:p>
          <w:p w14:paraId="3F8E6353">
            <w:pPr>
              <w:pStyle w:val="18"/>
            </w:pPr>
            <w:r>
              <w:rPr>
                <w:lang w:val="en-US"/>
              </w:rPr>
              <w:t>能力</w:t>
            </w:r>
          </w:p>
        </w:tc>
        <w:tc>
          <w:tcPr>
            <w:tcW w:w="653" w:type="pct"/>
            <w:shd w:val="clear" w:color="auto" w:fill="auto"/>
            <w:noWrap/>
            <w:vAlign w:val="center"/>
          </w:tcPr>
          <w:p w14:paraId="731B27BC">
            <w:pPr>
              <w:pStyle w:val="18"/>
              <w:rPr>
                <w:lang w:val="en-US"/>
              </w:rPr>
            </w:pPr>
            <w:r>
              <w:rPr>
                <w:lang w:val="en-US"/>
              </w:rPr>
              <w:t>用于</w:t>
            </w:r>
          </w:p>
          <w:p w14:paraId="2F800B66">
            <w:pPr>
              <w:pStyle w:val="18"/>
              <w:rPr>
                <w:lang w:val="en-US"/>
              </w:rPr>
            </w:pPr>
            <w:r>
              <w:rPr>
                <w:lang w:val="en-US"/>
              </w:rPr>
              <w:t>施工</w:t>
            </w:r>
          </w:p>
          <w:p w14:paraId="24CDED70">
            <w:pPr>
              <w:pStyle w:val="18"/>
            </w:pPr>
            <w:r>
              <w:rPr>
                <w:lang w:val="en-US"/>
              </w:rPr>
              <w:t>部位</w:t>
            </w:r>
          </w:p>
        </w:tc>
        <w:tc>
          <w:tcPr>
            <w:tcW w:w="749" w:type="pct"/>
            <w:shd w:val="clear" w:color="auto" w:fill="auto"/>
            <w:noWrap/>
            <w:vAlign w:val="center"/>
          </w:tcPr>
          <w:p w14:paraId="7D7DDCBC">
            <w:pPr>
              <w:pStyle w:val="18"/>
            </w:pPr>
            <w:r>
              <w:rPr>
                <w:lang w:val="en-US"/>
              </w:rPr>
              <w:t>备注</w:t>
            </w:r>
          </w:p>
        </w:tc>
      </w:tr>
      <w:tr w14:paraId="0A7D2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54046098">
            <w:pPr>
              <w:pStyle w:val="18"/>
              <w:rPr>
                <w:lang w:val="en-US"/>
              </w:rPr>
            </w:pPr>
            <w:r>
              <w:rPr>
                <w:rFonts w:hint="eastAsia"/>
                <w:lang w:val="en-US"/>
              </w:rPr>
              <w:t>1</w:t>
            </w:r>
          </w:p>
        </w:tc>
        <w:tc>
          <w:tcPr>
            <w:tcW w:w="524" w:type="pct"/>
            <w:shd w:val="clear" w:color="auto" w:fill="auto"/>
            <w:noWrap/>
            <w:vAlign w:val="center"/>
          </w:tcPr>
          <w:p w14:paraId="0431B00F">
            <w:pPr>
              <w:pStyle w:val="18"/>
              <w:rPr>
                <w:lang w:val="en-US"/>
              </w:rPr>
            </w:pPr>
            <w:r>
              <w:rPr>
                <w:rFonts w:hint="eastAsia"/>
                <w:lang w:val="en-US"/>
              </w:rPr>
              <w:t>打桩机</w:t>
            </w:r>
          </w:p>
        </w:tc>
        <w:tc>
          <w:tcPr>
            <w:tcW w:w="621" w:type="pct"/>
            <w:shd w:val="clear" w:color="auto" w:fill="auto"/>
            <w:noWrap/>
            <w:vAlign w:val="center"/>
          </w:tcPr>
          <w:p w14:paraId="6D334AD0">
            <w:pPr>
              <w:pStyle w:val="18"/>
              <w:rPr>
                <w:lang w:val="en-US"/>
              </w:rPr>
            </w:pPr>
            <w:r>
              <w:rPr>
                <w:rFonts w:hint="eastAsia"/>
                <w:lang w:val="en-US"/>
              </w:rPr>
              <w:t>CAT-345DL</w:t>
            </w:r>
          </w:p>
        </w:tc>
        <w:tc>
          <w:tcPr>
            <w:tcW w:w="270" w:type="pct"/>
            <w:shd w:val="clear" w:color="auto" w:fill="auto"/>
            <w:noWrap/>
            <w:vAlign w:val="center"/>
          </w:tcPr>
          <w:p w14:paraId="4BF7A38D">
            <w:pPr>
              <w:pStyle w:val="18"/>
              <w:rPr>
                <w:lang w:val="en-US"/>
              </w:rPr>
            </w:pPr>
            <w:r>
              <w:rPr>
                <w:rFonts w:hint="eastAsia"/>
                <w:lang w:val="en-US"/>
              </w:rPr>
              <w:t>1</w:t>
            </w:r>
          </w:p>
        </w:tc>
        <w:tc>
          <w:tcPr>
            <w:tcW w:w="270" w:type="pct"/>
            <w:shd w:val="clear" w:color="auto" w:fill="auto"/>
            <w:noWrap/>
            <w:vAlign w:val="center"/>
          </w:tcPr>
          <w:p w14:paraId="483AE4CD">
            <w:pPr>
              <w:pStyle w:val="18"/>
              <w:rPr>
                <w:lang w:val="en-US"/>
              </w:rPr>
            </w:pPr>
            <w:r>
              <w:rPr>
                <w:rFonts w:hint="eastAsia"/>
                <w:lang w:val="en-US"/>
              </w:rPr>
              <w:t>国产</w:t>
            </w:r>
          </w:p>
        </w:tc>
        <w:tc>
          <w:tcPr>
            <w:tcW w:w="270" w:type="pct"/>
            <w:shd w:val="clear" w:color="auto" w:fill="auto"/>
            <w:noWrap/>
            <w:vAlign w:val="center"/>
          </w:tcPr>
          <w:p w14:paraId="453D4AFC">
            <w:pPr>
              <w:pStyle w:val="18"/>
              <w:rPr>
                <w:lang w:val="en-US"/>
              </w:rPr>
            </w:pPr>
            <w:r>
              <w:rPr>
                <w:rFonts w:hint="eastAsia"/>
                <w:lang w:val="en-US"/>
              </w:rPr>
              <w:t>2020</w:t>
            </w:r>
          </w:p>
        </w:tc>
        <w:tc>
          <w:tcPr>
            <w:tcW w:w="1100" w:type="pct"/>
            <w:shd w:val="clear" w:color="auto" w:fill="auto"/>
            <w:noWrap/>
            <w:vAlign w:val="center"/>
          </w:tcPr>
          <w:p w14:paraId="19ED2A24">
            <w:pPr>
              <w:pStyle w:val="18"/>
              <w:rPr>
                <w:lang w:val="en-US"/>
              </w:rPr>
            </w:pPr>
            <w:r>
              <w:rPr>
                <w:rFonts w:hint="eastAsia"/>
                <w:lang w:val="en-US"/>
              </w:rPr>
              <w:t>/</w:t>
            </w:r>
          </w:p>
        </w:tc>
        <w:tc>
          <w:tcPr>
            <w:tcW w:w="270" w:type="pct"/>
            <w:shd w:val="clear" w:color="auto" w:fill="auto"/>
            <w:noWrap/>
            <w:vAlign w:val="center"/>
          </w:tcPr>
          <w:p w14:paraId="16C0BCE9">
            <w:pPr>
              <w:pStyle w:val="18"/>
              <w:rPr>
                <w:lang w:val="en-US"/>
              </w:rPr>
            </w:pPr>
            <w:r>
              <w:rPr>
                <w:rFonts w:hint="eastAsia"/>
                <w:lang w:val="en-US"/>
              </w:rPr>
              <w:t>良好</w:t>
            </w:r>
          </w:p>
        </w:tc>
        <w:tc>
          <w:tcPr>
            <w:tcW w:w="653" w:type="pct"/>
            <w:shd w:val="clear" w:color="auto" w:fill="auto"/>
            <w:noWrap/>
            <w:vAlign w:val="center"/>
          </w:tcPr>
          <w:p w14:paraId="136DA061">
            <w:pPr>
              <w:pStyle w:val="18"/>
              <w:rPr>
                <w:lang w:val="en-US"/>
              </w:rPr>
            </w:pPr>
            <w:r>
              <w:rPr>
                <w:rFonts w:hint="eastAsia"/>
                <w:lang w:val="en-US"/>
              </w:rPr>
              <w:t>打桩</w:t>
            </w:r>
          </w:p>
        </w:tc>
        <w:tc>
          <w:tcPr>
            <w:tcW w:w="749" w:type="pct"/>
            <w:shd w:val="clear" w:color="auto" w:fill="auto"/>
            <w:noWrap/>
            <w:vAlign w:val="center"/>
          </w:tcPr>
          <w:p w14:paraId="4587AE26">
            <w:pPr>
              <w:pStyle w:val="18"/>
            </w:pPr>
          </w:p>
        </w:tc>
      </w:tr>
      <w:tr w14:paraId="63946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1357938C">
            <w:pPr>
              <w:pStyle w:val="18"/>
              <w:rPr>
                <w:lang w:val="en-US"/>
              </w:rPr>
            </w:pPr>
            <w:r>
              <w:rPr>
                <w:rFonts w:hint="eastAsia"/>
                <w:lang w:val="en-US"/>
              </w:rPr>
              <w:t>2</w:t>
            </w:r>
          </w:p>
        </w:tc>
        <w:tc>
          <w:tcPr>
            <w:tcW w:w="524" w:type="pct"/>
            <w:shd w:val="clear" w:color="auto" w:fill="auto"/>
            <w:noWrap/>
            <w:vAlign w:val="center"/>
          </w:tcPr>
          <w:p w14:paraId="1010E77D">
            <w:pPr>
              <w:pStyle w:val="18"/>
              <w:rPr>
                <w:lang w:val="en-US"/>
              </w:rPr>
            </w:pPr>
            <w:r>
              <w:rPr>
                <w:rFonts w:hint="eastAsia"/>
                <w:lang w:val="en-US"/>
              </w:rPr>
              <w:t>反铲</w:t>
            </w:r>
          </w:p>
          <w:p w14:paraId="294A0246">
            <w:pPr>
              <w:pStyle w:val="18"/>
            </w:pPr>
            <w:r>
              <w:rPr>
                <w:rFonts w:hint="eastAsia"/>
                <w:lang w:val="en-US"/>
              </w:rPr>
              <w:t>挖掘机</w:t>
            </w:r>
          </w:p>
        </w:tc>
        <w:tc>
          <w:tcPr>
            <w:tcW w:w="621" w:type="pct"/>
            <w:shd w:val="clear" w:color="auto" w:fill="auto"/>
            <w:noWrap/>
            <w:vAlign w:val="center"/>
          </w:tcPr>
          <w:p w14:paraId="43662662">
            <w:pPr>
              <w:pStyle w:val="18"/>
            </w:pPr>
            <w:r>
              <w:rPr>
                <w:rFonts w:hint="eastAsia"/>
                <w:lang w:val="en-US"/>
              </w:rPr>
              <w:t>1.0M3</w:t>
            </w:r>
          </w:p>
        </w:tc>
        <w:tc>
          <w:tcPr>
            <w:tcW w:w="270" w:type="pct"/>
            <w:shd w:val="clear" w:color="auto" w:fill="auto"/>
            <w:noWrap/>
            <w:vAlign w:val="center"/>
          </w:tcPr>
          <w:p w14:paraId="7008D133">
            <w:pPr>
              <w:pStyle w:val="18"/>
              <w:rPr>
                <w:lang w:val="en-US"/>
              </w:rPr>
            </w:pPr>
            <w:r>
              <w:rPr>
                <w:rFonts w:hint="eastAsia"/>
                <w:lang w:val="en-US"/>
              </w:rPr>
              <w:t>10</w:t>
            </w:r>
          </w:p>
        </w:tc>
        <w:tc>
          <w:tcPr>
            <w:tcW w:w="270" w:type="pct"/>
            <w:shd w:val="clear" w:color="auto" w:fill="auto"/>
            <w:noWrap/>
            <w:vAlign w:val="center"/>
          </w:tcPr>
          <w:p w14:paraId="2F46BC7E">
            <w:pPr>
              <w:pStyle w:val="18"/>
              <w:rPr>
                <w:lang w:val="en-US"/>
              </w:rPr>
            </w:pPr>
            <w:r>
              <w:rPr>
                <w:rFonts w:hint="eastAsia"/>
                <w:lang w:val="en-US"/>
              </w:rPr>
              <w:t>国产</w:t>
            </w:r>
          </w:p>
        </w:tc>
        <w:tc>
          <w:tcPr>
            <w:tcW w:w="270" w:type="pct"/>
            <w:shd w:val="clear" w:color="auto" w:fill="auto"/>
            <w:noWrap/>
            <w:vAlign w:val="center"/>
          </w:tcPr>
          <w:p w14:paraId="0DAD7121">
            <w:pPr>
              <w:pStyle w:val="18"/>
              <w:rPr>
                <w:lang w:val="en-US"/>
              </w:rPr>
            </w:pPr>
            <w:r>
              <w:rPr>
                <w:rFonts w:hint="eastAsia"/>
                <w:lang w:val="en-US"/>
              </w:rPr>
              <w:t>2020</w:t>
            </w:r>
          </w:p>
        </w:tc>
        <w:tc>
          <w:tcPr>
            <w:tcW w:w="1100" w:type="pct"/>
            <w:shd w:val="clear" w:color="auto" w:fill="auto"/>
            <w:noWrap/>
            <w:vAlign w:val="center"/>
          </w:tcPr>
          <w:p w14:paraId="0377C76F">
            <w:pPr>
              <w:pStyle w:val="18"/>
              <w:rPr>
                <w:lang w:val="en-US"/>
              </w:rPr>
            </w:pPr>
            <w:r>
              <w:rPr>
                <w:rFonts w:hint="eastAsia"/>
                <w:lang w:val="en-US"/>
              </w:rPr>
              <w:t>175KW</w:t>
            </w:r>
          </w:p>
        </w:tc>
        <w:tc>
          <w:tcPr>
            <w:tcW w:w="270" w:type="pct"/>
            <w:shd w:val="clear" w:color="auto" w:fill="auto"/>
            <w:noWrap/>
            <w:vAlign w:val="center"/>
          </w:tcPr>
          <w:p w14:paraId="0FB6A33C">
            <w:pPr>
              <w:pStyle w:val="18"/>
              <w:rPr>
                <w:lang w:val="en-US"/>
              </w:rPr>
            </w:pPr>
            <w:r>
              <w:rPr>
                <w:rFonts w:hint="eastAsia"/>
                <w:lang w:val="en-US"/>
              </w:rPr>
              <w:t>良好</w:t>
            </w:r>
          </w:p>
        </w:tc>
        <w:tc>
          <w:tcPr>
            <w:tcW w:w="653" w:type="pct"/>
            <w:shd w:val="clear" w:color="auto" w:fill="auto"/>
            <w:noWrap/>
            <w:vAlign w:val="center"/>
          </w:tcPr>
          <w:p w14:paraId="275FD9B0">
            <w:pPr>
              <w:pStyle w:val="18"/>
              <w:rPr>
                <w:lang w:val="en-US"/>
              </w:rPr>
            </w:pPr>
            <w:r>
              <w:rPr>
                <w:rFonts w:hint="eastAsia"/>
                <w:lang w:val="en-US"/>
              </w:rPr>
              <w:t>土方</w:t>
            </w:r>
          </w:p>
          <w:p w14:paraId="613B53DC">
            <w:pPr>
              <w:pStyle w:val="18"/>
              <w:rPr>
                <w:lang w:val="en-US"/>
              </w:rPr>
            </w:pPr>
            <w:r>
              <w:rPr>
                <w:rFonts w:hint="eastAsia"/>
                <w:lang w:val="en-US"/>
              </w:rPr>
              <w:t>开挖</w:t>
            </w:r>
          </w:p>
        </w:tc>
        <w:tc>
          <w:tcPr>
            <w:tcW w:w="749" w:type="pct"/>
            <w:shd w:val="clear" w:color="auto" w:fill="auto"/>
            <w:noWrap/>
            <w:vAlign w:val="center"/>
          </w:tcPr>
          <w:p w14:paraId="50A1C919">
            <w:pPr>
              <w:pStyle w:val="18"/>
            </w:pPr>
          </w:p>
        </w:tc>
      </w:tr>
      <w:tr w14:paraId="355E0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71AA99FE">
            <w:pPr>
              <w:pStyle w:val="18"/>
              <w:rPr>
                <w:lang w:val="en-US"/>
              </w:rPr>
            </w:pPr>
            <w:r>
              <w:rPr>
                <w:rFonts w:hint="eastAsia"/>
                <w:lang w:val="en-US"/>
              </w:rPr>
              <w:t>3</w:t>
            </w:r>
          </w:p>
        </w:tc>
        <w:tc>
          <w:tcPr>
            <w:tcW w:w="524" w:type="pct"/>
            <w:shd w:val="clear" w:color="auto" w:fill="auto"/>
            <w:noWrap/>
            <w:vAlign w:val="center"/>
          </w:tcPr>
          <w:p w14:paraId="011233E8">
            <w:pPr>
              <w:pStyle w:val="18"/>
              <w:rPr>
                <w:lang w:val="en-US"/>
              </w:rPr>
            </w:pPr>
            <w:r>
              <w:rPr>
                <w:rFonts w:hint="eastAsia"/>
                <w:lang w:val="en-US"/>
              </w:rPr>
              <w:t>移动</w:t>
            </w:r>
          </w:p>
          <w:p w14:paraId="042B042B">
            <w:pPr>
              <w:pStyle w:val="18"/>
            </w:pPr>
            <w:r>
              <w:rPr>
                <w:rFonts w:hint="eastAsia"/>
                <w:lang w:val="en-US"/>
              </w:rPr>
              <w:t>雾炮机</w:t>
            </w:r>
          </w:p>
        </w:tc>
        <w:tc>
          <w:tcPr>
            <w:tcW w:w="621" w:type="pct"/>
            <w:shd w:val="clear" w:color="auto" w:fill="auto"/>
            <w:noWrap/>
            <w:vAlign w:val="center"/>
          </w:tcPr>
          <w:p w14:paraId="4D2C521D">
            <w:pPr>
              <w:pStyle w:val="18"/>
            </w:pPr>
            <w:r>
              <w:rPr>
                <w:rFonts w:hint="eastAsia"/>
                <w:lang w:val="en-US"/>
              </w:rPr>
              <w:t>斗山215-9</w:t>
            </w:r>
          </w:p>
        </w:tc>
        <w:tc>
          <w:tcPr>
            <w:tcW w:w="270" w:type="pct"/>
            <w:shd w:val="clear" w:color="auto" w:fill="auto"/>
            <w:noWrap/>
            <w:vAlign w:val="center"/>
          </w:tcPr>
          <w:p w14:paraId="0F0EFCC2">
            <w:pPr>
              <w:pStyle w:val="18"/>
              <w:rPr>
                <w:lang w:val="en-US"/>
              </w:rPr>
            </w:pPr>
            <w:r>
              <w:rPr>
                <w:rFonts w:hint="eastAsia"/>
                <w:lang w:val="en-US"/>
              </w:rPr>
              <w:t>6</w:t>
            </w:r>
          </w:p>
        </w:tc>
        <w:tc>
          <w:tcPr>
            <w:tcW w:w="270" w:type="pct"/>
            <w:shd w:val="clear" w:color="auto" w:fill="auto"/>
            <w:noWrap/>
            <w:vAlign w:val="center"/>
          </w:tcPr>
          <w:p w14:paraId="542F5EAC">
            <w:pPr>
              <w:pStyle w:val="18"/>
              <w:rPr>
                <w:lang w:val="en-US"/>
              </w:rPr>
            </w:pPr>
            <w:r>
              <w:rPr>
                <w:rFonts w:hint="eastAsia"/>
                <w:lang w:val="en-US"/>
              </w:rPr>
              <w:t>国产</w:t>
            </w:r>
          </w:p>
        </w:tc>
        <w:tc>
          <w:tcPr>
            <w:tcW w:w="270" w:type="pct"/>
            <w:shd w:val="clear" w:color="auto" w:fill="auto"/>
            <w:noWrap/>
            <w:vAlign w:val="center"/>
          </w:tcPr>
          <w:p w14:paraId="6D2DD1DE">
            <w:pPr>
              <w:pStyle w:val="18"/>
              <w:rPr>
                <w:lang w:val="en-US"/>
              </w:rPr>
            </w:pPr>
            <w:r>
              <w:rPr>
                <w:rFonts w:hint="eastAsia"/>
                <w:lang w:val="en-US"/>
              </w:rPr>
              <w:t>2021</w:t>
            </w:r>
          </w:p>
        </w:tc>
        <w:tc>
          <w:tcPr>
            <w:tcW w:w="1100" w:type="pct"/>
            <w:shd w:val="clear" w:color="auto" w:fill="auto"/>
            <w:noWrap/>
            <w:vAlign w:val="center"/>
          </w:tcPr>
          <w:p w14:paraId="26825DE0">
            <w:pPr>
              <w:pStyle w:val="18"/>
              <w:rPr>
                <w:lang w:val="en-US"/>
              </w:rPr>
            </w:pPr>
            <w:r>
              <w:rPr>
                <w:rFonts w:hint="eastAsia"/>
                <w:lang w:val="en-US"/>
              </w:rPr>
              <w:t>/</w:t>
            </w:r>
          </w:p>
        </w:tc>
        <w:tc>
          <w:tcPr>
            <w:tcW w:w="270" w:type="pct"/>
            <w:shd w:val="clear" w:color="auto" w:fill="auto"/>
            <w:noWrap/>
            <w:vAlign w:val="center"/>
          </w:tcPr>
          <w:p w14:paraId="1D06BDA6">
            <w:pPr>
              <w:pStyle w:val="18"/>
              <w:rPr>
                <w:lang w:val="en-US"/>
              </w:rPr>
            </w:pPr>
            <w:r>
              <w:rPr>
                <w:rFonts w:hint="eastAsia"/>
                <w:lang w:val="en-US"/>
              </w:rPr>
              <w:t>良好</w:t>
            </w:r>
          </w:p>
        </w:tc>
        <w:tc>
          <w:tcPr>
            <w:tcW w:w="653" w:type="pct"/>
            <w:shd w:val="clear" w:color="auto" w:fill="auto"/>
            <w:noWrap/>
            <w:vAlign w:val="center"/>
          </w:tcPr>
          <w:p w14:paraId="37051DA4">
            <w:pPr>
              <w:pStyle w:val="18"/>
              <w:rPr>
                <w:lang w:val="en-US"/>
              </w:rPr>
            </w:pPr>
            <w:r>
              <w:rPr>
                <w:rFonts w:hint="eastAsia"/>
                <w:lang w:val="en-US"/>
              </w:rPr>
              <w:t>降尘</w:t>
            </w:r>
          </w:p>
        </w:tc>
        <w:tc>
          <w:tcPr>
            <w:tcW w:w="749" w:type="pct"/>
            <w:shd w:val="clear" w:color="auto" w:fill="auto"/>
            <w:noWrap/>
            <w:vAlign w:val="center"/>
          </w:tcPr>
          <w:p w14:paraId="4A18A75C">
            <w:pPr>
              <w:pStyle w:val="18"/>
            </w:pPr>
          </w:p>
        </w:tc>
      </w:tr>
      <w:tr w14:paraId="76D4B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10F87B25">
            <w:pPr>
              <w:pStyle w:val="18"/>
              <w:rPr>
                <w:lang w:val="en-US"/>
              </w:rPr>
            </w:pPr>
            <w:r>
              <w:rPr>
                <w:rFonts w:hint="eastAsia"/>
                <w:lang w:val="en-US"/>
              </w:rPr>
              <w:t>4</w:t>
            </w:r>
          </w:p>
        </w:tc>
        <w:tc>
          <w:tcPr>
            <w:tcW w:w="524" w:type="pct"/>
            <w:shd w:val="clear" w:color="auto" w:fill="auto"/>
            <w:noWrap/>
            <w:vAlign w:val="center"/>
          </w:tcPr>
          <w:p w14:paraId="71031472">
            <w:pPr>
              <w:pStyle w:val="18"/>
              <w:rPr>
                <w:lang w:val="en-US"/>
              </w:rPr>
            </w:pPr>
            <w:r>
              <w:rPr>
                <w:rFonts w:hint="eastAsia"/>
                <w:lang w:val="en-US"/>
              </w:rPr>
              <w:t>推土机</w:t>
            </w:r>
          </w:p>
        </w:tc>
        <w:tc>
          <w:tcPr>
            <w:tcW w:w="621" w:type="pct"/>
            <w:shd w:val="clear" w:color="auto" w:fill="auto"/>
            <w:noWrap/>
            <w:vAlign w:val="center"/>
          </w:tcPr>
          <w:p w14:paraId="20AE973B">
            <w:pPr>
              <w:pStyle w:val="18"/>
              <w:rPr>
                <w:lang w:val="en-US"/>
              </w:rPr>
            </w:pPr>
            <w:r>
              <w:rPr>
                <w:rFonts w:hint="eastAsia"/>
                <w:lang w:val="en-US"/>
              </w:rPr>
              <w:t>徐工</w:t>
            </w:r>
          </w:p>
        </w:tc>
        <w:tc>
          <w:tcPr>
            <w:tcW w:w="270" w:type="pct"/>
            <w:shd w:val="clear" w:color="auto" w:fill="auto"/>
            <w:noWrap/>
            <w:vAlign w:val="center"/>
          </w:tcPr>
          <w:p w14:paraId="703D6206">
            <w:pPr>
              <w:pStyle w:val="18"/>
              <w:rPr>
                <w:lang w:val="en-US"/>
              </w:rPr>
            </w:pPr>
            <w:r>
              <w:rPr>
                <w:rFonts w:hint="eastAsia"/>
                <w:lang w:val="en-US"/>
              </w:rPr>
              <w:t>5</w:t>
            </w:r>
          </w:p>
        </w:tc>
        <w:tc>
          <w:tcPr>
            <w:tcW w:w="270" w:type="pct"/>
            <w:shd w:val="clear" w:color="auto" w:fill="auto"/>
            <w:noWrap/>
            <w:vAlign w:val="center"/>
          </w:tcPr>
          <w:p w14:paraId="1F9F4ACD">
            <w:pPr>
              <w:pStyle w:val="18"/>
              <w:rPr>
                <w:lang w:val="en-US"/>
              </w:rPr>
            </w:pPr>
            <w:r>
              <w:rPr>
                <w:rFonts w:hint="eastAsia"/>
                <w:lang w:val="en-US"/>
              </w:rPr>
              <w:t>国产</w:t>
            </w:r>
          </w:p>
        </w:tc>
        <w:tc>
          <w:tcPr>
            <w:tcW w:w="270" w:type="pct"/>
            <w:shd w:val="clear" w:color="auto" w:fill="auto"/>
            <w:noWrap/>
            <w:vAlign w:val="center"/>
          </w:tcPr>
          <w:p w14:paraId="6082EC68">
            <w:pPr>
              <w:pStyle w:val="18"/>
              <w:rPr>
                <w:lang w:val="en-US"/>
              </w:rPr>
            </w:pPr>
            <w:r>
              <w:rPr>
                <w:rFonts w:hint="eastAsia"/>
                <w:lang w:val="en-US"/>
              </w:rPr>
              <w:t>2019</w:t>
            </w:r>
          </w:p>
        </w:tc>
        <w:tc>
          <w:tcPr>
            <w:tcW w:w="1100" w:type="pct"/>
            <w:shd w:val="clear" w:color="auto" w:fill="auto"/>
            <w:noWrap/>
            <w:vAlign w:val="center"/>
          </w:tcPr>
          <w:p w14:paraId="7C7A8A16">
            <w:pPr>
              <w:pStyle w:val="18"/>
              <w:rPr>
                <w:lang w:val="en-US"/>
              </w:rPr>
            </w:pPr>
            <w:r>
              <w:rPr>
                <w:rFonts w:hint="eastAsia"/>
                <w:lang w:val="en-US"/>
              </w:rPr>
              <w:t>295KW</w:t>
            </w:r>
          </w:p>
        </w:tc>
        <w:tc>
          <w:tcPr>
            <w:tcW w:w="270" w:type="pct"/>
            <w:shd w:val="clear" w:color="auto" w:fill="auto"/>
            <w:noWrap/>
            <w:vAlign w:val="center"/>
          </w:tcPr>
          <w:p w14:paraId="32619F26">
            <w:pPr>
              <w:pStyle w:val="18"/>
              <w:rPr>
                <w:lang w:val="en-US"/>
              </w:rPr>
            </w:pPr>
            <w:r>
              <w:rPr>
                <w:rFonts w:hint="eastAsia"/>
                <w:lang w:val="en-US"/>
              </w:rPr>
              <w:t>良好</w:t>
            </w:r>
          </w:p>
        </w:tc>
        <w:tc>
          <w:tcPr>
            <w:tcW w:w="653" w:type="pct"/>
            <w:shd w:val="clear" w:color="auto" w:fill="auto"/>
            <w:noWrap/>
            <w:vAlign w:val="center"/>
          </w:tcPr>
          <w:p w14:paraId="635135FC">
            <w:pPr>
              <w:pStyle w:val="18"/>
              <w:rPr>
                <w:lang w:val="en-US"/>
              </w:rPr>
            </w:pPr>
            <w:r>
              <w:rPr>
                <w:rFonts w:hint="eastAsia"/>
                <w:lang w:val="en-US"/>
              </w:rPr>
              <w:t>土方</w:t>
            </w:r>
          </w:p>
          <w:p w14:paraId="551CA2C7">
            <w:pPr>
              <w:pStyle w:val="18"/>
              <w:rPr>
                <w:lang w:val="en-US"/>
              </w:rPr>
            </w:pPr>
            <w:r>
              <w:rPr>
                <w:rFonts w:hint="eastAsia"/>
                <w:lang w:val="en-US"/>
              </w:rPr>
              <w:t>开挖</w:t>
            </w:r>
          </w:p>
        </w:tc>
        <w:tc>
          <w:tcPr>
            <w:tcW w:w="749" w:type="pct"/>
            <w:shd w:val="clear" w:color="auto" w:fill="auto"/>
            <w:noWrap/>
            <w:vAlign w:val="center"/>
          </w:tcPr>
          <w:p w14:paraId="60445650">
            <w:pPr>
              <w:pStyle w:val="18"/>
            </w:pPr>
          </w:p>
        </w:tc>
      </w:tr>
      <w:tr w14:paraId="4F810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6A399134">
            <w:pPr>
              <w:pStyle w:val="18"/>
              <w:rPr>
                <w:lang w:val="en-US"/>
              </w:rPr>
            </w:pPr>
            <w:r>
              <w:rPr>
                <w:rFonts w:hint="eastAsia"/>
                <w:lang w:val="en-US"/>
              </w:rPr>
              <w:t>5</w:t>
            </w:r>
          </w:p>
        </w:tc>
        <w:tc>
          <w:tcPr>
            <w:tcW w:w="524" w:type="pct"/>
            <w:shd w:val="clear" w:color="auto" w:fill="auto"/>
            <w:noWrap/>
            <w:vAlign w:val="center"/>
          </w:tcPr>
          <w:p w14:paraId="38A43289">
            <w:pPr>
              <w:pStyle w:val="18"/>
              <w:rPr>
                <w:lang w:val="en-US"/>
              </w:rPr>
            </w:pPr>
            <w:r>
              <w:rPr>
                <w:rFonts w:hint="eastAsia"/>
                <w:lang w:val="en-US"/>
              </w:rPr>
              <w:t>汽车吊</w:t>
            </w:r>
          </w:p>
        </w:tc>
        <w:tc>
          <w:tcPr>
            <w:tcW w:w="621" w:type="pct"/>
            <w:shd w:val="clear" w:color="auto" w:fill="auto"/>
            <w:noWrap/>
            <w:vAlign w:val="center"/>
          </w:tcPr>
          <w:p w14:paraId="4BFA34E2">
            <w:pPr>
              <w:pStyle w:val="18"/>
              <w:rPr>
                <w:lang w:val="en-US"/>
              </w:rPr>
            </w:pPr>
            <w:r>
              <w:rPr>
                <w:rFonts w:hint="eastAsia"/>
                <w:lang w:val="en-US"/>
              </w:rPr>
              <w:t>TG500E</w:t>
            </w:r>
          </w:p>
        </w:tc>
        <w:tc>
          <w:tcPr>
            <w:tcW w:w="270" w:type="pct"/>
            <w:shd w:val="clear" w:color="auto" w:fill="auto"/>
            <w:noWrap/>
            <w:vAlign w:val="center"/>
          </w:tcPr>
          <w:p w14:paraId="116B3AE3">
            <w:pPr>
              <w:pStyle w:val="18"/>
              <w:rPr>
                <w:lang w:val="en-US"/>
              </w:rPr>
            </w:pPr>
            <w:r>
              <w:rPr>
                <w:rFonts w:hint="eastAsia"/>
                <w:lang w:val="en-US"/>
              </w:rPr>
              <w:t>2</w:t>
            </w:r>
          </w:p>
        </w:tc>
        <w:tc>
          <w:tcPr>
            <w:tcW w:w="270" w:type="pct"/>
            <w:shd w:val="clear" w:color="auto" w:fill="auto"/>
            <w:noWrap/>
            <w:vAlign w:val="center"/>
          </w:tcPr>
          <w:p w14:paraId="0990A472">
            <w:pPr>
              <w:pStyle w:val="18"/>
              <w:rPr>
                <w:lang w:val="en-US"/>
              </w:rPr>
            </w:pPr>
            <w:r>
              <w:rPr>
                <w:rFonts w:hint="eastAsia"/>
                <w:lang w:val="en-US"/>
              </w:rPr>
              <w:t>国产</w:t>
            </w:r>
          </w:p>
        </w:tc>
        <w:tc>
          <w:tcPr>
            <w:tcW w:w="270" w:type="pct"/>
            <w:shd w:val="clear" w:color="auto" w:fill="auto"/>
            <w:noWrap/>
            <w:vAlign w:val="center"/>
          </w:tcPr>
          <w:p w14:paraId="682EE916">
            <w:pPr>
              <w:pStyle w:val="18"/>
              <w:rPr>
                <w:lang w:val="en-US"/>
              </w:rPr>
            </w:pPr>
            <w:r>
              <w:rPr>
                <w:rFonts w:hint="eastAsia"/>
                <w:lang w:val="en-US"/>
              </w:rPr>
              <w:t>2020</w:t>
            </w:r>
          </w:p>
        </w:tc>
        <w:tc>
          <w:tcPr>
            <w:tcW w:w="1100" w:type="pct"/>
            <w:shd w:val="clear" w:color="auto" w:fill="auto"/>
            <w:noWrap/>
            <w:vAlign w:val="center"/>
          </w:tcPr>
          <w:p w14:paraId="03A40AD4">
            <w:pPr>
              <w:pStyle w:val="18"/>
              <w:rPr>
                <w:lang w:val="en-US"/>
              </w:rPr>
            </w:pPr>
            <w:r>
              <w:rPr>
                <w:rFonts w:hint="eastAsia"/>
                <w:lang w:val="en-US"/>
              </w:rPr>
              <w:t>50t</w:t>
            </w:r>
          </w:p>
        </w:tc>
        <w:tc>
          <w:tcPr>
            <w:tcW w:w="270" w:type="pct"/>
            <w:shd w:val="clear" w:color="auto" w:fill="auto"/>
            <w:noWrap/>
            <w:vAlign w:val="center"/>
          </w:tcPr>
          <w:p w14:paraId="288A80E1">
            <w:pPr>
              <w:pStyle w:val="18"/>
              <w:rPr>
                <w:lang w:val="en-US"/>
              </w:rPr>
            </w:pPr>
            <w:r>
              <w:rPr>
                <w:rFonts w:hint="eastAsia"/>
                <w:lang w:val="en-US"/>
              </w:rPr>
              <w:t>良好</w:t>
            </w:r>
          </w:p>
        </w:tc>
        <w:tc>
          <w:tcPr>
            <w:tcW w:w="653" w:type="pct"/>
            <w:shd w:val="clear" w:color="auto" w:fill="auto"/>
            <w:noWrap/>
            <w:vAlign w:val="center"/>
          </w:tcPr>
          <w:p w14:paraId="53FB891F">
            <w:pPr>
              <w:pStyle w:val="18"/>
              <w:rPr>
                <w:lang w:val="en-US"/>
              </w:rPr>
            </w:pPr>
            <w:r>
              <w:rPr>
                <w:rFonts w:hint="eastAsia"/>
                <w:lang w:val="en-US"/>
              </w:rPr>
              <w:t>吊装</w:t>
            </w:r>
          </w:p>
        </w:tc>
        <w:tc>
          <w:tcPr>
            <w:tcW w:w="749" w:type="pct"/>
            <w:shd w:val="clear" w:color="auto" w:fill="auto"/>
            <w:noWrap/>
            <w:vAlign w:val="center"/>
          </w:tcPr>
          <w:p w14:paraId="51EC8F0D">
            <w:pPr>
              <w:pStyle w:val="18"/>
            </w:pPr>
          </w:p>
        </w:tc>
      </w:tr>
      <w:tr w14:paraId="3374C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450A042F">
            <w:pPr>
              <w:pStyle w:val="18"/>
              <w:rPr>
                <w:lang w:val="en-US"/>
              </w:rPr>
            </w:pPr>
            <w:r>
              <w:rPr>
                <w:rFonts w:hint="eastAsia"/>
                <w:lang w:val="en-US"/>
              </w:rPr>
              <w:t>6</w:t>
            </w:r>
          </w:p>
        </w:tc>
        <w:tc>
          <w:tcPr>
            <w:tcW w:w="524" w:type="pct"/>
            <w:shd w:val="clear" w:color="auto" w:fill="auto"/>
            <w:noWrap/>
            <w:vAlign w:val="center"/>
          </w:tcPr>
          <w:p w14:paraId="11B603F3">
            <w:pPr>
              <w:pStyle w:val="18"/>
              <w:rPr>
                <w:lang w:val="en-US"/>
              </w:rPr>
            </w:pPr>
            <w:r>
              <w:rPr>
                <w:rFonts w:hint="eastAsia"/>
                <w:lang w:val="en-US"/>
              </w:rPr>
              <w:t>运输车</w:t>
            </w:r>
          </w:p>
        </w:tc>
        <w:tc>
          <w:tcPr>
            <w:tcW w:w="621" w:type="pct"/>
            <w:shd w:val="clear" w:color="auto" w:fill="auto"/>
            <w:noWrap/>
            <w:vAlign w:val="center"/>
          </w:tcPr>
          <w:p w14:paraId="36CC569C">
            <w:pPr>
              <w:pStyle w:val="18"/>
              <w:rPr>
                <w:lang w:val="en-US"/>
              </w:rPr>
            </w:pPr>
            <w:r>
              <w:rPr>
                <w:rFonts w:hint="eastAsia"/>
                <w:lang w:val="en-US"/>
              </w:rPr>
              <w:t>溢夫</w:t>
            </w:r>
          </w:p>
        </w:tc>
        <w:tc>
          <w:tcPr>
            <w:tcW w:w="270" w:type="pct"/>
            <w:shd w:val="clear" w:color="auto" w:fill="auto"/>
            <w:noWrap/>
            <w:vAlign w:val="center"/>
          </w:tcPr>
          <w:p w14:paraId="706500AA">
            <w:pPr>
              <w:pStyle w:val="18"/>
              <w:rPr>
                <w:lang w:val="en-US"/>
              </w:rPr>
            </w:pPr>
            <w:r>
              <w:rPr>
                <w:rFonts w:hint="eastAsia"/>
                <w:lang w:val="en-US"/>
              </w:rPr>
              <w:t>10</w:t>
            </w:r>
          </w:p>
        </w:tc>
        <w:tc>
          <w:tcPr>
            <w:tcW w:w="270" w:type="pct"/>
            <w:shd w:val="clear" w:color="auto" w:fill="auto"/>
            <w:noWrap/>
            <w:vAlign w:val="center"/>
          </w:tcPr>
          <w:p w14:paraId="3817980E">
            <w:pPr>
              <w:pStyle w:val="18"/>
              <w:rPr>
                <w:lang w:val="en-US"/>
              </w:rPr>
            </w:pPr>
            <w:r>
              <w:rPr>
                <w:rFonts w:hint="eastAsia"/>
                <w:lang w:val="en-US"/>
              </w:rPr>
              <w:t>国产</w:t>
            </w:r>
          </w:p>
        </w:tc>
        <w:tc>
          <w:tcPr>
            <w:tcW w:w="270" w:type="pct"/>
            <w:shd w:val="clear" w:color="auto" w:fill="auto"/>
            <w:noWrap/>
            <w:vAlign w:val="center"/>
          </w:tcPr>
          <w:p w14:paraId="1F8D59E6">
            <w:pPr>
              <w:pStyle w:val="18"/>
              <w:rPr>
                <w:lang w:val="en-US"/>
              </w:rPr>
            </w:pPr>
            <w:r>
              <w:rPr>
                <w:rFonts w:hint="eastAsia"/>
                <w:lang w:val="en-US"/>
              </w:rPr>
              <w:t>2020</w:t>
            </w:r>
          </w:p>
        </w:tc>
        <w:tc>
          <w:tcPr>
            <w:tcW w:w="1100" w:type="pct"/>
            <w:shd w:val="clear" w:color="auto" w:fill="auto"/>
            <w:noWrap/>
            <w:vAlign w:val="center"/>
          </w:tcPr>
          <w:p w14:paraId="0F9B7772">
            <w:pPr>
              <w:pStyle w:val="18"/>
              <w:rPr>
                <w:lang w:val="en-US"/>
              </w:rPr>
            </w:pPr>
            <w:r>
              <w:rPr>
                <w:rFonts w:hint="eastAsia"/>
                <w:lang w:val="en-US"/>
              </w:rPr>
              <w:t>8吨</w:t>
            </w:r>
          </w:p>
        </w:tc>
        <w:tc>
          <w:tcPr>
            <w:tcW w:w="270" w:type="pct"/>
            <w:shd w:val="clear" w:color="auto" w:fill="auto"/>
            <w:noWrap/>
            <w:vAlign w:val="center"/>
          </w:tcPr>
          <w:p w14:paraId="682AB8EB">
            <w:pPr>
              <w:pStyle w:val="18"/>
              <w:rPr>
                <w:lang w:val="en-US"/>
              </w:rPr>
            </w:pPr>
            <w:r>
              <w:rPr>
                <w:rFonts w:hint="eastAsia"/>
                <w:lang w:val="en-US"/>
              </w:rPr>
              <w:t>良好</w:t>
            </w:r>
          </w:p>
        </w:tc>
        <w:tc>
          <w:tcPr>
            <w:tcW w:w="653" w:type="pct"/>
            <w:shd w:val="clear" w:color="auto" w:fill="auto"/>
            <w:noWrap/>
            <w:vAlign w:val="center"/>
          </w:tcPr>
          <w:p w14:paraId="065C9AD5">
            <w:pPr>
              <w:pStyle w:val="18"/>
              <w:rPr>
                <w:lang w:val="en-US"/>
              </w:rPr>
            </w:pPr>
            <w:r>
              <w:rPr>
                <w:rFonts w:hint="eastAsia"/>
                <w:lang w:val="en-US"/>
              </w:rPr>
              <w:t>运输</w:t>
            </w:r>
          </w:p>
        </w:tc>
        <w:tc>
          <w:tcPr>
            <w:tcW w:w="749" w:type="pct"/>
            <w:shd w:val="clear" w:color="auto" w:fill="auto"/>
            <w:noWrap/>
            <w:vAlign w:val="center"/>
          </w:tcPr>
          <w:p w14:paraId="3060C29C">
            <w:pPr>
              <w:pStyle w:val="18"/>
            </w:pPr>
          </w:p>
        </w:tc>
      </w:tr>
      <w:tr w14:paraId="381A9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44E42122">
            <w:pPr>
              <w:pStyle w:val="18"/>
              <w:rPr>
                <w:lang w:val="en-US"/>
              </w:rPr>
            </w:pPr>
            <w:r>
              <w:rPr>
                <w:rFonts w:hint="eastAsia"/>
                <w:lang w:val="en-US"/>
              </w:rPr>
              <w:t>7</w:t>
            </w:r>
          </w:p>
        </w:tc>
        <w:tc>
          <w:tcPr>
            <w:tcW w:w="524" w:type="pct"/>
            <w:shd w:val="clear" w:color="auto" w:fill="auto"/>
            <w:noWrap/>
            <w:vAlign w:val="center"/>
          </w:tcPr>
          <w:p w14:paraId="361212AA">
            <w:pPr>
              <w:pStyle w:val="18"/>
              <w:rPr>
                <w:lang w:val="en-US"/>
              </w:rPr>
            </w:pPr>
            <w:r>
              <w:rPr>
                <w:rFonts w:hint="eastAsia"/>
                <w:lang w:val="en-US"/>
              </w:rPr>
              <w:t>发电机</w:t>
            </w:r>
          </w:p>
        </w:tc>
        <w:tc>
          <w:tcPr>
            <w:tcW w:w="621" w:type="pct"/>
            <w:shd w:val="clear" w:color="auto" w:fill="auto"/>
            <w:noWrap/>
            <w:vAlign w:val="center"/>
          </w:tcPr>
          <w:p w14:paraId="5283C103">
            <w:pPr>
              <w:pStyle w:val="18"/>
              <w:rPr>
                <w:lang w:val="en-US"/>
              </w:rPr>
            </w:pPr>
            <w:r>
              <w:rPr>
                <w:rFonts w:hint="eastAsia"/>
                <w:lang w:val="en-US"/>
              </w:rPr>
              <w:t>/</w:t>
            </w:r>
          </w:p>
        </w:tc>
        <w:tc>
          <w:tcPr>
            <w:tcW w:w="270" w:type="pct"/>
            <w:shd w:val="clear" w:color="auto" w:fill="auto"/>
            <w:noWrap/>
            <w:vAlign w:val="center"/>
          </w:tcPr>
          <w:p w14:paraId="3B9E7B06">
            <w:pPr>
              <w:pStyle w:val="18"/>
              <w:rPr>
                <w:lang w:val="en-US"/>
              </w:rPr>
            </w:pPr>
            <w:r>
              <w:rPr>
                <w:rFonts w:hint="eastAsia"/>
                <w:lang w:val="en-US"/>
              </w:rPr>
              <w:t>5</w:t>
            </w:r>
          </w:p>
        </w:tc>
        <w:tc>
          <w:tcPr>
            <w:tcW w:w="270" w:type="pct"/>
            <w:shd w:val="clear" w:color="auto" w:fill="auto"/>
            <w:noWrap/>
            <w:vAlign w:val="center"/>
          </w:tcPr>
          <w:p w14:paraId="031ED678">
            <w:pPr>
              <w:pStyle w:val="18"/>
              <w:rPr>
                <w:lang w:val="en-US"/>
              </w:rPr>
            </w:pPr>
            <w:r>
              <w:rPr>
                <w:rFonts w:hint="eastAsia"/>
                <w:lang w:val="en-US"/>
              </w:rPr>
              <w:t>国产</w:t>
            </w:r>
          </w:p>
        </w:tc>
        <w:tc>
          <w:tcPr>
            <w:tcW w:w="270" w:type="pct"/>
            <w:shd w:val="clear" w:color="auto" w:fill="auto"/>
            <w:noWrap/>
            <w:vAlign w:val="center"/>
          </w:tcPr>
          <w:p w14:paraId="2F677E12">
            <w:pPr>
              <w:pStyle w:val="18"/>
              <w:rPr>
                <w:lang w:val="en-US"/>
              </w:rPr>
            </w:pPr>
            <w:r>
              <w:rPr>
                <w:rFonts w:hint="eastAsia"/>
                <w:lang w:val="en-US"/>
              </w:rPr>
              <w:t>2021</w:t>
            </w:r>
          </w:p>
        </w:tc>
        <w:tc>
          <w:tcPr>
            <w:tcW w:w="1100" w:type="pct"/>
            <w:shd w:val="clear" w:color="auto" w:fill="auto"/>
            <w:noWrap/>
            <w:vAlign w:val="center"/>
          </w:tcPr>
          <w:p w14:paraId="583573EB">
            <w:pPr>
              <w:pStyle w:val="18"/>
              <w:rPr>
                <w:lang w:val="en-US"/>
              </w:rPr>
            </w:pPr>
            <w:r>
              <w:rPr>
                <w:rFonts w:hint="eastAsia"/>
                <w:lang w:val="en-US"/>
              </w:rPr>
              <w:t>30kw</w:t>
            </w:r>
          </w:p>
        </w:tc>
        <w:tc>
          <w:tcPr>
            <w:tcW w:w="270" w:type="pct"/>
            <w:shd w:val="clear" w:color="auto" w:fill="auto"/>
            <w:noWrap/>
            <w:vAlign w:val="center"/>
          </w:tcPr>
          <w:p w14:paraId="3BDCB479">
            <w:pPr>
              <w:pStyle w:val="18"/>
              <w:rPr>
                <w:lang w:val="en-US"/>
              </w:rPr>
            </w:pPr>
            <w:r>
              <w:rPr>
                <w:rFonts w:hint="eastAsia"/>
                <w:lang w:val="en-US"/>
              </w:rPr>
              <w:t>良好</w:t>
            </w:r>
          </w:p>
        </w:tc>
        <w:tc>
          <w:tcPr>
            <w:tcW w:w="653" w:type="pct"/>
            <w:shd w:val="clear" w:color="auto" w:fill="auto"/>
            <w:noWrap/>
            <w:vAlign w:val="center"/>
          </w:tcPr>
          <w:p w14:paraId="59E1536D">
            <w:pPr>
              <w:pStyle w:val="18"/>
              <w:rPr>
                <w:lang w:val="en-US"/>
              </w:rPr>
            </w:pPr>
            <w:r>
              <w:rPr>
                <w:rFonts w:hint="eastAsia"/>
                <w:lang w:val="en-US"/>
              </w:rPr>
              <w:t>发电</w:t>
            </w:r>
          </w:p>
        </w:tc>
        <w:tc>
          <w:tcPr>
            <w:tcW w:w="749" w:type="pct"/>
            <w:shd w:val="clear" w:color="auto" w:fill="auto"/>
            <w:noWrap/>
            <w:vAlign w:val="center"/>
          </w:tcPr>
          <w:p w14:paraId="20F3BF21">
            <w:pPr>
              <w:pStyle w:val="18"/>
            </w:pPr>
          </w:p>
        </w:tc>
      </w:tr>
      <w:tr w14:paraId="61399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0DE4330B">
            <w:pPr>
              <w:pStyle w:val="18"/>
              <w:rPr>
                <w:lang w:val="en-US"/>
              </w:rPr>
            </w:pPr>
            <w:r>
              <w:rPr>
                <w:rFonts w:hint="eastAsia"/>
                <w:lang w:val="en-US"/>
              </w:rPr>
              <w:t>8</w:t>
            </w:r>
          </w:p>
        </w:tc>
        <w:tc>
          <w:tcPr>
            <w:tcW w:w="524" w:type="pct"/>
            <w:shd w:val="clear" w:color="auto" w:fill="auto"/>
            <w:noWrap/>
            <w:vAlign w:val="center"/>
          </w:tcPr>
          <w:p w14:paraId="74598A0F">
            <w:pPr>
              <w:pStyle w:val="18"/>
              <w:rPr>
                <w:lang w:val="en-US"/>
              </w:rPr>
            </w:pPr>
            <w:r>
              <w:rPr>
                <w:rFonts w:hint="eastAsia"/>
                <w:lang w:val="en-US"/>
              </w:rPr>
              <w:t>等离子</w:t>
            </w:r>
          </w:p>
          <w:p w14:paraId="3A4F0CBF">
            <w:pPr>
              <w:pStyle w:val="18"/>
              <w:rPr>
                <w:lang w:val="en-US"/>
              </w:rPr>
            </w:pPr>
            <w:r>
              <w:rPr>
                <w:rFonts w:hint="eastAsia"/>
                <w:lang w:val="en-US"/>
              </w:rPr>
              <w:t>切割机</w:t>
            </w:r>
          </w:p>
        </w:tc>
        <w:tc>
          <w:tcPr>
            <w:tcW w:w="621" w:type="pct"/>
            <w:shd w:val="clear" w:color="auto" w:fill="auto"/>
            <w:noWrap/>
            <w:vAlign w:val="center"/>
          </w:tcPr>
          <w:p w14:paraId="32937BA7">
            <w:pPr>
              <w:pStyle w:val="18"/>
              <w:rPr>
                <w:lang w:val="en-US"/>
              </w:rPr>
            </w:pPr>
            <w:r>
              <w:rPr>
                <w:rFonts w:hint="eastAsia"/>
                <w:lang w:val="en-US"/>
              </w:rPr>
              <w:t>/</w:t>
            </w:r>
          </w:p>
        </w:tc>
        <w:tc>
          <w:tcPr>
            <w:tcW w:w="270" w:type="pct"/>
            <w:shd w:val="clear" w:color="auto" w:fill="auto"/>
            <w:noWrap/>
            <w:vAlign w:val="center"/>
          </w:tcPr>
          <w:p w14:paraId="15AD4295">
            <w:pPr>
              <w:pStyle w:val="18"/>
              <w:rPr>
                <w:lang w:val="en-US"/>
              </w:rPr>
            </w:pPr>
            <w:r>
              <w:rPr>
                <w:rFonts w:hint="eastAsia"/>
                <w:lang w:val="en-US"/>
              </w:rPr>
              <w:t>1</w:t>
            </w:r>
          </w:p>
        </w:tc>
        <w:tc>
          <w:tcPr>
            <w:tcW w:w="270" w:type="pct"/>
            <w:shd w:val="clear" w:color="auto" w:fill="auto"/>
            <w:noWrap/>
            <w:vAlign w:val="center"/>
          </w:tcPr>
          <w:p w14:paraId="38A354EE">
            <w:pPr>
              <w:pStyle w:val="18"/>
              <w:rPr>
                <w:lang w:val="en-US"/>
              </w:rPr>
            </w:pPr>
            <w:r>
              <w:rPr>
                <w:rFonts w:hint="eastAsia"/>
                <w:lang w:val="en-US"/>
              </w:rPr>
              <w:t>国产</w:t>
            </w:r>
          </w:p>
        </w:tc>
        <w:tc>
          <w:tcPr>
            <w:tcW w:w="270" w:type="pct"/>
            <w:shd w:val="clear" w:color="auto" w:fill="auto"/>
            <w:noWrap/>
            <w:vAlign w:val="center"/>
          </w:tcPr>
          <w:p w14:paraId="55C23A08">
            <w:pPr>
              <w:pStyle w:val="18"/>
              <w:rPr>
                <w:lang w:val="en-US"/>
              </w:rPr>
            </w:pPr>
            <w:r>
              <w:rPr>
                <w:rFonts w:hint="eastAsia"/>
                <w:lang w:val="en-US"/>
              </w:rPr>
              <w:t>2020</w:t>
            </w:r>
          </w:p>
        </w:tc>
        <w:tc>
          <w:tcPr>
            <w:tcW w:w="1100" w:type="pct"/>
            <w:shd w:val="clear" w:color="auto" w:fill="auto"/>
            <w:noWrap/>
            <w:vAlign w:val="center"/>
          </w:tcPr>
          <w:p w14:paraId="2BC55E78">
            <w:pPr>
              <w:pStyle w:val="18"/>
              <w:rPr>
                <w:lang w:val="en-US"/>
              </w:rPr>
            </w:pPr>
            <w:r>
              <w:rPr>
                <w:rFonts w:hint="eastAsia"/>
                <w:lang w:val="en-US"/>
              </w:rPr>
              <w:t>/</w:t>
            </w:r>
          </w:p>
        </w:tc>
        <w:tc>
          <w:tcPr>
            <w:tcW w:w="270" w:type="pct"/>
            <w:shd w:val="clear" w:color="auto" w:fill="auto"/>
            <w:noWrap/>
            <w:vAlign w:val="center"/>
          </w:tcPr>
          <w:p w14:paraId="452B1FB7">
            <w:pPr>
              <w:pStyle w:val="18"/>
              <w:rPr>
                <w:lang w:val="en-US"/>
              </w:rPr>
            </w:pPr>
            <w:r>
              <w:rPr>
                <w:rFonts w:hint="eastAsia"/>
                <w:lang w:val="en-US"/>
              </w:rPr>
              <w:t>良好</w:t>
            </w:r>
          </w:p>
        </w:tc>
        <w:tc>
          <w:tcPr>
            <w:tcW w:w="653" w:type="pct"/>
            <w:shd w:val="clear" w:color="auto" w:fill="auto"/>
            <w:noWrap/>
            <w:vAlign w:val="center"/>
          </w:tcPr>
          <w:p w14:paraId="2D9CDBE6">
            <w:pPr>
              <w:pStyle w:val="18"/>
              <w:rPr>
                <w:lang w:val="en-US"/>
              </w:rPr>
            </w:pPr>
            <w:r>
              <w:rPr>
                <w:rFonts w:hint="eastAsia"/>
                <w:lang w:val="en-US"/>
              </w:rPr>
              <w:t>/</w:t>
            </w:r>
          </w:p>
        </w:tc>
        <w:tc>
          <w:tcPr>
            <w:tcW w:w="749" w:type="pct"/>
            <w:shd w:val="clear" w:color="auto" w:fill="auto"/>
            <w:noWrap/>
            <w:vAlign w:val="center"/>
          </w:tcPr>
          <w:p w14:paraId="62354246">
            <w:pPr>
              <w:pStyle w:val="18"/>
            </w:pPr>
          </w:p>
        </w:tc>
      </w:tr>
      <w:tr w14:paraId="5F86A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0FAAC1D7">
            <w:pPr>
              <w:pStyle w:val="18"/>
              <w:rPr>
                <w:lang w:val="en-US"/>
              </w:rPr>
            </w:pPr>
            <w:r>
              <w:rPr>
                <w:rFonts w:hint="eastAsia"/>
                <w:lang w:val="en-US"/>
              </w:rPr>
              <w:t>9</w:t>
            </w:r>
          </w:p>
        </w:tc>
        <w:tc>
          <w:tcPr>
            <w:tcW w:w="524" w:type="pct"/>
            <w:shd w:val="clear" w:color="auto" w:fill="auto"/>
            <w:noWrap/>
            <w:vAlign w:val="center"/>
          </w:tcPr>
          <w:p w14:paraId="1B44F2B0">
            <w:pPr>
              <w:pStyle w:val="18"/>
              <w:rPr>
                <w:lang w:val="en-US"/>
              </w:rPr>
            </w:pPr>
            <w:r>
              <w:rPr>
                <w:rFonts w:hint="eastAsia"/>
                <w:lang w:val="en-US"/>
              </w:rPr>
              <w:t>割管机</w:t>
            </w:r>
          </w:p>
        </w:tc>
        <w:tc>
          <w:tcPr>
            <w:tcW w:w="621" w:type="pct"/>
            <w:shd w:val="clear" w:color="auto" w:fill="auto"/>
            <w:noWrap/>
            <w:vAlign w:val="center"/>
          </w:tcPr>
          <w:p w14:paraId="3518C8DF">
            <w:pPr>
              <w:pStyle w:val="18"/>
              <w:rPr>
                <w:lang w:val="en-US"/>
              </w:rPr>
            </w:pPr>
            <w:r>
              <w:rPr>
                <w:rFonts w:hint="eastAsia"/>
                <w:lang w:val="en-US"/>
              </w:rPr>
              <w:t>/</w:t>
            </w:r>
          </w:p>
        </w:tc>
        <w:tc>
          <w:tcPr>
            <w:tcW w:w="270" w:type="pct"/>
            <w:shd w:val="clear" w:color="auto" w:fill="auto"/>
            <w:noWrap/>
            <w:vAlign w:val="center"/>
          </w:tcPr>
          <w:p w14:paraId="64F7892A">
            <w:pPr>
              <w:pStyle w:val="18"/>
              <w:rPr>
                <w:lang w:val="en-US"/>
              </w:rPr>
            </w:pPr>
            <w:r>
              <w:rPr>
                <w:rFonts w:hint="eastAsia"/>
                <w:lang w:val="en-US"/>
              </w:rPr>
              <w:t>1</w:t>
            </w:r>
          </w:p>
        </w:tc>
        <w:tc>
          <w:tcPr>
            <w:tcW w:w="270" w:type="pct"/>
            <w:shd w:val="clear" w:color="auto" w:fill="auto"/>
            <w:noWrap/>
            <w:vAlign w:val="center"/>
          </w:tcPr>
          <w:p w14:paraId="31F7470E">
            <w:pPr>
              <w:pStyle w:val="18"/>
              <w:rPr>
                <w:lang w:val="en-US"/>
              </w:rPr>
            </w:pPr>
            <w:r>
              <w:rPr>
                <w:rFonts w:hint="eastAsia"/>
                <w:lang w:val="en-US"/>
              </w:rPr>
              <w:t>国产</w:t>
            </w:r>
          </w:p>
        </w:tc>
        <w:tc>
          <w:tcPr>
            <w:tcW w:w="270" w:type="pct"/>
            <w:shd w:val="clear" w:color="auto" w:fill="auto"/>
            <w:noWrap/>
            <w:vAlign w:val="center"/>
          </w:tcPr>
          <w:p w14:paraId="7774E3A7">
            <w:pPr>
              <w:pStyle w:val="18"/>
              <w:rPr>
                <w:lang w:val="en-US"/>
              </w:rPr>
            </w:pPr>
            <w:r>
              <w:rPr>
                <w:rFonts w:hint="eastAsia"/>
                <w:lang w:val="en-US"/>
              </w:rPr>
              <w:t>2020</w:t>
            </w:r>
          </w:p>
        </w:tc>
        <w:tc>
          <w:tcPr>
            <w:tcW w:w="1100" w:type="pct"/>
            <w:shd w:val="clear" w:color="auto" w:fill="auto"/>
            <w:noWrap/>
            <w:vAlign w:val="center"/>
          </w:tcPr>
          <w:p w14:paraId="4A720809">
            <w:pPr>
              <w:pStyle w:val="18"/>
              <w:rPr>
                <w:lang w:val="en-US"/>
              </w:rPr>
            </w:pPr>
            <w:r>
              <w:rPr>
                <w:rFonts w:hint="eastAsia"/>
                <w:lang w:val="en-US"/>
              </w:rPr>
              <w:t>/</w:t>
            </w:r>
          </w:p>
        </w:tc>
        <w:tc>
          <w:tcPr>
            <w:tcW w:w="270" w:type="pct"/>
            <w:shd w:val="clear" w:color="auto" w:fill="auto"/>
            <w:noWrap/>
            <w:vAlign w:val="center"/>
          </w:tcPr>
          <w:p w14:paraId="0C12630C">
            <w:pPr>
              <w:pStyle w:val="18"/>
              <w:rPr>
                <w:lang w:val="en-US"/>
              </w:rPr>
            </w:pPr>
            <w:r>
              <w:rPr>
                <w:rFonts w:hint="eastAsia"/>
                <w:lang w:val="en-US"/>
              </w:rPr>
              <w:t>良好</w:t>
            </w:r>
          </w:p>
        </w:tc>
        <w:tc>
          <w:tcPr>
            <w:tcW w:w="653" w:type="pct"/>
            <w:shd w:val="clear" w:color="auto" w:fill="auto"/>
            <w:noWrap/>
            <w:vAlign w:val="center"/>
          </w:tcPr>
          <w:p w14:paraId="1AC840E7">
            <w:pPr>
              <w:pStyle w:val="18"/>
              <w:rPr>
                <w:lang w:val="en-US"/>
              </w:rPr>
            </w:pPr>
            <w:r>
              <w:rPr>
                <w:rFonts w:hint="eastAsia"/>
                <w:lang w:val="en-US"/>
              </w:rPr>
              <w:t>/</w:t>
            </w:r>
          </w:p>
        </w:tc>
        <w:tc>
          <w:tcPr>
            <w:tcW w:w="749" w:type="pct"/>
            <w:shd w:val="clear" w:color="auto" w:fill="auto"/>
            <w:noWrap/>
            <w:vAlign w:val="center"/>
          </w:tcPr>
          <w:p w14:paraId="40752D1F">
            <w:pPr>
              <w:pStyle w:val="18"/>
            </w:pPr>
          </w:p>
        </w:tc>
      </w:tr>
      <w:tr w14:paraId="26F72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2D9AD00B">
            <w:pPr>
              <w:pStyle w:val="18"/>
              <w:rPr>
                <w:lang w:val="en-US"/>
              </w:rPr>
            </w:pPr>
            <w:r>
              <w:rPr>
                <w:rFonts w:hint="eastAsia"/>
                <w:lang w:val="en-US"/>
              </w:rPr>
              <w:t>10</w:t>
            </w:r>
          </w:p>
        </w:tc>
        <w:tc>
          <w:tcPr>
            <w:tcW w:w="524" w:type="pct"/>
            <w:shd w:val="clear" w:color="auto" w:fill="auto"/>
            <w:noWrap/>
            <w:vAlign w:val="center"/>
          </w:tcPr>
          <w:p w14:paraId="2EE53495">
            <w:pPr>
              <w:pStyle w:val="18"/>
              <w:rPr>
                <w:lang w:val="en-US"/>
              </w:rPr>
            </w:pPr>
            <w:r>
              <w:rPr>
                <w:rFonts w:hint="eastAsia"/>
                <w:lang w:val="en-US"/>
              </w:rPr>
              <w:t>套丝机</w:t>
            </w:r>
          </w:p>
        </w:tc>
        <w:tc>
          <w:tcPr>
            <w:tcW w:w="621" w:type="pct"/>
            <w:shd w:val="clear" w:color="auto" w:fill="auto"/>
            <w:noWrap/>
            <w:vAlign w:val="center"/>
          </w:tcPr>
          <w:p w14:paraId="41FDCBBF">
            <w:pPr>
              <w:pStyle w:val="18"/>
            </w:pPr>
            <w:r>
              <w:rPr>
                <w:rFonts w:hint="eastAsia"/>
              </w:rPr>
              <w:t>Φ15-70</w:t>
            </w:r>
          </w:p>
        </w:tc>
        <w:tc>
          <w:tcPr>
            <w:tcW w:w="270" w:type="pct"/>
            <w:shd w:val="clear" w:color="auto" w:fill="auto"/>
            <w:noWrap/>
            <w:vAlign w:val="center"/>
          </w:tcPr>
          <w:p w14:paraId="6FBCA7A8">
            <w:pPr>
              <w:pStyle w:val="18"/>
              <w:rPr>
                <w:lang w:val="en-US"/>
              </w:rPr>
            </w:pPr>
            <w:r>
              <w:rPr>
                <w:rFonts w:hint="eastAsia"/>
                <w:lang w:val="en-US"/>
              </w:rPr>
              <w:t>25</w:t>
            </w:r>
          </w:p>
        </w:tc>
        <w:tc>
          <w:tcPr>
            <w:tcW w:w="270" w:type="pct"/>
            <w:shd w:val="clear" w:color="auto" w:fill="auto"/>
            <w:noWrap/>
            <w:vAlign w:val="center"/>
          </w:tcPr>
          <w:p w14:paraId="1E79EEE6">
            <w:pPr>
              <w:pStyle w:val="18"/>
              <w:rPr>
                <w:lang w:val="en-US"/>
              </w:rPr>
            </w:pPr>
            <w:r>
              <w:rPr>
                <w:rFonts w:hint="eastAsia"/>
                <w:lang w:val="en-US"/>
              </w:rPr>
              <w:t>国产</w:t>
            </w:r>
          </w:p>
        </w:tc>
        <w:tc>
          <w:tcPr>
            <w:tcW w:w="270" w:type="pct"/>
            <w:shd w:val="clear" w:color="auto" w:fill="auto"/>
            <w:noWrap/>
            <w:vAlign w:val="center"/>
          </w:tcPr>
          <w:p w14:paraId="5015815C">
            <w:pPr>
              <w:pStyle w:val="18"/>
              <w:rPr>
                <w:lang w:val="en-US"/>
              </w:rPr>
            </w:pPr>
            <w:r>
              <w:rPr>
                <w:rFonts w:hint="eastAsia"/>
                <w:lang w:val="en-US"/>
              </w:rPr>
              <w:t>2021</w:t>
            </w:r>
          </w:p>
        </w:tc>
        <w:tc>
          <w:tcPr>
            <w:tcW w:w="1100" w:type="pct"/>
            <w:shd w:val="clear" w:color="auto" w:fill="auto"/>
            <w:noWrap/>
            <w:vAlign w:val="center"/>
          </w:tcPr>
          <w:p w14:paraId="7990CCA4">
            <w:pPr>
              <w:pStyle w:val="18"/>
              <w:rPr>
                <w:lang w:val="en-US"/>
              </w:rPr>
            </w:pPr>
            <w:r>
              <w:rPr>
                <w:rFonts w:hint="eastAsia"/>
                <w:lang w:val="en-US"/>
              </w:rPr>
              <w:t>0.5kw</w:t>
            </w:r>
          </w:p>
        </w:tc>
        <w:tc>
          <w:tcPr>
            <w:tcW w:w="270" w:type="pct"/>
            <w:shd w:val="clear" w:color="auto" w:fill="auto"/>
            <w:noWrap/>
            <w:vAlign w:val="center"/>
          </w:tcPr>
          <w:p w14:paraId="09FC180E">
            <w:pPr>
              <w:pStyle w:val="18"/>
              <w:rPr>
                <w:lang w:val="en-US"/>
              </w:rPr>
            </w:pPr>
            <w:r>
              <w:rPr>
                <w:rFonts w:hint="eastAsia"/>
                <w:lang w:val="en-US"/>
              </w:rPr>
              <w:t>良好</w:t>
            </w:r>
          </w:p>
        </w:tc>
        <w:tc>
          <w:tcPr>
            <w:tcW w:w="653" w:type="pct"/>
            <w:shd w:val="clear" w:color="auto" w:fill="auto"/>
            <w:noWrap/>
            <w:vAlign w:val="center"/>
          </w:tcPr>
          <w:p w14:paraId="204361B8">
            <w:pPr>
              <w:pStyle w:val="18"/>
              <w:rPr>
                <w:lang w:val="en-US"/>
              </w:rPr>
            </w:pPr>
            <w:r>
              <w:rPr>
                <w:rFonts w:hint="eastAsia"/>
                <w:lang w:val="en-US"/>
              </w:rPr>
              <w:t>/</w:t>
            </w:r>
          </w:p>
        </w:tc>
        <w:tc>
          <w:tcPr>
            <w:tcW w:w="749" w:type="pct"/>
            <w:shd w:val="clear" w:color="auto" w:fill="auto"/>
            <w:noWrap/>
            <w:vAlign w:val="center"/>
          </w:tcPr>
          <w:p w14:paraId="1608CC8A">
            <w:pPr>
              <w:pStyle w:val="18"/>
            </w:pPr>
          </w:p>
        </w:tc>
      </w:tr>
      <w:tr w14:paraId="3DF46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51550952">
            <w:pPr>
              <w:pStyle w:val="18"/>
              <w:rPr>
                <w:lang w:val="en-US"/>
              </w:rPr>
            </w:pPr>
            <w:r>
              <w:rPr>
                <w:rFonts w:hint="eastAsia"/>
                <w:lang w:val="en-US"/>
              </w:rPr>
              <w:t>11</w:t>
            </w:r>
          </w:p>
        </w:tc>
        <w:tc>
          <w:tcPr>
            <w:tcW w:w="524" w:type="pct"/>
            <w:shd w:val="clear" w:color="auto" w:fill="auto"/>
            <w:noWrap/>
            <w:vAlign w:val="center"/>
          </w:tcPr>
          <w:p w14:paraId="648E7E5D">
            <w:pPr>
              <w:pStyle w:val="18"/>
            </w:pPr>
            <w:r>
              <w:rPr>
                <w:rFonts w:hint="eastAsia"/>
              </w:rPr>
              <w:t>冲击钻</w:t>
            </w:r>
          </w:p>
        </w:tc>
        <w:tc>
          <w:tcPr>
            <w:tcW w:w="621" w:type="pct"/>
            <w:shd w:val="clear" w:color="auto" w:fill="auto"/>
            <w:noWrap/>
            <w:vAlign w:val="center"/>
          </w:tcPr>
          <w:p w14:paraId="18EC2940">
            <w:pPr>
              <w:pStyle w:val="18"/>
            </w:pPr>
            <w:r>
              <w:rPr>
                <w:rFonts w:hint="eastAsia"/>
              </w:rPr>
              <w:t>GSB20-2</w:t>
            </w:r>
          </w:p>
        </w:tc>
        <w:tc>
          <w:tcPr>
            <w:tcW w:w="270" w:type="pct"/>
            <w:shd w:val="clear" w:color="auto" w:fill="auto"/>
            <w:noWrap/>
            <w:vAlign w:val="center"/>
          </w:tcPr>
          <w:p w14:paraId="781C73E4">
            <w:pPr>
              <w:pStyle w:val="18"/>
              <w:rPr>
                <w:lang w:val="en-US"/>
              </w:rPr>
            </w:pPr>
            <w:r>
              <w:rPr>
                <w:rFonts w:hint="eastAsia"/>
                <w:lang w:val="en-US"/>
              </w:rPr>
              <w:t>18</w:t>
            </w:r>
          </w:p>
        </w:tc>
        <w:tc>
          <w:tcPr>
            <w:tcW w:w="270" w:type="pct"/>
            <w:shd w:val="clear" w:color="auto" w:fill="auto"/>
            <w:noWrap/>
            <w:vAlign w:val="center"/>
          </w:tcPr>
          <w:p w14:paraId="15DBC537">
            <w:pPr>
              <w:pStyle w:val="18"/>
              <w:rPr>
                <w:lang w:val="en-US"/>
              </w:rPr>
            </w:pPr>
            <w:r>
              <w:rPr>
                <w:rFonts w:hint="eastAsia"/>
                <w:lang w:val="en-US"/>
              </w:rPr>
              <w:t>国产</w:t>
            </w:r>
          </w:p>
        </w:tc>
        <w:tc>
          <w:tcPr>
            <w:tcW w:w="270" w:type="pct"/>
            <w:shd w:val="clear" w:color="auto" w:fill="auto"/>
            <w:noWrap/>
            <w:vAlign w:val="center"/>
          </w:tcPr>
          <w:p w14:paraId="2DE351BD">
            <w:pPr>
              <w:pStyle w:val="18"/>
              <w:rPr>
                <w:lang w:val="en-US"/>
              </w:rPr>
            </w:pPr>
            <w:r>
              <w:rPr>
                <w:rFonts w:hint="eastAsia"/>
                <w:lang w:val="en-US"/>
              </w:rPr>
              <w:t>2021</w:t>
            </w:r>
          </w:p>
        </w:tc>
        <w:tc>
          <w:tcPr>
            <w:tcW w:w="1100" w:type="pct"/>
            <w:shd w:val="clear" w:color="auto" w:fill="auto"/>
            <w:noWrap/>
            <w:vAlign w:val="center"/>
          </w:tcPr>
          <w:p w14:paraId="0CBFEFC5">
            <w:pPr>
              <w:pStyle w:val="18"/>
              <w:rPr>
                <w:lang w:val="en-US"/>
              </w:rPr>
            </w:pPr>
            <w:r>
              <w:rPr>
                <w:rFonts w:hint="eastAsia"/>
                <w:lang w:val="en-US"/>
              </w:rPr>
              <w:t>/</w:t>
            </w:r>
          </w:p>
        </w:tc>
        <w:tc>
          <w:tcPr>
            <w:tcW w:w="270" w:type="pct"/>
            <w:shd w:val="clear" w:color="auto" w:fill="auto"/>
            <w:noWrap/>
            <w:vAlign w:val="center"/>
          </w:tcPr>
          <w:p w14:paraId="2C1B8449">
            <w:pPr>
              <w:pStyle w:val="18"/>
              <w:rPr>
                <w:lang w:val="en-US"/>
              </w:rPr>
            </w:pPr>
            <w:r>
              <w:rPr>
                <w:rFonts w:hint="eastAsia"/>
                <w:lang w:val="en-US"/>
              </w:rPr>
              <w:t>良好</w:t>
            </w:r>
          </w:p>
        </w:tc>
        <w:tc>
          <w:tcPr>
            <w:tcW w:w="653" w:type="pct"/>
            <w:shd w:val="clear" w:color="auto" w:fill="auto"/>
            <w:noWrap/>
            <w:vAlign w:val="center"/>
          </w:tcPr>
          <w:p w14:paraId="5F972F39">
            <w:pPr>
              <w:pStyle w:val="18"/>
              <w:rPr>
                <w:lang w:val="en-US"/>
              </w:rPr>
            </w:pPr>
            <w:r>
              <w:rPr>
                <w:rFonts w:hint="eastAsia"/>
                <w:lang w:val="en-US"/>
              </w:rPr>
              <w:t>/</w:t>
            </w:r>
          </w:p>
        </w:tc>
        <w:tc>
          <w:tcPr>
            <w:tcW w:w="749" w:type="pct"/>
            <w:shd w:val="clear" w:color="auto" w:fill="auto"/>
            <w:noWrap/>
            <w:vAlign w:val="center"/>
          </w:tcPr>
          <w:p w14:paraId="4A840F63">
            <w:pPr>
              <w:pStyle w:val="18"/>
            </w:pPr>
          </w:p>
        </w:tc>
      </w:tr>
      <w:tr w14:paraId="2B8DC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67452883">
            <w:pPr>
              <w:pStyle w:val="18"/>
              <w:rPr>
                <w:lang w:val="en-US"/>
              </w:rPr>
            </w:pPr>
            <w:r>
              <w:rPr>
                <w:rFonts w:hint="eastAsia"/>
                <w:lang w:val="en-US"/>
              </w:rPr>
              <w:t>12</w:t>
            </w:r>
          </w:p>
        </w:tc>
        <w:tc>
          <w:tcPr>
            <w:tcW w:w="524" w:type="pct"/>
            <w:shd w:val="clear" w:color="auto" w:fill="auto"/>
            <w:noWrap/>
            <w:vAlign w:val="center"/>
          </w:tcPr>
          <w:p w14:paraId="65D96BD8">
            <w:pPr>
              <w:pStyle w:val="18"/>
              <w:rPr>
                <w:lang w:val="en-US"/>
              </w:rPr>
            </w:pPr>
            <w:r>
              <w:rPr>
                <w:rFonts w:hint="eastAsia"/>
                <w:lang w:val="en-US"/>
              </w:rPr>
              <w:t>热熔机</w:t>
            </w:r>
          </w:p>
        </w:tc>
        <w:tc>
          <w:tcPr>
            <w:tcW w:w="621" w:type="pct"/>
            <w:shd w:val="clear" w:color="auto" w:fill="auto"/>
            <w:noWrap/>
            <w:vAlign w:val="center"/>
          </w:tcPr>
          <w:p w14:paraId="2EF024BA">
            <w:pPr>
              <w:pStyle w:val="18"/>
              <w:rPr>
                <w:lang w:val="en-US"/>
              </w:rPr>
            </w:pPr>
            <w:r>
              <w:rPr>
                <w:rFonts w:hint="eastAsia"/>
                <w:lang w:val="en-US"/>
              </w:rPr>
              <w:t>/</w:t>
            </w:r>
          </w:p>
        </w:tc>
        <w:tc>
          <w:tcPr>
            <w:tcW w:w="270" w:type="pct"/>
            <w:shd w:val="clear" w:color="auto" w:fill="auto"/>
            <w:noWrap/>
            <w:vAlign w:val="center"/>
          </w:tcPr>
          <w:p w14:paraId="78DAC8D7">
            <w:pPr>
              <w:pStyle w:val="18"/>
              <w:rPr>
                <w:lang w:val="en-US"/>
              </w:rPr>
            </w:pPr>
            <w:r>
              <w:rPr>
                <w:rFonts w:hint="eastAsia"/>
                <w:lang w:val="en-US"/>
              </w:rPr>
              <w:t>25</w:t>
            </w:r>
          </w:p>
        </w:tc>
        <w:tc>
          <w:tcPr>
            <w:tcW w:w="270" w:type="pct"/>
            <w:shd w:val="clear" w:color="auto" w:fill="auto"/>
            <w:noWrap/>
            <w:vAlign w:val="center"/>
          </w:tcPr>
          <w:p w14:paraId="28FCC472">
            <w:pPr>
              <w:pStyle w:val="18"/>
              <w:rPr>
                <w:lang w:val="en-US"/>
              </w:rPr>
            </w:pPr>
            <w:r>
              <w:rPr>
                <w:rFonts w:hint="eastAsia"/>
                <w:lang w:val="en-US"/>
              </w:rPr>
              <w:t>国产</w:t>
            </w:r>
          </w:p>
        </w:tc>
        <w:tc>
          <w:tcPr>
            <w:tcW w:w="270" w:type="pct"/>
            <w:shd w:val="clear" w:color="auto" w:fill="auto"/>
            <w:noWrap/>
            <w:vAlign w:val="center"/>
          </w:tcPr>
          <w:p w14:paraId="57DCC031">
            <w:pPr>
              <w:pStyle w:val="18"/>
              <w:rPr>
                <w:lang w:val="en-US"/>
              </w:rPr>
            </w:pPr>
            <w:r>
              <w:rPr>
                <w:rFonts w:hint="eastAsia"/>
                <w:lang w:val="en-US"/>
              </w:rPr>
              <w:t>2020</w:t>
            </w:r>
          </w:p>
        </w:tc>
        <w:tc>
          <w:tcPr>
            <w:tcW w:w="1100" w:type="pct"/>
            <w:shd w:val="clear" w:color="auto" w:fill="auto"/>
            <w:noWrap/>
            <w:vAlign w:val="center"/>
          </w:tcPr>
          <w:p w14:paraId="10B7EBCB">
            <w:pPr>
              <w:pStyle w:val="18"/>
              <w:rPr>
                <w:lang w:val="en-US"/>
              </w:rPr>
            </w:pPr>
            <w:r>
              <w:rPr>
                <w:rFonts w:hint="eastAsia"/>
                <w:lang w:val="en-US"/>
              </w:rPr>
              <w:t>/</w:t>
            </w:r>
          </w:p>
        </w:tc>
        <w:tc>
          <w:tcPr>
            <w:tcW w:w="270" w:type="pct"/>
            <w:shd w:val="clear" w:color="auto" w:fill="auto"/>
            <w:noWrap/>
            <w:vAlign w:val="center"/>
          </w:tcPr>
          <w:p w14:paraId="4DD0D23D">
            <w:pPr>
              <w:pStyle w:val="18"/>
              <w:rPr>
                <w:lang w:val="en-US"/>
              </w:rPr>
            </w:pPr>
            <w:r>
              <w:rPr>
                <w:rFonts w:hint="eastAsia"/>
                <w:lang w:val="en-US"/>
              </w:rPr>
              <w:t>良好</w:t>
            </w:r>
          </w:p>
        </w:tc>
        <w:tc>
          <w:tcPr>
            <w:tcW w:w="653" w:type="pct"/>
            <w:shd w:val="clear" w:color="auto" w:fill="auto"/>
            <w:noWrap/>
            <w:vAlign w:val="center"/>
          </w:tcPr>
          <w:p w14:paraId="45C77D9C">
            <w:pPr>
              <w:pStyle w:val="18"/>
              <w:rPr>
                <w:lang w:val="en-US"/>
              </w:rPr>
            </w:pPr>
            <w:r>
              <w:rPr>
                <w:rFonts w:hint="eastAsia"/>
                <w:lang w:val="en-US"/>
              </w:rPr>
              <w:t>/</w:t>
            </w:r>
          </w:p>
        </w:tc>
        <w:tc>
          <w:tcPr>
            <w:tcW w:w="749" w:type="pct"/>
            <w:shd w:val="clear" w:color="auto" w:fill="auto"/>
            <w:noWrap/>
            <w:vAlign w:val="center"/>
          </w:tcPr>
          <w:p w14:paraId="4F0DAC1E">
            <w:pPr>
              <w:pStyle w:val="18"/>
            </w:pPr>
          </w:p>
        </w:tc>
      </w:tr>
      <w:tr w14:paraId="09E8A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1034F101">
            <w:pPr>
              <w:pStyle w:val="18"/>
              <w:rPr>
                <w:lang w:val="en-US"/>
              </w:rPr>
            </w:pPr>
            <w:r>
              <w:rPr>
                <w:rFonts w:hint="eastAsia"/>
                <w:lang w:val="en-US"/>
              </w:rPr>
              <w:t>13</w:t>
            </w:r>
          </w:p>
        </w:tc>
        <w:tc>
          <w:tcPr>
            <w:tcW w:w="524" w:type="pct"/>
            <w:shd w:val="clear" w:color="auto" w:fill="auto"/>
            <w:noWrap/>
            <w:vAlign w:val="center"/>
          </w:tcPr>
          <w:p w14:paraId="5348B726">
            <w:pPr>
              <w:pStyle w:val="18"/>
            </w:pPr>
            <w:r>
              <w:rPr>
                <w:rFonts w:hint="eastAsia"/>
              </w:rPr>
              <w:t>砂浆</w:t>
            </w:r>
          </w:p>
          <w:p w14:paraId="4B7C3687">
            <w:pPr>
              <w:pStyle w:val="18"/>
              <w:rPr>
                <w:lang w:val="en-US"/>
              </w:rPr>
            </w:pPr>
            <w:r>
              <w:rPr>
                <w:rFonts w:hint="eastAsia"/>
              </w:rPr>
              <w:t>搅拌机</w:t>
            </w:r>
          </w:p>
        </w:tc>
        <w:tc>
          <w:tcPr>
            <w:tcW w:w="621" w:type="pct"/>
            <w:shd w:val="clear" w:color="auto" w:fill="auto"/>
            <w:noWrap/>
            <w:vAlign w:val="center"/>
          </w:tcPr>
          <w:p w14:paraId="4C3E9E3B">
            <w:pPr>
              <w:pStyle w:val="18"/>
              <w:rPr>
                <w:lang w:val="en-US"/>
              </w:rPr>
            </w:pPr>
            <w:r>
              <w:rPr>
                <w:rFonts w:hint="eastAsia"/>
              </w:rPr>
              <w:t>JS350</w:t>
            </w:r>
          </w:p>
        </w:tc>
        <w:tc>
          <w:tcPr>
            <w:tcW w:w="270" w:type="pct"/>
            <w:shd w:val="clear" w:color="auto" w:fill="auto"/>
            <w:noWrap/>
            <w:vAlign w:val="center"/>
          </w:tcPr>
          <w:p w14:paraId="3641F6CE">
            <w:pPr>
              <w:pStyle w:val="18"/>
              <w:rPr>
                <w:lang w:val="en-US"/>
              </w:rPr>
            </w:pPr>
            <w:r>
              <w:rPr>
                <w:rFonts w:hint="eastAsia"/>
                <w:lang w:val="en-US"/>
              </w:rPr>
              <w:t>4</w:t>
            </w:r>
          </w:p>
        </w:tc>
        <w:tc>
          <w:tcPr>
            <w:tcW w:w="270" w:type="pct"/>
            <w:shd w:val="clear" w:color="auto" w:fill="auto"/>
            <w:noWrap/>
            <w:vAlign w:val="center"/>
          </w:tcPr>
          <w:p w14:paraId="46D00918">
            <w:pPr>
              <w:pStyle w:val="18"/>
              <w:rPr>
                <w:lang w:val="en-US"/>
              </w:rPr>
            </w:pPr>
            <w:r>
              <w:rPr>
                <w:rFonts w:hint="eastAsia"/>
                <w:lang w:val="en-US"/>
              </w:rPr>
              <w:t>国产</w:t>
            </w:r>
          </w:p>
        </w:tc>
        <w:tc>
          <w:tcPr>
            <w:tcW w:w="270" w:type="pct"/>
            <w:shd w:val="clear" w:color="auto" w:fill="auto"/>
            <w:noWrap/>
            <w:vAlign w:val="center"/>
          </w:tcPr>
          <w:p w14:paraId="0D67B7AD">
            <w:pPr>
              <w:pStyle w:val="18"/>
              <w:rPr>
                <w:lang w:val="en-US"/>
              </w:rPr>
            </w:pPr>
            <w:r>
              <w:rPr>
                <w:rFonts w:hint="eastAsia"/>
              </w:rPr>
              <w:t>20</w:t>
            </w:r>
            <w:r>
              <w:rPr>
                <w:rFonts w:hint="eastAsia"/>
                <w:lang w:val="en-US"/>
              </w:rPr>
              <w:t>20</w:t>
            </w:r>
          </w:p>
        </w:tc>
        <w:tc>
          <w:tcPr>
            <w:tcW w:w="1100" w:type="pct"/>
            <w:shd w:val="clear" w:color="auto" w:fill="auto"/>
            <w:noWrap/>
            <w:vAlign w:val="center"/>
          </w:tcPr>
          <w:p w14:paraId="6F6355D0">
            <w:pPr>
              <w:pStyle w:val="18"/>
              <w:rPr>
                <w:lang w:val="en-US"/>
              </w:rPr>
            </w:pPr>
            <w:r>
              <w:rPr>
                <w:rFonts w:hint="eastAsia"/>
              </w:rPr>
              <w:t>2.5KW</w:t>
            </w:r>
          </w:p>
        </w:tc>
        <w:tc>
          <w:tcPr>
            <w:tcW w:w="270" w:type="pct"/>
            <w:shd w:val="clear" w:color="auto" w:fill="auto"/>
            <w:noWrap/>
            <w:vAlign w:val="center"/>
          </w:tcPr>
          <w:p w14:paraId="034E9EF7">
            <w:pPr>
              <w:pStyle w:val="18"/>
              <w:rPr>
                <w:lang w:val="en-US"/>
              </w:rPr>
            </w:pPr>
            <w:r>
              <w:rPr>
                <w:rFonts w:hint="eastAsia"/>
                <w:lang w:val="en-US"/>
              </w:rPr>
              <w:t>良好</w:t>
            </w:r>
          </w:p>
        </w:tc>
        <w:tc>
          <w:tcPr>
            <w:tcW w:w="653" w:type="pct"/>
            <w:shd w:val="clear" w:color="auto" w:fill="auto"/>
            <w:noWrap/>
            <w:vAlign w:val="center"/>
          </w:tcPr>
          <w:p w14:paraId="31D9BF6C">
            <w:pPr>
              <w:pStyle w:val="18"/>
              <w:rPr>
                <w:lang w:val="en-US"/>
              </w:rPr>
            </w:pPr>
            <w:r>
              <w:rPr>
                <w:rFonts w:hint="eastAsia"/>
                <w:lang w:val="en-US"/>
              </w:rPr>
              <w:t>铺设</w:t>
            </w:r>
          </w:p>
          <w:p w14:paraId="62369C86">
            <w:pPr>
              <w:pStyle w:val="18"/>
              <w:rPr>
                <w:lang w:val="en-US"/>
              </w:rPr>
            </w:pPr>
            <w:r>
              <w:rPr>
                <w:rFonts w:hint="eastAsia"/>
                <w:lang w:val="en-US"/>
              </w:rPr>
              <w:t>道路</w:t>
            </w:r>
          </w:p>
        </w:tc>
        <w:tc>
          <w:tcPr>
            <w:tcW w:w="749" w:type="pct"/>
            <w:shd w:val="clear" w:color="auto" w:fill="auto"/>
            <w:noWrap/>
            <w:vAlign w:val="center"/>
          </w:tcPr>
          <w:p w14:paraId="39AE72B4">
            <w:pPr>
              <w:pStyle w:val="18"/>
            </w:pPr>
          </w:p>
        </w:tc>
      </w:tr>
      <w:tr w14:paraId="4C50B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6A27947C">
            <w:pPr>
              <w:pStyle w:val="18"/>
              <w:rPr>
                <w:lang w:val="en-US"/>
              </w:rPr>
            </w:pPr>
            <w:r>
              <w:rPr>
                <w:rFonts w:hint="eastAsia"/>
                <w:lang w:val="en-US"/>
              </w:rPr>
              <w:t>14</w:t>
            </w:r>
          </w:p>
        </w:tc>
        <w:tc>
          <w:tcPr>
            <w:tcW w:w="524" w:type="pct"/>
            <w:shd w:val="clear" w:color="auto" w:fill="auto"/>
            <w:noWrap/>
            <w:vAlign w:val="center"/>
          </w:tcPr>
          <w:p w14:paraId="0864A186">
            <w:pPr>
              <w:pStyle w:val="18"/>
            </w:pPr>
            <w:r>
              <w:rPr>
                <w:rFonts w:hint="eastAsia"/>
              </w:rPr>
              <w:t>插入式</w:t>
            </w:r>
          </w:p>
          <w:p w14:paraId="368D2626">
            <w:pPr>
              <w:pStyle w:val="18"/>
              <w:rPr>
                <w:lang w:val="en-US"/>
              </w:rPr>
            </w:pPr>
            <w:r>
              <w:rPr>
                <w:rFonts w:hint="eastAsia"/>
              </w:rPr>
              <w:t>振动器</w:t>
            </w:r>
          </w:p>
        </w:tc>
        <w:tc>
          <w:tcPr>
            <w:tcW w:w="621" w:type="pct"/>
            <w:shd w:val="clear" w:color="auto" w:fill="auto"/>
            <w:noWrap/>
            <w:vAlign w:val="center"/>
          </w:tcPr>
          <w:p w14:paraId="72BB661B">
            <w:pPr>
              <w:pStyle w:val="18"/>
              <w:rPr>
                <w:lang w:val="en-US"/>
              </w:rPr>
            </w:pPr>
            <w:r>
              <w:rPr>
                <w:rFonts w:hint="eastAsia"/>
              </w:rPr>
              <w:t>三相</w:t>
            </w:r>
          </w:p>
        </w:tc>
        <w:tc>
          <w:tcPr>
            <w:tcW w:w="270" w:type="pct"/>
            <w:shd w:val="clear" w:color="auto" w:fill="auto"/>
            <w:noWrap/>
            <w:vAlign w:val="center"/>
          </w:tcPr>
          <w:p w14:paraId="1AB5E455">
            <w:pPr>
              <w:pStyle w:val="18"/>
              <w:rPr>
                <w:lang w:val="en-US"/>
              </w:rPr>
            </w:pPr>
            <w:r>
              <w:rPr>
                <w:rFonts w:hint="eastAsia"/>
                <w:lang w:val="en-US"/>
              </w:rPr>
              <w:t>8</w:t>
            </w:r>
          </w:p>
        </w:tc>
        <w:tc>
          <w:tcPr>
            <w:tcW w:w="270" w:type="pct"/>
            <w:shd w:val="clear" w:color="auto" w:fill="auto"/>
            <w:noWrap/>
            <w:vAlign w:val="center"/>
          </w:tcPr>
          <w:p w14:paraId="58A660A2">
            <w:pPr>
              <w:pStyle w:val="18"/>
              <w:rPr>
                <w:lang w:val="en-US"/>
              </w:rPr>
            </w:pPr>
            <w:r>
              <w:rPr>
                <w:rFonts w:hint="eastAsia"/>
                <w:lang w:val="en-US"/>
              </w:rPr>
              <w:t>国产</w:t>
            </w:r>
          </w:p>
        </w:tc>
        <w:tc>
          <w:tcPr>
            <w:tcW w:w="270" w:type="pct"/>
            <w:shd w:val="clear" w:color="auto" w:fill="auto"/>
            <w:noWrap/>
            <w:vAlign w:val="center"/>
          </w:tcPr>
          <w:p w14:paraId="6AEB71FE">
            <w:pPr>
              <w:pStyle w:val="18"/>
              <w:rPr>
                <w:lang w:val="en-US"/>
              </w:rPr>
            </w:pPr>
            <w:r>
              <w:rPr>
                <w:rFonts w:hint="eastAsia"/>
                <w:lang w:val="en-US"/>
              </w:rPr>
              <w:t>2019</w:t>
            </w:r>
          </w:p>
        </w:tc>
        <w:tc>
          <w:tcPr>
            <w:tcW w:w="1100" w:type="pct"/>
            <w:shd w:val="clear" w:color="auto" w:fill="auto"/>
            <w:noWrap/>
            <w:vAlign w:val="center"/>
          </w:tcPr>
          <w:p w14:paraId="69AD27D5">
            <w:pPr>
              <w:pStyle w:val="18"/>
              <w:rPr>
                <w:lang w:val="en-US"/>
              </w:rPr>
            </w:pPr>
            <w:r>
              <w:rPr>
                <w:rFonts w:hint="eastAsia"/>
              </w:rPr>
              <w:t>1.5KW</w:t>
            </w:r>
          </w:p>
        </w:tc>
        <w:tc>
          <w:tcPr>
            <w:tcW w:w="270" w:type="pct"/>
            <w:shd w:val="clear" w:color="auto" w:fill="auto"/>
            <w:noWrap/>
            <w:vAlign w:val="center"/>
          </w:tcPr>
          <w:p w14:paraId="11E2B7D7">
            <w:pPr>
              <w:pStyle w:val="18"/>
              <w:rPr>
                <w:lang w:val="en-US"/>
              </w:rPr>
            </w:pPr>
            <w:r>
              <w:rPr>
                <w:rFonts w:hint="eastAsia"/>
                <w:lang w:val="en-US"/>
              </w:rPr>
              <w:t>良好</w:t>
            </w:r>
          </w:p>
        </w:tc>
        <w:tc>
          <w:tcPr>
            <w:tcW w:w="653" w:type="pct"/>
            <w:shd w:val="clear" w:color="auto" w:fill="auto"/>
            <w:noWrap/>
            <w:vAlign w:val="center"/>
          </w:tcPr>
          <w:p w14:paraId="538883D7">
            <w:pPr>
              <w:pStyle w:val="18"/>
              <w:rPr>
                <w:lang w:val="en-US"/>
              </w:rPr>
            </w:pPr>
            <w:r>
              <w:rPr>
                <w:lang w:val="en-US"/>
              </w:rPr>
              <w:t>混凝土</w:t>
            </w:r>
            <w:r>
              <w:rPr>
                <w:rFonts w:hint="eastAsia"/>
                <w:lang w:val="en-US"/>
              </w:rPr>
              <w:t>工程</w:t>
            </w:r>
          </w:p>
        </w:tc>
        <w:tc>
          <w:tcPr>
            <w:tcW w:w="749" w:type="pct"/>
            <w:shd w:val="clear" w:color="auto" w:fill="auto"/>
            <w:noWrap/>
            <w:vAlign w:val="center"/>
          </w:tcPr>
          <w:p w14:paraId="73F35F9F">
            <w:pPr>
              <w:pStyle w:val="18"/>
            </w:pPr>
          </w:p>
        </w:tc>
      </w:tr>
      <w:tr w14:paraId="29A01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04D9A97F">
            <w:pPr>
              <w:pStyle w:val="18"/>
              <w:rPr>
                <w:lang w:val="en-US"/>
              </w:rPr>
            </w:pPr>
            <w:r>
              <w:rPr>
                <w:rFonts w:hint="eastAsia"/>
                <w:lang w:val="en-US"/>
              </w:rPr>
              <w:t>15</w:t>
            </w:r>
          </w:p>
        </w:tc>
        <w:tc>
          <w:tcPr>
            <w:tcW w:w="524" w:type="pct"/>
            <w:shd w:val="clear" w:color="auto" w:fill="auto"/>
            <w:noWrap/>
            <w:vAlign w:val="center"/>
          </w:tcPr>
          <w:p w14:paraId="1567B20F">
            <w:pPr>
              <w:pStyle w:val="18"/>
              <w:rPr>
                <w:lang w:val="en-US"/>
              </w:rPr>
            </w:pPr>
            <w:r>
              <w:rPr>
                <w:rFonts w:hint="eastAsia"/>
              </w:rPr>
              <w:t>电动蛙夯</w:t>
            </w:r>
          </w:p>
        </w:tc>
        <w:tc>
          <w:tcPr>
            <w:tcW w:w="621" w:type="pct"/>
            <w:shd w:val="clear" w:color="auto" w:fill="auto"/>
            <w:noWrap/>
            <w:vAlign w:val="center"/>
          </w:tcPr>
          <w:p w14:paraId="38EA25E5">
            <w:pPr>
              <w:pStyle w:val="18"/>
              <w:rPr>
                <w:lang w:val="en-US"/>
              </w:rPr>
            </w:pPr>
            <w:r>
              <w:rPr>
                <w:rFonts w:hint="eastAsia"/>
              </w:rPr>
              <w:t>三相</w:t>
            </w:r>
          </w:p>
        </w:tc>
        <w:tc>
          <w:tcPr>
            <w:tcW w:w="270" w:type="pct"/>
            <w:shd w:val="clear" w:color="auto" w:fill="auto"/>
            <w:noWrap/>
            <w:vAlign w:val="center"/>
          </w:tcPr>
          <w:p w14:paraId="112DCDA6">
            <w:pPr>
              <w:pStyle w:val="18"/>
              <w:rPr>
                <w:lang w:val="en-US"/>
              </w:rPr>
            </w:pPr>
            <w:r>
              <w:rPr>
                <w:rFonts w:hint="eastAsia"/>
                <w:lang w:val="en-US"/>
              </w:rPr>
              <w:t>8</w:t>
            </w:r>
          </w:p>
        </w:tc>
        <w:tc>
          <w:tcPr>
            <w:tcW w:w="270" w:type="pct"/>
            <w:shd w:val="clear" w:color="auto" w:fill="auto"/>
            <w:noWrap/>
            <w:vAlign w:val="center"/>
          </w:tcPr>
          <w:p w14:paraId="2E8793A9">
            <w:pPr>
              <w:pStyle w:val="18"/>
              <w:rPr>
                <w:lang w:val="en-US"/>
              </w:rPr>
            </w:pPr>
            <w:r>
              <w:rPr>
                <w:rFonts w:hint="eastAsia"/>
                <w:lang w:val="en-US"/>
              </w:rPr>
              <w:t>国产</w:t>
            </w:r>
          </w:p>
        </w:tc>
        <w:tc>
          <w:tcPr>
            <w:tcW w:w="270" w:type="pct"/>
            <w:shd w:val="clear" w:color="auto" w:fill="auto"/>
            <w:noWrap/>
            <w:vAlign w:val="center"/>
          </w:tcPr>
          <w:p w14:paraId="5AE49B0A">
            <w:pPr>
              <w:pStyle w:val="18"/>
              <w:rPr>
                <w:lang w:val="en-US"/>
              </w:rPr>
            </w:pPr>
            <w:r>
              <w:rPr>
                <w:rFonts w:hint="eastAsia"/>
              </w:rPr>
              <w:t>20</w:t>
            </w:r>
            <w:r>
              <w:rPr>
                <w:rFonts w:hint="eastAsia"/>
                <w:lang w:val="en-US"/>
              </w:rPr>
              <w:t>21</w:t>
            </w:r>
          </w:p>
        </w:tc>
        <w:tc>
          <w:tcPr>
            <w:tcW w:w="1100" w:type="pct"/>
            <w:shd w:val="clear" w:color="auto" w:fill="auto"/>
            <w:noWrap/>
            <w:vAlign w:val="center"/>
          </w:tcPr>
          <w:p w14:paraId="3416D7A2">
            <w:pPr>
              <w:pStyle w:val="18"/>
              <w:rPr>
                <w:lang w:val="en-US"/>
              </w:rPr>
            </w:pPr>
            <w:r>
              <w:rPr>
                <w:rFonts w:hint="eastAsia"/>
              </w:rPr>
              <w:t>2.5KW</w:t>
            </w:r>
          </w:p>
        </w:tc>
        <w:tc>
          <w:tcPr>
            <w:tcW w:w="270" w:type="pct"/>
            <w:shd w:val="clear" w:color="auto" w:fill="auto"/>
            <w:noWrap/>
            <w:vAlign w:val="center"/>
          </w:tcPr>
          <w:p w14:paraId="0B644805">
            <w:pPr>
              <w:pStyle w:val="18"/>
              <w:rPr>
                <w:lang w:val="en-US"/>
              </w:rPr>
            </w:pPr>
            <w:r>
              <w:rPr>
                <w:rFonts w:hint="eastAsia"/>
                <w:lang w:val="en-US"/>
              </w:rPr>
              <w:t>良好</w:t>
            </w:r>
          </w:p>
        </w:tc>
        <w:tc>
          <w:tcPr>
            <w:tcW w:w="653" w:type="pct"/>
            <w:shd w:val="clear" w:color="auto" w:fill="auto"/>
            <w:noWrap/>
            <w:vAlign w:val="center"/>
          </w:tcPr>
          <w:p w14:paraId="5C8DCE00">
            <w:pPr>
              <w:pStyle w:val="18"/>
              <w:rPr>
                <w:lang w:val="en-US"/>
              </w:rPr>
            </w:pPr>
            <w:r>
              <w:rPr>
                <w:rFonts w:hint="eastAsia"/>
                <w:lang w:val="en-US"/>
              </w:rPr>
              <w:t>基础</w:t>
            </w:r>
          </w:p>
        </w:tc>
        <w:tc>
          <w:tcPr>
            <w:tcW w:w="749" w:type="pct"/>
            <w:shd w:val="clear" w:color="auto" w:fill="auto"/>
            <w:noWrap/>
            <w:vAlign w:val="center"/>
          </w:tcPr>
          <w:p w14:paraId="10E0204A">
            <w:pPr>
              <w:pStyle w:val="18"/>
            </w:pPr>
          </w:p>
        </w:tc>
      </w:tr>
      <w:tr w14:paraId="0AF5A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4895E821">
            <w:pPr>
              <w:pStyle w:val="18"/>
              <w:rPr>
                <w:lang w:val="en-US"/>
              </w:rPr>
            </w:pPr>
            <w:r>
              <w:rPr>
                <w:rFonts w:hint="eastAsia"/>
                <w:lang w:val="en-US"/>
              </w:rPr>
              <w:t>16</w:t>
            </w:r>
          </w:p>
        </w:tc>
        <w:tc>
          <w:tcPr>
            <w:tcW w:w="524" w:type="pct"/>
            <w:shd w:val="clear" w:color="auto" w:fill="auto"/>
            <w:noWrap/>
            <w:vAlign w:val="center"/>
          </w:tcPr>
          <w:p w14:paraId="783D93A8">
            <w:pPr>
              <w:pStyle w:val="18"/>
            </w:pPr>
            <w:r>
              <w:rPr>
                <w:rFonts w:hint="eastAsia"/>
              </w:rPr>
              <w:t>平板</w:t>
            </w:r>
          </w:p>
          <w:p w14:paraId="2F6030A1">
            <w:pPr>
              <w:pStyle w:val="18"/>
              <w:rPr>
                <w:lang w:val="en-US"/>
              </w:rPr>
            </w:pPr>
            <w:r>
              <w:rPr>
                <w:rFonts w:hint="eastAsia"/>
              </w:rPr>
              <w:t>振动器</w:t>
            </w:r>
          </w:p>
        </w:tc>
        <w:tc>
          <w:tcPr>
            <w:tcW w:w="621" w:type="pct"/>
            <w:shd w:val="clear" w:color="auto" w:fill="auto"/>
            <w:noWrap/>
            <w:vAlign w:val="center"/>
          </w:tcPr>
          <w:p w14:paraId="0F97FFA4">
            <w:pPr>
              <w:pStyle w:val="18"/>
              <w:rPr>
                <w:lang w:val="en-US"/>
              </w:rPr>
            </w:pPr>
            <w:r>
              <w:rPr>
                <w:rFonts w:hint="eastAsia"/>
              </w:rPr>
              <w:t>三相</w:t>
            </w:r>
          </w:p>
        </w:tc>
        <w:tc>
          <w:tcPr>
            <w:tcW w:w="270" w:type="pct"/>
            <w:shd w:val="clear" w:color="auto" w:fill="auto"/>
            <w:noWrap/>
            <w:vAlign w:val="center"/>
          </w:tcPr>
          <w:p w14:paraId="02F3D533">
            <w:pPr>
              <w:pStyle w:val="18"/>
              <w:rPr>
                <w:lang w:val="en-US"/>
              </w:rPr>
            </w:pPr>
            <w:r>
              <w:rPr>
                <w:rFonts w:hint="eastAsia"/>
                <w:lang w:val="en-US"/>
              </w:rPr>
              <w:t>6</w:t>
            </w:r>
          </w:p>
        </w:tc>
        <w:tc>
          <w:tcPr>
            <w:tcW w:w="270" w:type="pct"/>
            <w:shd w:val="clear" w:color="auto" w:fill="auto"/>
            <w:noWrap/>
            <w:vAlign w:val="center"/>
          </w:tcPr>
          <w:p w14:paraId="0465D422">
            <w:pPr>
              <w:pStyle w:val="18"/>
              <w:rPr>
                <w:lang w:val="en-US"/>
              </w:rPr>
            </w:pPr>
            <w:r>
              <w:rPr>
                <w:rFonts w:hint="eastAsia"/>
                <w:lang w:val="en-US"/>
              </w:rPr>
              <w:t>国产</w:t>
            </w:r>
          </w:p>
        </w:tc>
        <w:tc>
          <w:tcPr>
            <w:tcW w:w="270" w:type="pct"/>
            <w:shd w:val="clear" w:color="auto" w:fill="auto"/>
            <w:noWrap/>
            <w:vAlign w:val="center"/>
          </w:tcPr>
          <w:p w14:paraId="17E2D24D">
            <w:pPr>
              <w:pStyle w:val="18"/>
              <w:rPr>
                <w:lang w:val="en-US"/>
              </w:rPr>
            </w:pPr>
            <w:r>
              <w:rPr>
                <w:rFonts w:hint="eastAsia"/>
              </w:rPr>
              <w:t>20</w:t>
            </w:r>
            <w:r>
              <w:rPr>
                <w:rFonts w:hint="eastAsia"/>
                <w:lang w:val="en-US"/>
              </w:rPr>
              <w:t>21</w:t>
            </w:r>
          </w:p>
        </w:tc>
        <w:tc>
          <w:tcPr>
            <w:tcW w:w="1100" w:type="pct"/>
            <w:shd w:val="clear" w:color="auto" w:fill="auto"/>
            <w:noWrap/>
            <w:vAlign w:val="center"/>
          </w:tcPr>
          <w:p w14:paraId="326F2DF5">
            <w:pPr>
              <w:pStyle w:val="18"/>
              <w:rPr>
                <w:lang w:val="en-US"/>
              </w:rPr>
            </w:pPr>
            <w:r>
              <w:rPr>
                <w:rFonts w:hint="eastAsia"/>
              </w:rPr>
              <w:t>2.2KW</w:t>
            </w:r>
          </w:p>
        </w:tc>
        <w:tc>
          <w:tcPr>
            <w:tcW w:w="270" w:type="pct"/>
            <w:shd w:val="clear" w:color="auto" w:fill="auto"/>
            <w:noWrap/>
            <w:vAlign w:val="center"/>
          </w:tcPr>
          <w:p w14:paraId="50782455">
            <w:pPr>
              <w:pStyle w:val="18"/>
              <w:rPr>
                <w:lang w:val="en-US"/>
              </w:rPr>
            </w:pPr>
            <w:r>
              <w:rPr>
                <w:rFonts w:hint="eastAsia"/>
                <w:lang w:val="en-US"/>
              </w:rPr>
              <w:t>良好</w:t>
            </w:r>
          </w:p>
        </w:tc>
        <w:tc>
          <w:tcPr>
            <w:tcW w:w="653" w:type="pct"/>
            <w:shd w:val="clear" w:color="auto" w:fill="auto"/>
            <w:noWrap/>
            <w:vAlign w:val="center"/>
          </w:tcPr>
          <w:p w14:paraId="1C2AF933">
            <w:pPr>
              <w:pStyle w:val="18"/>
              <w:rPr>
                <w:lang w:val="en-US"/>
              </w:rPr>
            </w:pPr>
            <w:r>
              <w:rPr>
                <w:rFonts w:hint="eastAsia"/>
                <w:lang w:val="en-US"/>
              </w:rPr>
              <w:t>基础</w:t>
            </w:r>
          </w:p>
        </w:tc>
        <w:tc>
          <w:tcPr>
            <w:tcW w:w="749" w:type="pct"/>
            <w:shd w:val="clear" w:color="auto" w:fill="auto"/>
            <w:noWrap/>
            <w:vAlign w:val="center"/>
          </w:tcPr>
          <w:p w14:paraId="6ADCA6ED">
            <w:pPr>
              <w:pStyle w:val="18"/>
            </w:pPr>
          </w:p>
        </w:tc>
      </w:tr>
      <w:tr w14:paraId="13F03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7D7FDF1C">
            <w:pPr>
              <w:pStyle w:val="18"/>
              <w:rPr>
                <w:lang w:val="en-US"/>
              </w:rPr>
            </w:pPr>
            <w:r>
              <w:rPr>
                <w:rFonts w:hint="eastAsia"/>
                <w:lang w:val="en-US"/>
              </w:rPr>
              <w:t>17</w:t>
            </w:r>
          </w:p>
        </w:tc>
        <w:tc>
          <w:tcPr>
            <w:tcW w:w="524" w:type="pct"/>
            <w:shd w:val="clear" w:color="auto" w:fill="auto"/>
            <w:noWrap/>
            <w:vAlign w:val="center"/>
          </w:tcPr>
          <w:p w14:paraId="12EB7B84">
            <w:pPr>
              <w:pStyle w:val="18"/>
              <w:rPr>
                <w:lang w:val="en-US"/>
              </w:rPr>
            </w:pPr>
            <w:r>
              <w:rPr>
                <w:rFonts w:hint="eastAsia"/>
              </w:rPr>
              <w:t>水泵</w:t>
            </w:r>
          </w:p>
        </w:tc>
        <w:tc>
          <w:tcPr>
            <w:tcW w:w="621" w:type="pct"/>
            <w:shd w:val="clear" w:color="auto" w:fill="auto"/>
            <w:noWrap/>
            <w:vAlign w:val="center"/>
          </w:tcPr>
          <w:p w14:paraId="48A64386">
            <w:pPr>
              <w:pStyle w:val="18"/>
              <w:rPr>
                <w:lang w:val="en-US"/>
              </w:rPr>
            </w:pPr>
            <w:r>
              <w:rPr>
                <w:rFonts w:hint="eastAsia"/>
              </w:rPr>
              <w:t>三相</w:t>
            </w:r>
          </w:p>
        </w:tc>
        <w:tc>
          <w:tcPr>
            <w:tcW w:w="270" w:type="pct"/>
            <w:shd w:val="clear" w:color="auto" w:fill="auto"/>
            <w:noWrap/>
            <w:vAlign w:val="center"/>
          </w:tcPr>
          <w:p w14:paraId="7B29861E">
            <w:pPr>
              <w:pStyle w:val="18"/>
              <w:rPr>
                <w:lang w:val="en-US"/>
              </w:rPr>
            </w:pPr>
            <w:r>
              <w:rPr>
                <w:rFonts w:hint="eastAsia"/>
                <w:lang w:val="en-US"/>
              </w:rPr>
              <w:t>6</w:t>
            </w:r>
          </w:p>
        </w:tc>
        <w:tc>
          <w:tcPr>
            <w:tcW w:w="270" w:type="pct"/>
            <w:shd w:val="clear" w:color="auto" w:fill="auto"/>
            <w:noWrap/>
            <w:vAlign w:val="center"/>
          </w:tcPr>
          <w:p w14:paraId="3778CFA0">
            <w:pPr>
              <w:pStyle w:val="18"/>
              <w:rPr>
                <w:lang w:val="en-US"/>
              </w:rPr>
            </w:pPr>
            <w:r>
              <w:rPr>
                <w:rFonts w:hint="eastAsia"/>
                <w:lang w:val="en-US"/>
              </w:rPr>
              <w:t>国产</w:t>
            </w:r>
          </w:p>
        </w:tc>
        <w:tc>
          <w:tcPr>
            <w:tcW w:w="270" w:type="pct"/>
            <w:shd w:val="clear" w:color="auto" w:fill="auto"/>
            <w:noWrap/>
            <w:vAlign w:val="center"/>
          </w:tcPr>
          <w:p w14:paraId="11B0372B">
            <w:pPr>
              <w:pStyle w:val="18"/>
              <w:rPr>
                <w:lang w:val="en-US"/>
              </w:rPr>
            </w:pPr>
            <w:r>
              <w:rPr>
                <w:rFonts w:hint="eastAsia"/>
                <w:lang w:val="en-US"/>
              </w:rPr>
              <w:t>2019</w:t>
            </w:r>
          </w:p>
        </w:tc>
        <w:tc>
          <w:tcPr>
            <w:tcW w:w="1100" w:type="pct"/>
            <w:shd w:val="clear" w:color="auto" w:fill="auto"/>
            <w:noWrap/>
            <w:vAlign w:val="center"/>
          </w:tcPr>
          <w:p w14:paraId="24778AB1">
            <w:pPr>
              <w:pStyle w:val="18"/>
              <w:rPr>
                <w:lang w:val="en-US"/>
              </w:rPr>
            </w:pPr>
            <w:r>
              <w:rPr>
                <w:rFonts w:hint="eastAsia"/>
                <w:lang w:val="en-US"/>
              </w:rPr>
              <w:t>200mm/150mm/100mm</w:t>
            </w:r>
          </w:p>
        </w:tc>
        <w:tc>
          <w:tcPr>
            <w:tcW w:w="270" w:type="pct"/>
            <w:shd w:val="clear" w:color="auto" w:fill="auto"/>
            <w:noWrap/>
            <w:vAlign w:val="center"/>
          </w:tcPr>
          <w:p w14:paraId="2E29100D">
            <w:pPr>
              <w:pStyle w:val="18"/>
              <w:rPr>
                <w:lang w:val="en-US"/>
              </w:rPr>
            </w:pPr>
            <w:r>
              <w:rPr>
                <w:rFonts w:hint="eastAsia"/>
                <w:lang w:val="en-US"/>
              </w:rPr>
              <w:t>良好</w:t>
            </w:r>
          </w:p>
        </w:tc>
        <w:tc>
          <w:tcPr>
            <w:tcW w:w="653" w:type="pct"/>
            <w:shd w:val="clear" w:color="auto" w:fill="auto"/>
            <w:noWrap/>
            <w:vAlign w:val="center"/>
          </w:tcPr>
          <w:p w14:paraId="4163C93C">
            <w:pPr>
              <w:pStyle w:val="18"/>
              <w:rPr>
                <w:lang w:val="en-US"/>
              </w:rPr>
            </w:pPr>
            <w:r>
              <w:rPr>
                <w:rFonts w:hint="eastAsia"/>
                <w:lang w:val="en-US"/>
              </w:rPr>
              <w:t>基坑降排水</w:t>
            </w:r>
          </w:p>
        </w:tc>
        <w:tc>
          <w:tcPr>
            <w:tcW w:w="749" w:type="pct"/>
            <w:shd w:val="clear" w:color="auto" w:fill="auto"/>
            <w:noWrap/>
            <w:vAlign w:val="center"/>
          </w:tcPr>
          <w:p w14:paraId="6122775B">
            <w:pPr>
              <w:pStyle w:val="18"/>
            </w:pPr>
          </w:p>
        </w:tc>
      </w:tr>
      <w:tr w14:paraId="34419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33FD1F3F">
            <w:pPr>
              <w:pStyle w:val="18"/>
              <w:rPr>
                <w:lang w:val="en-US"/>
              </w:rPr>
            </w:pPr>
            <w:r>
              <w:rPr>
                <w:rFonts w:hint="eastAsia"/>
                <w:lang w:val="en-US"/>
              </w:rPr>
              <w:t>18</w:t>
            </w:r>
          </w:p>
        </w:tc>
        <w:tc>
          <w:tcPr>
            <w:tcW w:w="524" w:type="pct"/>
            <w:shd w:val="clear" w:color="auto" w:fill="auto"/>
            <w:noWrap/>
            <w:vAlign w:val="center"/>
          </w:tcPr>
          <w:p w14:paraId="4C7F5F53">
            <w:pPr>
              <w:pStyle w:val="18"/>
            </w:pPr>
            <w:r>
              <w:rPr>
                <w:rFonts w:hint="eastAsia"/>
              </w:rPr>
              <w:t>钢筋</w:t>
            </w:r>
          </w:p>
          <w:p w14:paraId="28F070CA">
            <w:pPr>
              <w:pStyle w:val="18"/>
              <w:rPr>
                <w:lang w:val="en-US"/>
              </w:rPr>
            </w:pPr>
            <w:r>
              <w:rPr>
                <w:rFonts w:hint="eastAsia"/>
              </w:rPr>
              <w:t>切断机</w:t>
            </w:r>
          </w:p>
        </w:tc>
        <w:tc>
          <w:tcPr>
            <w:tcW w:w="621" w:type="pct"/>
            <w:shd w:val="clear" w:color="auto" w:fill="auto"/>
            <w:noWrap/>
            <w:vAlign w:val="center"/>
          </w:tcPr>
          <w:p w14:paraId="2B757074">
            <w:pPr>
              <w:pStyle w:val="18"/>
              <w:rPr>
                <w:lang w:val="en-US"/>
              </w:rPr>
            </w:pPr>
            <w:r>
              <w:rPr>
                <w:rFonts w:hint="eastAsia"/>
              </w:rPr>
              <w:t>QJ46-1</w:t>
            </w:r>
          </w:p>
        </w:tc>
        <w:tc>
          <w:tcPr>
            <w:tcW w:w="270" w:type="pct"/>
            <w:shd w:val="clear" w:color="auto" w:fill="auto"/>
            <w:noWrap/>
            <w:vAlign w:val="center"/>
          </w:tcPr>
          <w:p w14:paraId="306E32F2">
            <w:pPr>
              <w:pStyle w:val="18"/>
              <w:rPr>
                <w:lang w:val="en-US"/>
              </w:rPr>
            </w:pPr>
            <w:r>
              <w:rPr>
                <w:rFonts w:hint="eastAsia"/>
                <w:lang w:val="en-US"/>
              </w:rPr>
              <w:t>3</w:t>
            </w:r>
          </w:p>
        </w:tc>
        <w:tc>
          <w:tcPr>
            <w:tcW w:w="270" w:type="pct"/>
            <w:shd w:val="clear" w:color="auto" w:fill="auto"/>
            <w:noWrap/>
            <w:vAlign w:val="center"/>
          </w:tcPr>
          <w:p w14:paraId="0006B866">
            <w:pPr>
              <w:pStyle w:val="18"/>
              <w:rPr>
                <w:lang w:val="en-US"/>
              </w:rPr>
            </w:pPr>
            <w:r>
              <w:rPr>
                <w:rFonts w:hint="eastAsia"/>
                <w:lang w:val="en-US"/>
              </w:rPr>
              <w:t>国产</w:t>
            </w:r>
          </w:p>
        </w:tc>
        <w:tc>
          <w:tcPr>
            <w:tcW w:w="270" w:type="pct"/>
            <w:shd w:val="clear" w:color="auto" w:fill="auto"/>
            <w:noWrap/>
            <w:vAlign w:val="center"/>
          </w:tcPr>
          <w:p w14:paraId="0254F059">
            <w:pPr>
              <w:pStyle w:val="18"/>
              <w:rPr>
                <w:lang w:val="en-US"/>
              </w:rPr>
            </w:pPr>
            <w:r>
              <w:rPr>
                <w:rFonts w:hint="eastAsia"/>
                <w:lang w:val="en-US"/>
              </w:rPr>
              <w:t>2019</w:t>
            </w:r>
          </w:p>
        </w:tc>
        <w:tc>
          <w:tcPr>
            <w:tcW w:w="1100" w:type="pct"/>
            <w:shd w:val="clear" w:color="auto" w:fill="auto"/>
            <w:noWrap/>
            <w:vAlign w:val="center"/>
          </w:tcPr>
          <w:p w14:paraId="72B9C13D">
            <w:pPr>
              <w:pStyle w:val="18"/>
              <w:rPr>
                <w:lang w:val="en-US"/>
              </w:rPr>
            </w:pPr>
            <w:r>
              <w:rPr>
                <w:rFonts w:hint="eastAsia"/>
              </w:rPr>
              <w:t>5.5KW</w:t>
            </w:r>
          </w:p>
        </w:tc>
        <w:tc>
          <w:tcPr>
            <w:tcW w:w="270" w:type="pct"/>
            <w:shd w:val="clear" w:color="auto" w:fill="auto"/>
            <w:noWrap/>
            <w:vAlign w:val="center"/>
          </w:tcPr>
          <w:p w14:paraId="13D6AC27">
            <w:pPr>
              <w:pStyle w:val="18"/>
              <w:rPr>
                <w:lang w:val="en-US"/>
              </w:rPr>
            </w:pPr>
            <w:r>
              <w:rPr>
                <w:rFonts w:hint="eastAsia"/>
                <w:lang w:val="en-US"/>
              </w:rPr>
              <w:t>良好</w:t>
            </w:r>
          </w:p>
        </w:tc>
        <w:tc>
          <w:tcPr>
            <w:tcW w:w="653" w:type="pct"/>
            <w:shd w:val="clear" w:color="auto" w:fill="auto"/>
            <w:noWrap/>
            <w:vAlign w:val="center"/>
          </w:tcPr>
          <w:p w14:paraId="6D149BBD">
            <w:pPr>
              <w:pStyle w:val="18"/>
              <w:rPr>
                <w:lang w:val="en-US"/>
              </w:rPr>
            </w:pPr>
            <w:r>
              <w:rPr>
                <w:rFonts w:hint="eastAsia"/>
                <w:lang w:val="en-US"/>
              </w:rPr>
              <w:t>钢筋</w:t>
            </w:r>
          </w:p>
          <w:p w14:paraId="6532EA7F">
            <w:pPr>
              <w:pStyle w:val="18"/>
              <w:rPr>
                <w:lang w:val="en-US"/>
              </w:rPr>
            </w:pPr>
            <w:r>
              <w:rPr>
                <w:rFonts w:hint="eastAsia"/>
                <w:lang w:val="en-US"/>
              </w:rPr>
              <w:t>加工</w:t>
            </w:r>
          </w:p>
        </w:tc>
        <w:tc>
          <w:tcPr>
            <w:tcW w:w="749" w:type="pct"/>
            <w:shd w:val="clear" w:color="auto" w:fill="auto"/>
            <w:noWrap/>
            <w:vAlign w:val="center"/>
          </w:tcPr>
          <w:p w14:paraId="55F5D91F">
            <w:pPr>
              <w:pStyle w:val="18"/>
            </w:pPr>
          </w:p>
        </w:tc>
      </w:tr>
      <w:tr w14:paraId="76EEA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80" w:hRule="atLeast"/>
          <w:jc w:val="center"/>
        </w:trPr>
        <w:tc>
          <w:tcPr>
            <w:tcW w:w="269" w:type="pct"/>
            <w:shd w:val="clear" w:color="auto" w:fill="auto"/>
            <w:noWrap/>
            <w:vAlign w:val="center"/>
          </w:tcPr>
          <w:p w14:paraId="31E03F48">
            <w:pPr>
              <w:pStyle w:val="18"/>
              <w:rPr>
                <w:lang w:val="en-US"/>
              </w:rPr>
            </w:pPr>
            <w:r>
              <w:rPr>
                <w:rFonts w:hint="eastAsia"/>
                <w:lang w:val="en-US"/>
              </w:rPr>
              <w:t>19</w:t>
            </w:r>
          </w:p>
        </w:tc>
        <w:tc>
          <w:tcPr>
            <w:tcW w:w="524" w:type="pct"/>
            <w:shd w:val="clear" w:color="auto" w:fill="auto"/>
            <w:noWrap/>
            <w:vAlign w:val="center"/>
          </w:tcPr>
          <w:p w14:paraId="54F64DAD">
            <w:pPr>
              <w:pStyle w:val="18"/>
            </w:pPr>
            <w:r>
              <w:rPr>
                <w:rFonts w:hint="eastAsia"/>
              </w:rPr>
              <w:t>钢筋</w:t>
            </w:r>
          </w:p>
          <w:p w14:paraId="062A0FEE">
            <w:pPr>
              <w:pStyle w:val="18"/>
              <w:rPr>
                <w:lang w:val="en-US"/>
              </w:rPr>
            </w:pPr>
            <w:r>
              <w:rPr>
                <w:rFonts w:hint="eastAsia"/>
              </w:rPr>
              <w:t>调直机</w:t>
            </w:r>
          </w:p>
        </w:tc>
        <w:tc>
          <w:tcPr>
            <w:tcW w:w="621" w:type="pct"/>
            <w:shd w:val="clear" w:color="auto" w:fill="auto"/>
            <w:noWrap/>
            <w:vAlign w:val="center"/>
          </w:tcPr>
          <w:p w14:paraId="71A83206">
            <w:pPr>
              <w:pStyle w:val="18"/>
              <w:rPr>
                <w:lang w:val="en-US"/>
              </w:rPr>
            </w:pPr>
            <w:r>
              <w:rPr>
                <w:rFonts w:hint="eastAsia"/>
              </w:rPr>
              <w:t>GT50</w:t>
            </w:r>
          </w:p>
        </w:tc>
        <w:tc>
          <w:tcPr>
            <w:tcW w:w="270" w:type="pct"/>
            <w:shd w:val="clear" w:color="auto" w:fill="auto"/>
            <w:noWrap/>
            <w:vAlign w:val="center"/>
          </w:tcPr>
          <w:p w14:paraId="01B3EEC0">
            <w:pPr>
              <w:pStyle w:val="18"/>
              <w:rPr>
                <w:lang w:val="en-US"/>
              </w:rPr>
            </w:pPr>
            <w:r>
              <w:rPr>
                <w:rFonts w:hint="eastAsia"/>
                <w:lang w:val="en-US"/>
              </w:rPr>
              <w:t>3</w:t>
            </w:r>
          </w:p>
        </w:tc>
        <w:tc>
          <w:tcPr>
            <w:tcW w:w="270" w:type="pct"/>
            <w:shd w:val="clear" w:color="auto" w:fill="auto"/>
            <w:noWrap/>
            <w:vAlign w:val="center"/>
          </w:tcPr>
          <w:p w14:paraId="41E35441">
            <w:pPr>
              <w:pStyle w:val="18"/>
              <w:rPr>
                <w:lang w:val="en-US"/>
              </w:rPr>
            </w:pPr>
            <w:r>
              <w:rPr>
                <w:rFonts w:hint="eastAsia"/>
                <w:lang w:val="en-US"/>
              </w:rPr>
              <w:t>国产</w:t>
            </w:r>
          </w:p>
        </w:tc>
        <w:tc>
          <w:tcPr>
            <w:tcW w:w="270" w:type="pct"/>
            <w:shd w:val="clear" w:color="auto" w:fill="auto"/>
            <w:noWrap/>
            <w:vAlign w:val="center"/>
          </w:tcPr>
          <w:p w14:paraId="464C345B">
            <w:pPr>
              <w:pStyle w:val="18"/>
              <w:rPr>
                <w:lang w:val="en-US"/>
              </w:rPr>
            </w:pPr>
            <w:r>
              <w:rPr>
                <w:rFonts w:hint="eastAsia"/>
              </w:rPr>
              <w:t>20</w:t>
            </w:r>
            <w:r>
              <w:rPr>
                <w:rFonts w:hint="eastAsia"/>
                <w:lang w:val="en-US"/>
              </w:rPr>
              <w:t>20</w:t>
            </w:r>
          </w:p>
        </w:tc>
        <w:tc>
          <w:tcPr>
            <w:tcW w:w="1100" w:type="pct"/>
            <w:shd w:val="clear" w:color="auto" w:fill="auto"/>
            <w:noWrap/>
            <w:vAlign w:val="center"/>
          </w:tcPr>
          <w:p w14:paraId="767A0308">
            <w:pPr>
              <w:pStyle w:val="18"/>
              <w:rPr>
                <w:lang w:val="en-US"/>
              </w:rPr>
            </w:pPr>
            <w:r>
              <w:rPr>
                <w:rFonts w:hint="eastAsia"/>
              </w:rPr>
              <w:t>2.8KW</w:t>
            </w:r>
          </w:p>
        </w:tc>
        <w:tc>
          <w:tcPr>
            <w:tcW w:w="270" w:type="pct"/>
            <w:shd w:val="clear" w:color="auto" w:fill="auto"/>
            <w:noWrap/>
            <w:vAlign w:val="center"/>
          </w:tcPr>
          <w:p w14:paraId="60873EA2">
            <w:pPr>
              <w:pStyle w:val="18"/>
              <w:rPr>
                <w:lang w:val="en-US"/>
              </w:rPr>
            </w:pPr>
            <w:r>
              <w:rPr>
                <w:rFonts w:hint="eastAsia"/>
                <w:lang w:val="en-US"/>
              </w:rPr>
              <w:t>良好</w:t>
            </w:r>
          </w:p>
        </w:tc>
        <w:tc>
          <w:tcPr>
            <w:tcW w:w="653" w:type="pct"/>
            <w:shd w:val="clear" w:color="auto" w:fill="auto"/>
            <w:noWrap/>
            <w:vAlign w:val="center"/>
          </w:tcPr>
          <w:p w14:paraId="517A4DDD">
            <w:pPr>
              <w:pStyle w:val="18"/>
              <w:rPr>
                <w:lang w:val="en-US"/>
              </w:rPr>
            </w:pPr>
            <w:r>
              <w:rPr>
                <w:rFonts w:hint="eastAsia"/>
                <w:lang w:val="en-US"/>
              </w:rPr>
              <w:t>钢筋</w:t>
            </w:r>
          </w:p>
          <w:p w14:paraId="43F9010C">
            <w:pPr>
              <w:pStyle w:val="18"/>
              <w:rPr>
                <w:lang w:val="en-US"/>
              </w:rPr>
            </w:pPr>
            <w:r>
              <w:rPr>
                <w:rFonts w:hint="eastAsia"/>
                <w:lang w:val="en-US"/>
              </w:rPr>
              <w:t>加工</w:t>
            </w:r>
          </w:p>
        </w:tc>
        <w:tc>
          <w:tcPr>
            <w:tcW w:w="749" w:type="pct"/>
            <w:shd w:val="clear" w:color="auto" w:fill="auto"/>
            <w:noWrap/>
            <w:vAlign w:val="center"/>
          </w:tcPr>
          <w:p w14:paraId="6E020683">
            <w:pPr>
              <w:pStyle w:val="18"/>
            </w:pPr>
          </w:p>
        </w:tc>
      </w:tr>
      <w:tr w14:paraId="0EDD0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4BBCFD11">
            <w:pPr>
              <w:pStyle w:val="18"/>
              <w:rPr>
                <w:lang w:val="en-US"/>
              </w:rPr>
            </w:pPr>
            <w:r>
              <w:rPr>
                <w:rFonts w:hint="eastAsia"/>
                <w:lang w:val="en-US"/>
              </w:rPr>
              <w:t>20</w:t>
            </w:r>
          </w:p>
        </w:tc>
        <w:tc>
          <w:tcPr>
            <w:tcW w:w="524" w:type="pct"/>
            <w:shd w:val="clear" w:color="auto" w:fill="auto"/>
            <w:noWrap/>
            <w:vAlign w:val="center"/>
          </w:tcPr>
          <w:p w14:paraId="62AEFD49">
            <w:pPr>
              <w:pStyle w:val="18"/>
            </w:pPr>
            <w:r>
              <w:rPr>
                <w:rFonts w:hint="eastAsia"/>
              </w:rPr>
              <w:t>钢筋</w:t>
            </w:r>
          </w:p>
          <w:p w14:paraId="30496DEB">
            <w:pPr>
              <w:pStyle w:val="18"/>
              <w:rPr>
                <w:lang w:val="en-US"/>
              </w:rPr>
            </w:pPr>
            <w:r>
              <w:rPr>
                <w:rFonts w:hint="eastAsia"/>
              </w:rPr>
              <w:t>弯曲机</w:t>
            </w:r>
          </w:p>
        </w:tc>
        <w:tc>
          <w:tcPr>
            <w:tcW w:w="621" w:type="pct"/>
            <w:shd w:val="clear" w:color="auto" w:fill="auto"/>
            <w:noWrap/>
            <w:vAlign w:val="center"/>
          </w:tcPr>
          <w:p w14:paraId="1DF10EE9">
            <w:pPr>
              <w:pStyle w:val="18"/>
              <w:rPr>
                <w:lang w:val="en-US"/>
              </w:rPr>
            </w:pPr>
            <w:r>
              <w:rPr>
                <w:rFonts w:hint="eastAsia"/>
              </w:rPr>
              <w:t>WJ40-1</w:t>
            </w:r>
          </w:p>
        </w:tc>
        <w:tc>
          <w:tcPr>
            <w:tcW w:w="270" w:type="pct"/>
            <w:shd w:val="clear" w:color="auto" w:fill="auto"/>
            <w:noWrap/>
            <w:vAlign w:val="center"/>
          </w:tcPr>
          <w:p w14:paraId="5CC9312E">
            <w:pPr>
              <w:pStyle w:val="18"/>
              <w:rPr>
                <w:lang w:val="en-US"/>
              </w:rPr>
            </w:pPr>
            <w:r>
              <w:rPr>
                <w:rFonts w:hint="eastAsia"/>
                <w:lang w:val="en-US"/>
              </w:rPr>
              <w:t>3</w:t>
            </w:r>
          </w:p>
        </w:tc>
        <w:tc>
          <w:tcPr>
            <w:tcW w:w="270" w:type="pct"/>
            <w:shd w:val="clear" w:color="auto" w:fill="auto"/>
            <w:noWrap/>
            <w:vAlign w:val="center"/>
          </w:tcPr>
          <w:p w14:paraId="61221D5C">
            <w:pPr>
              <w:pStyle w:val="18"/>
              <w:rPr>
                <w:lang w:val="en-US"/>
              </w:rPr>
            </w:pPr>
            <w:r>
              <w:rPr>
                <w:rFonts w:hint="eastAsia"/>
                <w:lang w:val="en-US"/>
              </w:rPr>
              <w:t>国产</w:t>
            </w:r>
          </w:p>
        </w:tc>
        <w:tc>
          <w:tcPr>
            <w:tcW w:w="270" w:type="pct"/>
            <w:shd w:val="clear" w:color="auto" w:fill="auto"/>
            <w:noWrap/>
            <w:vAlign w:val="center"/>
          </w:tcPr>
          <w:p w14:paraId="0A995800">
            <w:pPr>
              <w:pStyle w:val="18"/>
              <w:rPr>
                <w:lang w:val="en-US"/>
              </w:rPr>
            </w:pPr>
            <w:r>
              <w:rPr>
                <w:rFonts w:hint="eastAsia"/>
              </w:rPr>
              <w:t>20</w:t>
            </w:r>
            <w:r>
              <w:rPr>
                <w:rFonts w:hint="eastAsia"/>
                <w:lang w:val="en-US"/>
              </w:rPr>
              <w:t>20</w:t>
            </w:r>
          </w:p>
        </w:tc>
        <w:tc>
          <w:tcPr>
            <w:tcW w:w="1100" w:type="pct"/>
            <w:shd w:val="clear" w:color="auto" w:fill="auto"/>
            <w:noWrap/>
            <w:vAlign w:val="center"/>
          </w:tcPr>
          <w:p w14:paraId="7B2B3776">
            <w:pPr>
              <w:pStyle w:val="18"/>
              <w:rPr>
                <w:lang w:val="en-US"/>
              </w:rPr>
            </w:pPr>
            <w:r>
              <w:rPr>
                <w:rFonts w:hint="eastAsia"/>
              </w:rPr>
              <w:t>2.8KW</w:t>
            </w:r>
          </w:p>
        </w:tc>
        <w:tc>
          <w:tcPr>
            <w:tcW w:w="270" w:type="pct"/>
            <w:shd w:val="clear" w:color="auto" w:fill="auto"/>
            <w:noWrap/>
            <w:vAlign w:val="center"/>
          </w:tcPr>
          <w:p w14:paraId="23620150">
            <w:pPr>
              <w:pStyle w:val="18"/>
              <w:rPr>
                <w:lang w:val="en-US"/>
              </w:rPr>
            </w:pPr>
            <w:r>
              <w:rPr>
                <w:rFonts w:hint="eastAsia"/>
                <w:lang w:val="en-US"/>
              </w:rPr>
              <w:t>良好</w:t>
            </w:r>
          </w:p>
        </w:tc>
        <w:tc>
          <w:tcPr>
            <w:tcW w:w="653" w:type="pct"/>
            <w:shd w:val="clear" w:color="auto" w:fill="auto"/>
            <w:noWrap/>
            <w:vAlign w:val="center"/>
          </w:tcPr>
          <w:p w14:paraId="5D49B3EF">
            <w:pPr>
              <w:pStyle w:val="18"/>
              <w:rPr>
                <w:lang w:val="en-US"/>
              </w:rPr>
            </w:pPr>
            <w:r>
              <w:rPr>
                <w:rFonts w:hint="eastAsia"/>
                <w:lang w:val="en-US"/>
              </w:rPr>
              <w:t>钢筋</w:t>
            </w:r>
          </w:p>
          <w:p w14:paraId="1DE1D848">
            <w:pPr>
              <w:pStyle w:val="18"/>
              <w:rPr>
                <w:lang w:val="en-US"/>
              </w:rPr>
            </w:pPr>
            <w:r>
              <w:rPr>
                <w:rFonts w:hint="eastAsia"/>
                <w:lang w:val="en-US"/>
              </w:rPr>
              <w:t>加工</w:t>
            </w:r>
          </w:p>
        </w:tc>
        <w:tc>
          <w:tcPr>
            <w:tcW w:w="749" w:type="pct"/>
            <w:shd w:val="clear" w:color="auto" w:fill="auto"/>
            <w:noWrap/>
            <w:vAlign w:val="center"/>
          </w:tcPr>
          <w:p w14:paraId="54CD3AFB">
            <w:pPr>
              <w:pStyle w:val="18"/>
            </w:pPr>
          </w:p>
        </w:tc>
      </w:tr>
      <w:tr w14:paraId="2EBDD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61F8231A">
            <w:pPr>
              <w:pStyle w:val="18"/>
              <w:rPr>
                <w:lang w:val="en-US"/>
              </w:rPr>
            </w:pPr>
            <w:r>
              <w:rPr>
                <w:rFonts w:hint="eastAsia"/>
                <w:lang w:val="en-US"/>
              </w:rPr>
              <w:t>21</w:t>
            </w:r>
          </w:p>
        </w:tc>
        <w:tc>
          <w:tcPr>
            <w:tcW w:w="524" w:type="pct"/>
            <w:shd w:val="clear" w:color="auto" w:fill="auto"/>
            <w:noWrap/>
            <w:vAlign w:val="center"/>
          </w:tcPr>
          <w:p w14:paraId="4B0C09A8">
            <w:pPr>
              <w:pStyle w:val="18"/>
              <w:rPr>
                <w:lang w:val="en-US"/>
              </w:rPr>
            </w:pPr>
            <w:r>
              <w:rPr>
                <w:rFonts w:hint="eastAsia"/>
                <w:lang w:val="en-US"/>
              </w:rPr>
              <w:t>电锯</w:t>
            </w:r>
          </w:p>
        </w:tc>
        <w:tc>
          <w:tcPr>
            <w:tcW w:w="621" w:type="pct"/>
            <w:shd w:val="clear" w:color="auto" w:fill="auto"/>
            <w:noWrap/>
            <w:vAlign w:val="center"/>
          </w:tcPr>
          <w:p w14:paraId="0BCA7096">
            <w:pPr>
              <w:pStyle w:val="18"/>
            </w:pPr>
            <w:r>
              <w:rPr>
                <w:rFonts w:hint="eastAsia"/>
              </w:rPr>
              <w:t>BW-255</w:t>
            </w:r>
          </w:p>
        </w:tc>
        <w:tc>
          <w:tcPr>
            <w:tcW w:w="270" w:type="pct"/>
            <w:shd w:val="clear" w:color="auto" w:fill="auto"/>
            <w:noWrap/>
            <w:vAlign w:val="center"/>
          </w:tcPr>
          <w:p w14:paraId="30D5216D">
            <w:pPr>
              <w:pStyle w:val="18"/>
              <w:rPr>
                <w:lang w:val="en-US"/>
              </w:rPr>
            </w:pPr>
            <w:r>
              <w:rPr>
                <w:rFonts w:hint="eastAsia"/>
                <w:lang w:val="en-US"/>
              </w:rPr>
              <w:t>4</w:t>
            </w:r>
          </w:p>
        </w:tc>
        <w:tc>
          <w:tcPr>
            <w:tcW w:w="270" w:type="pct"/>
            <w:shd w:val="clear" w:color="auto" w:fill="auto"/>
            <w:noWrap/>
            <w:vAlign w:val="center"/>
          </w:tcPr>
          <w:p w14:paraId="0C517C80">
            <w:pPr>
              <w:pStyle w:val="18"/>
              <w:rPr>
                <w:lang w:val="en-US"/>
              </w:rPr>
            </w:pPr>
            <w:r>
              <w:rPr>
                <w:rFonts w:hint="eastAsia"/>
                <w:lang w:val="en-US"/>
              </w:rPr>
              <w:t>国产</w:t>
            </w:r>
          </w:p>
        </w:tc>
        <w:tc>
          <w:tcPr>
            <w:tcW w:w="270" w:type="pct"/>
            <w:shd w:val="clear" w:color="auto" w:fill="auto"/>
            <w:noWrap/>
            <w:vAlign w:val="center"/>
          </w:tcPr>
          <w:p w14:paraId="48BDAA16">
            <w:pPr>
              <w:pStyle w:val="18"/>
              <w:rPr>
                <w:lang w:val="en-US"/>
              </w:rPr>
            </w:pPr>
            <w:r>
              <w:rPr>
                <w:rFonts w:hint="eastAsia"/>
                <w:lang w:val="en-US"/>
              </w:rPr>
              <w:t>2021</w:t>
            </w:r>
          </w:p>
        </w:tc>
        <w:tc>
          <w:tcPr>
            <w:tcW w:w="1100" w:type="pct"/>
            <w:shd w:val="clear" w:color="auto" w:fill="auto"/>
            <w:noWrap/>
            <w:vAlign w:val="center"/>
          </w:tcPr>
          <w:p w14:paraId="243324C9">
            <w:pPr>
              <w:pStyle w:val="18"/>
              <w:rPr>
                <w:lang w:val="en-US"/>
              </w:rPr>
            </w:pPr>
            <w:r>
              <w:rPr>
                <w:rFonts w:hint="eastAsia"/>
                <w:lang w:val="en-US"/>
              </w:rPr>
              <w:t>144kw</w:t>
            </w:r>
          </w:p>
        </w:tc>
        <w:tc>
          <w:tcPr>
            <w:tcW w:w="270" w:type="pct"/>
            <w:shd w:val="clear" w:color="auto" w:fill="auto"/>
            <w:noWrap/>
            <w:vAlign w:val="center"/>
          </w:tcPr>
          <w:p w14:paraId="3D9F8879">
            <w:pPr>
              <w:pStyle w:val="18"/>
              <w:rPr>
                <w:lang w:val="en-US"/>
              </w:rPr>
            </w:pPr>
            <w:r>
              <w:rPr>
                <w:rFonts w:hint="eastAsia"/>
                <w:lang w:val="en-US"/>
              </w:rPr>
              <w:t>良好</w:t>
            </w:r>
          </w:p>
        </w:tc>
        <w:tc>
          <w:tcPr>
            <w:tcW w:w="653" w:type="pct"/>
            <w:shd w:val="clear" w:color="auto" w:fill="auto"/>
            <w:noWrap/>
            <w:vAlign w:val="center"/>
          </w:tcPr>
          <w:p w14:paraId="30D7AD75">
            <w:pPr>
              <w:pStyle w:val="18"/>
              <w:rPr>
                <w:lang w:val="en-US"/>
              </w:rPr>
            </w:pPr>
            <w:r>
              <w:rPr>
                <w:rFonts w:hint="eastAsia"/>
                <w:lang w:val="en-US"/>
              </w:rPr>
              <w:t>模板</w:t>
            </w:r>
          </w:p>
          <w:p w14:paraId="4B5E22A1">
            <w:pPr>
              <w:pStyle w:val="18"/>
              <w:rPr>
                <w:lang w:val="en-US"/>
              </w:rPr>
            </w:pPr>
            <w:r>
              <w:rPr>
                <w:rFonts w:hint="eastAsia"/>
                <w:lang w:val="en-US"/>
              </w:rPr>
              <w:t>加工</w:t>
            </w:r>
          </w:p>
        </w:tc>
        <w:tc>
          <w:tcPr>
            <w:tcW w:w="749" w:type="pct"/>
            <w:shd w:val="clear" w:color="auto" w:fill="auto"/>
            <w:noWrap/>
            <w:vAlign w:val="center"/>
          </w:tcPr>
          <w:p w14:paraId="70796051">
            <w:pPr>
              <w:pStyle w:val="18"/>
            </w:pPr>
          </w:p>
        </w:tc>
      </w:tr>
      <w:tr w14:paraId="52050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7C29B58C">
            <w:pPr>
              <w:pStyle w:val="18"/>
              <w:rPr>
                <w:lang w:val="en-US"/>
              </w:rPr>
            </w:pPr>
            <w:r>
              <w:rPr>
                <w:rFonts w:hint="eastAsia"/>
                <w:lang w:val="en-US"/>
              </w:rPr>
              <w:t>22</w:t>
            </w:r>
          </w:p>
        </w:tc>
        <w:tc>
          <w:tcPr>
            <w:tcW w:w="524" w:type="pct"/>
            <w:shd w:val="clear" w:color="auto" w:fill="auto"/>
            <w:noWrap/>
            <w:vAlign w:val="center"/>
          </w:tcPr>
          <w:p w14:paraId="7D1C6544">
            <w:pPr>
              <w:pStyle w:val="18"/>
              <w:rPr>
                <w:lang w:val="en-US"/>
              </w:rPr>
            </w:pPr>
            <w:r>
              <w:rPr>
                <w:rFonts w:hint="eastAsia"/>
              </w:rPr>
              <w:t>电焊机</w:t>
            </w:r>
          </w:p>
        </w:tc>
        <w:tc>
          <w:tcPr>
            <w:tcW w:w="621" w:type="pct"/>
            <w:shd w:val="clear" w:color="auto" w:fill="auto"/>
            <w:noWrap/>
            <w:vAlign w:val="center"/>
          </w:tcPr>
          <w:p w14:paraId="4AEA510A">
            <w:pPr>
              <w:pStyle w:val="18"/>
              <w:rPr>
                <w:lang w:val="en-US"/>
              </w:rPr>
            </w:pPr>
            <w:r>
              <w:rPr>
                <w:rFonts w:hint="eastAsia"/>
              </w:rPr>
              <w:t>ZXF315</w:t>
            </w:r>
          </w:p>
        </w:tc>
        <w:tc>
          <w:tcPr>
            <w:tcW w:w="270" w:type="pct"/>
            <w:shd w:val="clear" w:color="auto" w:fill="auto"/>
            <w:noWrap/>
            <w:vAlign w:val="center"/>
          </w:tcPr>
          <w:p w14:paraId="5FB4C7C8">
            <w:pPr>
              <w:pStyle w:val="18"/>
              <w:rPr>
                <w:lang w:val="en-US"/>
              </w:rPr>
            </w:pPr>
            <w:r>
              <w:rPr>
                <w:rFonts w:hint="eastAsia"/>
                <w:lang w:val="en-US"/>
              </w:rPr>
              <w:t>5</w:t>
            </w:r>
          </w:p>
        </w:tc>
        <w:tc>
          <w:tcPr>
            <w:tcW w:w="270" w:type="pct"/>
            <w:shd w:val="clear" w:color="auto" w:fill="auto"/>
            <w:noWrap/>
            <w:vAlign w:val="center"/>
          </w:tcPr>
          <w:p w14:paraId="5493BE0F">
            <w:pPr>
              <w:pStyle w:val="18"/>
              <w:rPr>
                <w:lang w:val="en-US"/>
              </w:rPr>
            </w:pPr>
            <w:r>
              <w:rPr>
                <w:rFonts w:hint="eastAsia"/>
                <w:lang w:val="en-US"/>
              </w:rPr>
              <w:t>国产</w:t>
            </w:r>
          </w:p>
        </w:tc>
        <w:tc>
          <w:tcPr>
            <w:tcW w:w="270" w:type="pct"/>
            <w:shd w:val="clear" w:color="auto" w:fill="auto"/>
            <w:noWrap/>
            <w:vAlign w:val="center"/>
          </w:tcPr>
          <w:p w14:paraId="6C3A10FD">
            <w:pPr>
              <w:pStyle w:val="18"/>
              <w:rPr>
                <w:lang w:val="en-US"/>
              </w:rPr>
            </w:pPr>
            <w:r>
              <w:rPr>
                <w:rFonts w:hint="eastAsia"/>
              </w:rPr>
              <w:t>20</w:t>
            </w:r>
            <w:r>
              <w:rPr>
                <w:rFonts w:hint="eastAsia"/>
                <w:lang w:val="en-US"/>
              </w:rPr>
              <w:t>20</w:t>
            </w:r>
          </w:p>
        </w:tc>
        <w:tc>
          <w:tcPr>
            <w:tcW w:w="1100" w:type="pct"/>
            <w:shd w:val="clear" w:color="auto" w:fill="auto"/>
            <w:noWrap/>
            <w:vAlign w:val="center"/>
          </w:tcPr>
          <w:p w14:paraId="56F26E9F">
            <w:pPr>
              <w:pStyle w:val="18"/>
              <w:rPr>
                <w:lang w:val="en-US"/>
              </w:rPr>
            </w:pPr>
            <w:r>
              <w:rPr>
                <w:rFonts w:hint="eastAsia"/>
              </w:rPr>
              <w:t>15KW</w:t>
            </w:r>
          </w:p>
        </w:tc>
        <w:tc>
          <w:tcPr>
            <w:tcW w:w="270" w:type="pct"/>
            <w:shd w:val="clear" w:color="auto" w:fill="auto"/>
            <w:noWrap/>
            <w:vAlign w:val="center"/>
          </w:tcPr>
          <w:p w14:paraId="0BAC0305">
            <w:pPr>
              <w:pStyle w:val="18"/>
              <w:rPr>
                <w:lang w:val="en-US"/>
              </w:rPr>
            </w:pPr>
            <w:r>
              <w:rPr>
                <w:rFonts w:hint="eastAsia"/>
                <w:lang w:val="en-US"/>
              </w:rPr>
              <w:t>良好</w:t>
            </w:r>
          </w:p>
        </w:tc>
        <w:tc>
          <w:tcPr>
            <w:tcW w:w="653" w:type="pct"/>
            <w:shd w:val="clear" w:color="auto" w:fill="auto"/>
            <w:noWrap/>
            <w:vAlign w:val="center"/>
          </w:tcPr>
          <w:p w14:paraId="499C2E60">
            <w:pPr>
              <w:pStyle w:val="18"/>
              <w:rPr>
                <w:lang w:val="en-US"/>
              </w:rPr>
            </w:pPr>
            <w:r>
              <w:rPr>
                <w:rFonts w:hint="eastAsia"/>
                <w:lang w:val="en-US"/>
              </w:rPr>
              <w:t>焊接</w:t>
            </w:r>
          </w:p>
          <w:p w14:paraId="023C081A">
            <w:pPr>
              <w:pStyle w:val="18"/>
              <w:rPr>
                <w:lang w:val="en-US"/>
              </w:rPr>
            </w:pPr>
            <w:r>
              <w:rPr>
                <w:rFonts w:hint="eastAsia"/>
                <w:lang w:val="en-US"/>
              </w:rPr>
              <w:t>施工</w:t>
            </w:r>
          </w:p>
        </w:tc>
        <w:tc>
          <w:tcPr>
            <w:tcW w:w="749" w:type="pct"/>
            <w:shd w:val="clear" w:color="auto" w:fill="auto"/>
            <w:noWrap/>
            <w:vAlign w:val="center"/>
          </w:tcPr>
          <w:p w14:paraId="7FF337BE">
            <w:pPr>
              <w:pStyle w:val="18"/>
            </w:pPr>
          </w:p>
        </w:tc>
      </w:tr>
      <w:tr w14:paraId="25EE0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10A22E78">
            <w:pPr>
              <w:pStyle w:val="18"/>
              <w:rPr>
                <w:lang w:val="en-US"/>
              </w:rPr>
            </w:pPr>
            <w:r>
              <w:rPr>
                <w:rFonts w:hint="eastAsia"/>
                <w:lang w:val="en-US"/>
              </w:rPr>
              <w:t>23</w:t>
            </w:r>
          </w:p>
        </w:tc>
        <w:tc>
          <w:tcPr>
            <w:tcW w:w="524" w:type="pct"/>
            <w:shd w:val="clear" w:color="auto" w:fill="auto"/>
            <w:noWrap/>
            <w:vAlign w:val="center"/>
          </w:tcPr>
          <w:p w14:paraId="0F23BA20">
            <w:pPr>
              <w:pStyle w:val="18"/>
              <w:rPr>
                <w:lang w:val="en-US"/>
              </w:rPr>
            </w:pPr>
            <w:r>
              <w:rPr>
                <w:lang w:val="en-US"/>
              </w:rPr>
              <w:t>压路机</w:t>
            </w:r>
          </w:p>
        </w:tc>
        <w:tc>
          <w:tcPr>
            <w:tcW w:w="621" w:type="pct"/>
            <w:shd w:val="clear" w:color="auto" w:fill="auto"/>
            <w:noWrap/>
            <w:vAlign w:val="center"/>
          </w:tcPr>
          <w:p w14:paraId="62F3C1EF">
            <w:pPr>
              <w:pStyle w:val="18"/>
              <w:rPr>
                <w:lang w:val="en-US"/>
              </w:rPr>
            </w:pPr>
            <w:r>
              <w:rPr>
                <w:lang w:val="en-US"/>
              </w:rPr>
              <w:t>BW217B</w:t>
            </w:r>
          </w:p>
        </w:tc>
        <w:tc>
          <w:tcPr>
            <w:tcW w:w="270" w:type="pct"/>
            <w:shd w:val="clear" w:color="auto" w:fill="auto"/>
            <w:noWrap/>
            <w:vAlign w:val="center"/>
          </w:tcPr>
          <w:p w14:paraId="2097BCBB">
            <w:pPr>
              <w:pStyle w:val="18"/>
              <w:rPr>
                <w:lang w:val="en-US"/>
              </w:rPr>
            </w:pPr>
            <w:r>
              <w:rPr>
                <w:rFonts w:hint="eastAsia"/>
                <w:lang w:val="en-US"/>
              </w:rPr>
              <w:t>6</w:t>
            </w:r>
          </w:p>
        </w:tc>
        <w:tc>
          <w:tcPr>
            <w:tcW w:w="270" w:type="pct"/>
            <w:shd w:val="clear" w:color="auto" w:fill="auto"/>
            <w:noWrap/>
            <w:vAlign w:val="center"/>
          </w:tcPr>
          <w:p w14:paraId="22A03650">
            <w:pPr>
              <w:pStyle w:val="18"/>
              <w:rPr>
                <w:lang w:val="en-US"/>
              </w:rPr>
            </w:pPr>
            <w:r>
              <w:rPr>
                <w:rFonts w:hint="eastAsia"/>
                <w:lang w:val="en-US"/>
              </w:rPr>
              <w:t>国产</w:t>
            </w:r>
          </w:p>
        </w:tc>
        <w:tc>
          <w:tcPr>
            <w:tcW w:w="270" w:type="pct"/>
            <w:shd w:val="clear" w:color="auto" w:fill="auto"/>
            <w:noWrap/>
            <w:vAlign w:val="center"/>
          </w:tcPr>
          <w:p w14:paraId="43536F19">
            <w:pPr>
              <w:pStyle w:val="18"/>
              <w:rPr>
                <w:lang w:val="en-US"/>
              </w:rPr>
            </w:pPr>
            <w:r>
              <w:rPr>
                <w:rFonts w:hint="eastAsia"/>
                <w:lang w:val="en-US"/>
              </w:rPr>
              <w:t>2020</w:t>
            </w:r>
          </w:p>
        </w:tc>
        <w:tc>
          <w:tcPr>
            <w:tcW w:w="1100" w:type="pct"/>
            <w:shd w:val="clear" w:color="auto" w:fill="auto"/>
            <w:noWrap/>
            <w:vAlign w:val="center"/>
          </w:tcPr>
          <w:p w14:paraId="03BA8B8C">
            <w:pPr>
              <w:pStyle w:val="18"/>
              <w:rPr>
                <w:lang w:val="en-US"/>
              </w:rPr>
            </w:pPr>
            <w:r>
              <w:rPr>
                <w:rFonts w:hint="eastAsia"/>
                <w:lang w:val="en-US"/>
              </w:rPr>
              <w:t>200</w:t>
            </w:r>
          </w:p>
        </w:tc>
        <w:tc>
          <w:tcPr>
            <w:tcW w:w="270" w:type="pct"/>
            <w:shd w:val="clear" w:color="auto" w:fill="auto"/>
            <w:noWrap/>
            <w:vAlign w:val="center"/>
          </w:tcPr>
          <w:p w14:paraId="5528ECA3">
            <w:pPr>
              <w:pStyle w:val="18"/>
              <w:rPr>
                <w:lang w:val="en-US"/>
              </w:rPr>
            </w:pPr>
            <w:r>
              <w:rPr>
                <w:rFonts w:hint="eastAsia"/>
                <w:lang w:val="en-US"/>
              </w:rPr>
              <w:t>良好</w:t>
            </w:r>
          </w:p>
        </w:tc>
        <w:tc>
          <w:tcPr>
            <w:tcW w:w="653" w:type="pct"/>
            <w:shd w:val="clear" w:color="auto" w:fill="auto"/>
            <w:noWrap/>
            <w:vAlign w:val="center"/>
          </w:tcPr>
          <w:p w14:paraId="53F00526">
            <w:pPr>
              <w:pStyle w:val="18"/>
              <w:rPr>
                <w:lang w:val="en-US"/>
              </w:rPr>
            </w:pPr>
            <w:r>
              <w:rPr>
                <w:rFonts w:hint="eastAsia"/>
                <w:lang w:val="en-US"/>
              </w:rPr>
              <w:t>碾压</w:t>
            </w:r>
          </w:p>
          <w:p w14:paraId="56BCC73E">
            <w:pPr>
              <w:pStyle w:val="18"/>
              <w:rPr>
                <w:lang w:val="en-US"/>
              </w:rPr>
            </w:pPr>
            <w:r>
              <w:rPr>
                <w:rFonts w:hint="eastAsia"/>
                <w:lang w:val="en-US"/>
              </w:rPr>
              <w:t>道路</w:t>
            </w:r>
          </w:p>
        </w:tc>
        <w:tc>
          <w:tcPr>
            <w:tcW w:w="749" w:type="pct"/>
            <w:shd w:val="clear" w:color="auto" w:fill="auto"/>
            <w:noWrap/>
            <w:vAlign w:val="center"/>
          </w:tcPr>
          <w:p w14:paraId="1C8A45C4">
            <w:pPr>
              <w:pStyle w:val="18"/>
            </w:pPr>
          </w:p>
        </w:tc>
      </w:tr>
      <w:tr w14:paraId="018EE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1A3085D0">
            <w:pPr>
              <w:pStyle w:val="18"/>
              <w:rPr>
                <w:lang w:val="en-US"/>
              </w:rPr>
            </w:pPr>
            <w:r>
              <w:rPr>
                <w:rFonts w:hint="eastAsia"/>
                <w:lang w:val="en-US"/>
              </w:rPr>
              <w:t>24</w:t>
            </w:r>
          </w:p>
        </w:tc>
        <w:tc>
          <w:tcPr>
            <w:tcW w:w="524" w:type="pct"/>
            <w:shd w:val="clear" w:color="auto" w:fill="auto"/>
            <w:noWrap/>
            <w:vAlign w:val="center"/>
          </w:tcPr>
          <w:p w14:paraId="489C09C5">
            <w:pPr>
              <w:pStyle w:val="18"/>
              <w:rPr>
                <w:lang w:val="en-US"/>
              </w:rPr>
            </w:pPr>
            <w:r>
              <w:rPr>
                <w:rFonts w:hint="eastAsia"/>
                <w:lang w:val="en-US"/>
              </w:rPr>
              <w:t>沥青</w:t>
            </w:r>
          </w:p>
          <w:p w14:paraId="34B76D98">
            <w:pPr>
              <w:pStyle w:val="18"/>
              <w:rPr>
                <w:lang w:val="en-US"/>
              </w:rPr>
            </w:pPr>
            <w:r>
              <w:rPr>
                <w:rFonts w:hint="eastAsia"/>
                <w:lang w:val="en-US"/>
              </w:rPr>
              <w:t>摊铺机</w:t>
            </w:r>
          </w:p>
        </w:tc>
        <w:tc>
          <w:tcPr>
            <w:tcW w:w="621" w:type="pct"/>
            <w:shd w:val="clear" w:color="auto" w:fill="auto"/>
            <w:noWrap/>
            <w:vAlign w:val="center"/>
          </w:tcPr>
          <w:p w14:paraId="2DDB859E">
            <w:pPr>
              <w:pStyle w:val="18"/>
              <w:rPr>
                <w:lang w:val="en-US"/>
              </w:rPr>
            </w:pPr>
            <w:r>
              <w:rPr>
                <w:rFonts w:hint="eastAsia"/>
                <w:lang w:val="en-US"/>
              </w:rPr>
              <w:t>戴纳</w:t>
            </w:r>
          </w:p>
          <w:p w14:paraId="6C44409D">
            <w:pPr>
              <w:pStyle w:val="18"/>
              <w:rPr>
                <w:lang w:val="en-US"/>
              </w:rPr>
            </w:pPr>
            <w:r>
              <w:rPr>
                <w:rFonts w:hint="eastAsia"/>
                <w:lang w:val="en-US"/>
              </w:rPr>
              <w:t>帕克</w:t>
            </w:r>
          </w:p>
        </w:tc>
        <w:tc>
          <w:tcPr>
            <w:tcW w:w="270" w:type="pct"/>
            <w:shd w:val="clear" w:color="auto" w:fill="auto"/>
            <w:noWrap/>
            <w:vAlign w:val="center"/>
          </w:tcPr>
          <w:p w14:paraId="6018D59D">
            <w:pPr>
              <w:pStyle w:val="18"/>
              <w:rPr>
                <w:lang w:val="en-US"/>
              </w:rPr>
            </w:pPr>
            <w:r>
              <w:rPr>
                <w:rFonts w:hint="eastAsia"/>
                <w:lang w:val="en-US"/>
              </w:rPr>
              <w:t>2</w:t>
            </w:r>
          </w:p>
        </w:tc>
        <w:tc>
          <w:tcPr>
            <w:tcW w:w="270" w:type="pct"/>
            <w:shd w:val="clear" w:color="auto" w:fill="auto"/>
            <w:noWrap/>
            <w:vAlign w:val="center"/>
          </w:tcPr>
          <w:p w14:paraId="3DBF403C">
            <w:pPr>
              <w:pStyle w:val="18"/>
              <w:rPr>
                <w:lang w:val="en-US"/>
              </w:rPr>
            </w:pPr>
            <w:r>
              <w:rPr>
                <w:rFonts w:hint="eastAsia"/>
                <w:lang w:val="en-US"/>
              </w:rPr>
              <w:t>国产</w:t>
            </w:r>
          </w:p>
        </w:tc>
        <w:tc>
          <w:tcPr>
            <w:tcW w:w="270" w:type="pct"/>
            <w:shd w:val="clear" w:color="auto" w:fill="auto"/>
            <w:noWrap/>
            <w:vAlign w:val="center"/>
          </w:tcPr>
          <w:p w14:paraId="50D3451E">
            <w:pPr>
              <w:pStyle w:val="18"/>
              <w:rPr>
                <w:lang w:val="en-US"/>
              </w:rPr>
            </w:pPr>
            <w:r>
              <w:rPr>
                <w:rFonts w:hint="eastAsia"/>
                <w:lang w:val="en-US"/>
              </w:rPr>
              <w:t>2020</w:t>
            </w:r>
          </w:p>
        </w:tc>
        <w:tc>
          <w:tcPr>
            <w:tcW w:w="1100" w:type="pct"/>
            <w:shd w:val="clear" w:color="auto" w:fill="auto"/>
            <w:noWrap/>
            <w:vAlign w:val="center"/>
          </w:tcPr>
          <w:p w14:paraId="6B3D8B74">
            <w:pPr>
              <w:pStyle w:val="18"/>
              <w:rPr>
                <w:lang w:val="en-US"/>
              </w:rPr>
            </w:pPr>
            <w:r>
              <w:rPr>
                <w:rFonts w:hint="eastAsia"/>
                <w:lang w:val="en-US"/>
              </w:rPr>
              <w:t>/</w:t>
            </w:r>
          </w:p>
        </w:tc>
        <w:tc>
          <w:tcPr>
            <w:tcW w:w="270" w:type="pct"/>
            <w:shd w:val="clear" w:color="auto" w:fill="auto"/>
            <w:noWrap/>
            <w:vAlign w:val="center"/>
          </w:tcPr>
          <w:p w14:paraId="47E88EB3">
            <w:pPr>
              <w:pStyle w:val="18"/>
              <w:rPr>
                <w:lang w:val="en-US"/>
              </w:rPr>
            </w:pPr>
            <w:r>
              <w:rPr>
                <w:rFonts w:hint="eastAsia"/>
                <w:lang w:val="en-US"/>
              </w:rPr>
              <w:t>良好</w:t>
            </w:r>
          </w:p>
        </w:tc>
        <w:tc>
          <w:tcPr>
            <w:tcW w:w="653" w:type="pct"/>
            <w:shd w:val="clear" w:color="auto" w:fill="auto"/>
            <w:noWrap/>
            <w:vAlign w:val="center"/>
          </w:tcPr>
          <w:p w14:paraId="2267316B">
            <w:pPr>
              <w:pStyle w:val="18"/>
              <w:rPr>
                <w:lang w:val="en-US"/>
              </w:rPr>
            </w:pPr>
            <w:r>
              <w:rPr>
                <w:rFonts w:hint="eastAsia"/>
                <w:lang w:val="en-US"/>
              </w:rPr>
              <w:t>铺设</w:t>
            </w:r>
          </w:p>
          <w:p w14:paraId="2B494DE8">
            <w:pPr>
              <w:pStyle w:val="18"/>
              <w:rPr>
                <w:lang w:val="en-US"/>
              </w:rPr>
            </w:pPr>
            <w:r>
              <w:rPr>
                <w:rFonts w:hint="eastAsia"/>
                <w:lang w:val="en-US"/>
              </w:rPr>
              <w:t>道路</w:t>
            </w:r>
          </w:p>
        </w:tc>
        <w:tc>
          <w:tcPr>
            <w:tcW w:w="749" w:type="pct"/>
            <w:shd w:val="clear" w:color="auto" w:fill="auto"/>
            <w:noWrap/>
            <w:vAlign w:val="center"/>
          </w:tcPr>
          <w:p w14:paraId="524F914D">
            <w:pPr>
              <w:pStyle w:val="18"/>
            </w:pPr>
          </w:p>
        </w:tc>
      </w:tr>
      <w:tr w14:paraId="08A00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79494726">
            <w:pPr>
              <w:pStyle w:val="18"/>
              <w:rPr>
                <w:lang w:val="en-US"/>
              </w:rPr>
            </w:pPr>
            <w:r>
              <w:rPr>
                <w:rFonts w:hint="eastAsia"/>
                <w:lang w:val="en-US"/>
              </w:rPr>
              <w:t>25</w:t>
            </w:r>
          </w:p>
        </w:tc>
        <w:tc>
          <w:tcPr>
            <w:tcW w:w="524" w:type="pct"/>
            <w:shd w:val="clear" w:color="auto" w:fill="auto"/>
            <w:noWrap/>
            <w:vAlign w:val="center"/>
          </w:tcPr>
          <w:p w14:paraId="6A1D6281">
            <w:pPr>
              <w:pStyle w:val="18"/>
              <w:rPr>
                <w:lang w:val="en-US"/>
              </w:rPr>
            </w:pPr>
            <w:r>
              <w:rPr>
                <w:rFonts w:hint="eastAsia"/>
                <w:lang w:val="en-US"/>
              </w:rPr>
              <w:t>洒水车</w:t>
            </w:r>
          </w:p>
        </w:tc>
        <w:tc>
          <w:tcPr>
            <w:tcW w:w="621" w:type="pct"/>
            <w:shd w:val="clear" w:color="auto" w:fill="auto"/>
            <w:noWrap/>
            <w:vAlign w:val="center"/>
          </w:tcPr>
          <w:p w14:paraId="7A2CF584">
            <w:pPr>
              <w:pStyle w:val="18"/>
              <w:rPr>
                <w:lang w:val="en-US"/>
              </w:rPr>
            </w:pPr>
            <w:r>
              <w:rPr>
                <w:rFonts w:hint="eastAsia"/>
                <w:lang w:val="en-US"/>
              </w:rPr>
              <w:t>/</w:t>
            </w:r>
          </w:p>
        </w:tc>
        <w:tc>
          <w:tcPr>
            <w:tcW w:w="270" w:type="pct"/>
            <w:shd w:val="clear" w:color="auto" w:fill="auto"/>
            <w:noWrap/>
            <w:vAlign w:val="center"/>
          </w:tcPr>
          <w:p w14:paraId="1F391A50">
            <w:pPr>
              <w:pStyle w:val="18"/>
              <w:rPr>
                <w:lang w:val="en-US"/>
              </w:rPr>
            </w:pPr>
            <w:r>
              <w:rPr>
                <w:rFonts w:hint="eastAsia"/>
                <w:lang w:val="en-US"/>
              </w:rPr>
              <w:t>8</w:t>
            </w:r>
          </w:p>
        </w:tc>
        <w:tc>
          <w:tcPr>
            <w:tcW w:w="270" w:type="pct"/>
            <w:shd w:val="clear" w:color="auto" w:fill="auto"/>
            <w:noWrap/>
            <w:vAlign w:val="center"/>
          </w:tcPr>
          <w:p w14:paraId="680F53C6">
            <w:pPr>
              <w:pStyle w:val="18"/>
              <w:rPr>
                <w:lang w:val="en-US"/>
              </w:rPr>
            </w:pPr>
            <w:r>
              <w:rPr>
                <w:rFonts w:hint="eastAsia"/>
                <w:lang w:val="en-US"/>
              </w:rPr>
              <w:t>国产</w:t>
            </w:r>
          </w:p>
        </w:tc>
        <w:tc>
          <w:tcPr>
            <w:tcW w:w="270" w:type="pct"/>
            <w:shd w:val="clear" w:color="auto" w:fill="auto"/>
            <w:noWrap/>
            <w:vAlign w:val="center"/>
          </w:tcPr>
          <w:p w14:paraId="7243844A">
            <w:pPr>
              <w:pStyle w:val="18"/>
              <w:rPr>
                <w:lang w:val="en-US"/>
              </w:rPr>
            </w:pPr>
            <w:r>
              <w:rPr>
                <w:rFonts w:hint="eastAsia"/>
                <w:lang w:val="en-US"/>
              </w:rPr>
              <w:t>2021</w:t>
            </w:r>
          </w:p>
        </w:tc>
        <w:tc>
          <w:tcPr>
            <w:tcW w:w="1100" w:type="pct"/>
            <w:shd w:val="clear" w:color="auto" w:fill="auto"/>
            <w:noWrap/>
            <w:vAlign w:val="center"/>
          </w:tcPr>
          <w:p w14:paraId="11E3D4D6">
            <w:pPr>
              <w:pStyle w:val="18"/>
              <w:rPr>
                <w:lang w:val="en-US"/>
              </w:rPr>
            </w:pPr>
            <w:r>
              <w:rPr>
                <w:rFonts w:hint="eastAsia"/>
                <w:lang w:val="en-US"/>
              </w:rPr>
              <w:t>10t</w:t>
            </w:r>
          </w:p>
        </w:tc>
        <w:tc>
          <w:tcPr>
            <w:tcW w:w="270" w:type="pct"/>
            <w:shd w:val="clear" w:color="auto" w:fill="auto"/>
            <w:noWrap/>
            <w:vAlign w:val="center"/>
          </w:tcPr>
          <w:p w14:paraId="3BF24739">
            <w:pPr>
              <w:pStyle w:val="18"/>
              <w:rPr>
                <w:lang w:val="en-US"/>
              </w:rPr>
            </w:pPr>
            <w:r>
              <w:rPr>
                <w:rFonts w:hint="eastAsia"/>
                <w:lang w:val="en-US"/>
              </w:rPr>
              <w:t>良好</w:t>
            </w:r>
          </w:p>
        </w:tc>
        <w:tc>
          <w:tcPr>
            <w:tcW w:w="653" w:type="pct"/>
            <w:shd w:val="clear" w:color="auto" w:fill="auto"/>
            <w:noWrap/>
            <w:vAlign w:val="center"/>
          </w:tcPr>
          <w:p w14:paraId="0C8252B9">
            <w:pPr>
              <w:pStyle w:val="18"/>
              <w:rPr>
                <w:lang w:val="en-US"/>
              </w:rPr>
            </w:pPr>
            <w:r>
              <w:rPr>
                <w:rFonts w:hint="eastAsia"/>
                <w:lang w:val="en-US"/>
              </w:rPr>
              <w:t>降尘</w:t>
            </w:r>
          </w:p>
        </w:tc>
        <w:tc>
          <w:tcPr>
            <w:tcW w:w="749" w:type="pct"/>
            <w:shd w:val="clear" w:color="auto" w:fill="auto"/>
            <w:noWrap/>
            <w:vAlign w:val="center"/>
          </w:tcPr>
          <w:p w14:paraId="1C16278E">
            <w:pPr>
              <w:pStyle w:val="18"/>
            </w:pPr>
          </w:p>
        </w:tc>
      </w:tr>
      <w:tr w14:paraId="7DF16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102A9852">
            <w:pPr>
              <w:pStyle w:val="18"/>
              <w:rPr>
                <w:lang w:val="en-US"/>
              </w:rPr>
            </w:pPr>
            <w:r>
              <w:rPr>
                <w:rFonts w:hint="eastAsia"/>
                <w:lang w:val="en-US"/>
              </w:rPr>
              <w:t>26</w:t>
            </w:r>
          </w:p>
        </w:tc>
        <w:tc>
          <w:tcPr>
            <w:tcW w:w="524" w:type="pct"/>
            <w:shd w:val="clear" w:color="auto" w:fill="auto"/>
            <w:noWrap/>
            <w:vAlign w:val="center"/>
          </w:tcPr>
          <w:p w14:paraId="77FE9D7D">
            <w:pPr>
              <w:pStyle w:val="18"/>
              <w:rPr>
                <w:lang w:val="en-US"/>
              </w:rPr>
            </w:pPr>
            <w:r>
              <w:rPr>
                <w:rFonts w:hint="eastAsia"/>
                <w:lang w:val="en-US"/>
              </w:rPr>
              <w:t>绿篱机</w:t>
            </w:r>
          </w:p>
        </w:tc>
        <w:tc>
          <w:tcPr>
            <w:tcW w:w="621" w:type="pct"/>
            <w:shd w:val="clear" w:color="auto" w:fill="auto"/>
            <w:noWrap/>
            <w:vAlign w:val="center"/>
          </w:tcPr>
          <w:p w14:paraId="0414A181">
            <w:pPr>
              <w:pStyle w:val="18"/>
              <w:rPr>
                <w:lang w:val="en-US"/>
              </w:rPr>
            </w:pPr>
            <w:r>
              <w:rPr>
                <w:rFonts w:hint="eastAsia"/>
                <w:lang w:val="en-US"/>
              </w:rPr>
              <w:t>绿友</w:t>
            </w:r>
          </w:p>
        </w:tc>
        <w:tc>
          <w:tcPr>
            <w:tcW w:w="270" w:type="pct"/>
            <w:shd w:val="clear" w:color="auto" w:fill="auto"/>
            <w:noWrap/>
            <w:vAlign w:val="center"/>
          </w:tcPr>
          <w:p w14:paraId="0825A851">
            <w:pPr>
              <w:pStyle w:val="18"/>
              <w:rPr>
                <w:lang w:val="en-US"/>
              </w:rPr>
            </w:pPr>
            <w:r>
              <w:rPr>
                <w:rFonts w:hint="eastAsia"/>
                <w:lang w:val="en-US"/>
              </w:rPr>
              <w:t>12</w:t>
            </w:r>
          </w:p>
        </w:tc>
        <w:tc>
          <w:tcPr>
            <w:tcW w:w="270" w:type="pct"/>
            <w:shd w:val="clear" w:color="auto" w:fill="auto"/>
            <w:noWrap/>
            <w:vAlign w:val="center"/>
          </w:tcPr>
          <w:p w14:paraId="2DF3C644">
            <w:pPr>
              <w:pStyle w:val="18"/>
              <w:rPr>
                <w:lang w:val="en-US"/>
              </w:rPr>
            </w:pPr>
            <w:r>
              <w:rPr>
                <w:rFonts w:hint="eastAsia"/>
                <w:lang w:val="en-US"/>
              </w:rPr>
              <w:t>国产</w:t>
            </w:r>
          </w:p>
        </w:tc>
        <w:tc>
          <w:tcPr>
            <w:tcW w:w="270" w:type="pct"/>
            <w:shd w:val="clear" w:color="auto" w:fill="auto"/>
            <w:noWrap/>
            <w:vAlign w:val="center"/>
          </w:tcPr>
          <w:p w14:paraId="5DDE5609">
            <w:pPr>
              <w:pStyle w:val="18"/>
              <w:rPr>
                <w:lang w:val="en-US"/>
              </w:rPr>
            </w:pPr>
            <w:r>
              <w:rPr>
                <w:rFonts w:hint="eastAsia"/>
                <w:lang w:val="en-US"/>
              </w:rPr>
              <w:t>2021</w:t>
            </w:r>
          </w:p>
        </w:tc>
        <w:tc>
          <w:tcPr>
            <w:tcW w:w="1100" w:type="pct"/>
            <w:shd w:val="clear" w:color="auto" w:fill="auto"/>
            <w:noWrap/>
            <w:vAlign w:val="center"/>
          </w:tcPr>
          <w:p w14:paraId="7903F5B2">
            <w:pPr>
              <w:pStyle w:val="18"/>
              <w:rPr>
                <w:lang w:val="en-US"/>
              </w:rPr>
            </w:pPr>
            <w:r>
              <w:rPr>
                <w:rFonts w:hint="eastAsia"/>
                <w:lang w:val="en-US"/>
              </w:rPr>
              <w:t>5kw</w:t>
            </w:r>
          </w:p>
        </w:tc>
        <w:tc>
          <w:tcPr>
            <w:tcW w:w="270" w:type="pct"/>
            <w:shd w:val="clear" w:color="auto" w:fill="auto"/>
            <w:noWrap/>
            <w:vAlign w:val="center"/>
          </w:tcPr>
          <w:p w14:paraId="4EACBC7E">
            <w:pPr>
              <w:pStyle w:val="18"/>
              <w:rPr>
                <w:lang w:val="en-US"/>
              </w:rPr>
            </w:pPr>
            <w:r>
              <w:rPr>
                <w:rFonts w:hint="eastAsia"/>
                <w:lang w:val="en-US"/>
              </w:rPr>
              <w:t>良好</w:t>
            </w:r>
          </w:p>
        </w:tc>
        <w:tc>
          <w:tcPr>
            <w:tcW w:w="653" w:type="pct"/>
            <w:shd w:val="clear" w:color="auto" w:fill="auto"/>
            <w:noWrap/>
            <w:vAlign w:val="center"/>
          </w:tcPr>
          <w:p w14:paraId="1F38DE38">
            <w:pPr>
              <w:pStyle w:val="18"/>
              <w:rPr>
                <w:lang w:val="en-US"/>
              </w:rPr>
            </w:pPr>
            <w:r>
              <w:rPr>
                <w:rFonts w:hint="eastAsia"/>
                <w:lang w:val="en-US"/>
              </w:rPr>
              <w:t>绿化</w:t>
            </w:r>
          </w:p>
        </w:tc>
        <w:tc>
          <w:tcPr>
            <w:tcW w:w="749" w:type="pct"/>
            <w:shd w:val="clear" w:color="auto" w:fill="auto"/>
            <w:noWrap/>
            <w:vAlign w:val="center"/>
          </w:tcPr>
          <w:p w14:paraId="59B721F9">
            <w:pPr>
              <w:pStyle w:val="18"/>
              <w:rPr>
                <w:lang w:val="en-US"/>
              </w:rPr>
            </w:pPr>
          </w:p>
        </w:tc>
      </w:tr>
      <w:tr w14:paraId="6F332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4F9F1688">
            <w:pPr>
              <w:pStyle w:val="18"/>
              <w:rPr>
                <w:lang w:val="en-US"/>
              </w:rPr>
            </w:pPr>
            <w:r>
              <w:rPr>
                <w:rFonts w:hint="eastAsia"/>
                <w:lang w:val="en-US"/>
              </w:rPr>
              <w:t>27</w:t>
            </w:r>
          </w:p>
        </w:tc>
        <w:tc>
          <w:tcPr>
            <w:tcW w:w="524" w:type="pct"/>
            <w:shd w:val="clear" w:color="auto" w:fill="auto"/>
            <w:noWrap/>
            <w:vAlign w:val="center"/>
          </w:tcPr>
          <w:p w14:paraId="7010600B">
            <w:pPr>
              <w:pStyle w:val="18"/>
              <w:rPr>
                <w:lang w:val="en-US"/>
              </w:rPr>
            </w:pPr>
            <w:r>
              <w:rPr>
                <w:rFonts w:hint="eastAsia"/>
                <w:lang w:val="en-US"/>
              </w:rPr>
              <w:t>草坪</w:t>
            </w:r>
          </w:p>
          <w:p w14:paraId="7337F26C">
            <w:pPr>
              <w:pStyle w:val="18"/>
              <w:rPr>
                <w:lang w:val="en-US"/>
              </w:rPr>
            </w:pPr>
            <w:r>
              <w:rPr>
                <w:rFonts w:hint="eastAsia"/>
                <w:lang w:val="en-US"/>
              </w:rPr>
              <w:t>修剪机</w:t>
            </w:r>
          </w:p>
        </w:tc>
        <w:tc>
          <w:tcPr>
            <w:tcW w:w="621" w:type="pct"/>
            <w:shd w:val="clear" w:color="auto" w:fill="auto"/>
            <w:noWrap/>
            <w:vAlign w:val="center"/>
          </w:tcPr>
          <w:p w14:paraId="055AE0E9">
            <w:pPr>
              <w:pStyle w:val="18"/>
              <w:rPr>
                <w:lang w:val="en-US"/>
              </w:rPr>
            </w:pPr>
            <w:r>
              <w:rPr>
                <w:rFonts w:hint="eastAsia"/>
                <w:lang w:val="en-US"/>
              </w:rPr>
              <w:t>绿友</w:t>
            </w:r>
          </w:p>
        </w:tc>
        <w:tc>
          <w:tcPr>
            <w:tcW w:w="270" w:type="pct"/>
            <w:shd w:val="clear" w:color="auto" w:fill="auto"/>
            <w:noWrap/>
            <w:vAlign w:val="center"/>
          </w:tcPr>
          <w:p w14:paraId="7FF39731">
            <w:pPr>
              <w:pStyle w:val="18"/>
              <w:rPr>
                <w:lang w:val="en-US"/>
              </w:rPr>
            </w:pPr>
            <w:r>
              <w:rPr>
                <w:rFonts w:hint="eastAsia"/>
                <w:lang w:val="en-US"/>
              </w:rPr>
              <w:t>16</w:t>
            </w:r>
          </w:p>
        </w:tc>
        <w:tc>
          <w:tcPr>
            <w:tcW w:w="270" w:type="pct"/>
            <w:shd w:val="clear" w:color="auto" w:fill="auto"/>
            <w:noWrap/>
            <w:vAlign w:val="center"/>
          </w:tcPr>
          <w:p w14:paraId="3ABAAF5D">
            <w:pPr>
              <w:pStyle w:val="18"/>
              <w:rPr>
                <w:lang w:val="en-US"/>
              </w:rPr>
            </w:pPr>
            <w:r>
              <w:rPr>
                <w:rFonts w:hint="eastAsia"/>
                <w:lang w:val="en-US"/>
              </w:rPr>
              <w:t>国产</w:t>
            </w:r>
          </w:p>
        </w:tc>
        <w:tc>
          <w:tcPr>
            <w:tcW w:w="270" w:type="pct"/>
            <w:shd w:val="clear" w:color="auto" w:fill="auto"/>
            <w:noWrap/>
            <w:vAlign w:val="center"/>
          </w:tcPr>
          <w:p w14:paraId="5282FADF">
            <w:pPr>
              <w:pStyle w:val="18"/>
              <w:rPr>
                <w:lang w:val="en-US"/>
              </w:rPr>
            </w:pPr>
            <w:r>
              <w:rPr>
                <w:rFonts w:hint="eastAsia"/>
                <w:lang w:val="en-US"/>
              </w:rPr>
              <w:t>2020</w:t>
            </w:r>
          </w:p>
        </w:tc>
        <w:tc>
          <w:tcPr>
            <w:tcW w:w="1100" w:type="pct"/>
            <w:shd w:val="clear" w:color="auto" w:fill="auto"/>
            <w:noWrap/>
            <w:vAlign w:val="center"/>
          </w:tcPr>
          <w:p w14:paraId="3C2B2207">
            <w:pPr>
              <w:pStyle w:val="18"/>
              <w:rPr>
                <w:lang w:val="en-US"/>
              </w:rPr>
            </w:pPr>
            <w:r>
              <w:rPr>
                <w:rFonts w:hint="eastAsia"/>
                <w:lang w:val="en-US"/>
              </w:rPr>
              <w:t>3kw</w:t>
            </w:r>
          </w:p>
        </w:tc>
        <w:tc>
          <w:tcPr>
            <w:tcW w:w="270" w:type="pct"/>
            <w:shd w:val="clear" w:color="auto" w:fill="auto"/>
            <w:noWrap/>
            <w:vAlign w:val="center"/>
          </w:tcPr>
          <w:p w14:paraId="34BF12E8">
            <w:pPr>
              <w:pStyle w:val="18"/>
              <w:rPr>
                <w:lang w:val="en-US"/>
              </w:rPr>
            </w:pPr>
            <w:r>
              <w:rPr>
                <w:rFonts w:hint="eastAsia"/>
                <w:lang w:val="en-US"/>
              </w:rPr>
              <w:t>良好</w:t>
            </w:r>
          </w:p>
        </w:tc>
        <w:tc>
          <w:tcPr>
            <w:tcW w:w="653" w:type="pct"/>
            <w:shd w:val="clear" w:color="auto" w:fill="auto"/>
            <w:noWrap/>
            <w:vAlign w:val="center"/>
          </w:tcPr>
          <w:p w14:paraId="737221B3">
            <w:pPr>
              <w:pStyle w:val="18"/>
              <w:rPr>
                <w:lang w:val="en-US"/>
              </w:rPr>
            </w:pPr>
            <w:r>
              <w:rPr>
                <w:rFonts w:hint="eastAsia"/>
                <w:lang w:val="en-US"/>
              </w:rPr>
              <w:t>绿化</w:t>
            </w:r>
          </w:p>
        </w:tc>
        <w:tc>
          <w:tcPr>
            <w:tcW w:w="749" w:type="pct"/>
            <w:shd w:val="clear" w:color="auto" w:fill="auto"/>
            <w:noWrap/>
            <w:vAlign w:val="center"/>
          </w:tcPr>
          <w:p w14:paraId="664259E3">
            <w:pPr>
              <w:pStyle w:val="18"/>
              <w:rPr>
                <w:lang w:val="en-US"/>
              </w:rPr>
            </w:pPr>
          </w:p>
        </w:tc>
      </w:tr>
      <w:tr w14:paraId="0BD36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734BD912">
            <w:pPr>
              <w:pStyle w:val="18"/>
              <w:rPr>
                <w:lang w:val="en-US"/>
              </w:rPr>
            </w:pPr>
            <w:r>
              <w:rPr>
                <w:rFonts w:hint="eastAsia"/>
                <w:lang w:val="en-US"/>
              </w:rPr>
              <w:t>28</w:t>
            </w:r>
          </w:p>
        </w:tc>
        <w:tc>
          <w:tcPr>
            <w:tcW w:w="524" w:type="pct"/>
            <w:shd w:val="clear" w:color="auto" w:fill="auto"/>
            <w:noWrap/>
            <w:vAlign w:val="center"/>
          </w:tcPr>
          <w:p w14:paraId="3049FCD5">
            <w:pPr>
              <w:pStyle w:val="18"/>
              <w:rPr>
                <w:lang w:val="en-US"/>
              </w:rPr>
            </w:pPr>
            <w:r>
              <w:rPr>
                <w:rFonts w:hint="eastAsia"/>
                <w:lang w:val="en-US"/>
              </w:rPr>
              <w:t>园艺组合</w:t>
            </w:r>
          </w:p>
        </w:tc>
        <w:tc>
          <w:tcPr>
            <w:tcW w:w="621" w:type="pct"/>
            <w:shd w:val="clear" w:color="auto" w:fill="auto"/>
            <w:noWrap/>
            <w:vAlign w:val="center"/>
          </w:tcPr>
          <w:p w14:paraId="658BD272">
            <w:pPr>
              <w:pStyle w:val="18"/>
              <w:rPr>
                <w:lang w:val="en-US"/>
              </w:rPr>
            </w:pPr>
            <w:r>
              <w:rPr>
                <w:rFonts w:hint="eastAsia"/>
                <w:lang w:val="en-US"/>
              </w:rPr>
              <w:t>X300</w:t>
            </w:r>
          </w:p>
        </w:tc>
        <w:tc>
          <w:tcPr>
            <w:tcW w:w="270" w:type="pct"/>
            <w:shd w:val="clear" w:color="auto" w:fill="auto"/>
            <w:noWrap/>
            <w:vAlign w:val="center"/>
          </w:tcPr>
          <w:p w14:paraId="57C38AE2">
            <w:pPr>
              <w:pStyle w:val="18"/>
              <w:rPr>
                <w:lang w:val="en-US"/>
              </w:rPr>
            </w:pPr>
            <w:r>
              <w:rPr>
                <w:rFonts w:hint="eastAsia"/>
                <w:lang w:val="en-US"/>
              </w:rPr>
              <w:t>12</w:t>
            </w:r>
          </w:p>
        </w:tc>
        <w:tc>
          <w:tcPr>
            <w:tcW w:w="270" w:type="pct"/>
            <w:shd w:val="clear" w:color="auto" w:fill="auto"/>
            <w:noWrap/>
            <w:vAlign w:val="center"/>
          </w:tcPr>
          <w:p w14:paraId="069B00C3">
            <w:pPr>
              <w:pStyle w:val="18"/>
              <w:rPr>
                <w:lang w:val="en-US"/>
              </w:rPr>
            </w:pPr>
            <w:r>
              <w:rPr>
                <w:rFonts w:hint="eastAsia"/>
                <w:lang w:val="en-US"/>
              </w:rPr>
              <w:t>国产</w:t>
            </w:r>
          </w:p>
        </w:tc>
        <w:tc>
          <w:tcPr>
            <w:tcW w:w="270" w:type="pct"/>
            <w:shd w:val="clear" w:color="auto" w:fill="auto"/>
            <w:noWrap/>
            <w:vAlign w:val="center"/>
          </w:tcPr>
          <w:p w14:paraId="23F0DFC3">
            <w:pPr>
              <w:pStyle w:val="18"/>
              <w:rPr>
                <w:lang w:val="en-US"/>
              </w:rPr>
            </w:pPr>
            <w:r>
              <w:rPr>
                <w:rFonts w:hint="eastAsia"/>
                <w:lang w:val="en-US"/>
              </w:rPr>
              <w:t>2020</w:t>
            </w:r>
          </w:p>
        </w:tc>
        <w:tc>
          <w:tcPr>
            <w:tcW w:w="1100" w:type="pct"/>
            <w:shd w:val="clear" w:color="auto" w:fill="auto"/>
            <w:noWrap/>
            <w:vAlign w:val="center"/>
          </w:tcPr>
          <w:p w14:paraId="1B65A136">
            <w:pPr>
              <w:pStyle w:val="18"/>
              <w:rPr>
                <w:lang w:val="en-US"/>
              </w:rPr>
            </w:pPr>
            <w:r>
              <w:rPr>
                <w:rFonts w:hint="eastAsia"/>
                <w:lang w:val="en-US"/>
              </w:rPr>
              <w:t>/</w:t>
            </w:r>
          </w:p>
        </w:tc>
        <w:tc>
          <w:tcPr>
            <w:tcW w:w="270" w:type="pct"/>
            <w:shd w:val="clear" w:color="auto" w:fill="auto"/>
            <w:noWrap/>
            <w:vAlign w:val="center"/>
          </w:tcPr>
          <w:p w14:paraId="34D59B0D">
            <w:pPr>
              <w:pStyle w:val="18"/>
              <w:rPr>
                <w:lang w:val="en-US"/>
              </w:rPr>
            </w:pPr>
            <w:r>
              <w:rPr>
                <w:rFonts w:hint="eastAsia"/>
                <w:lang w:val="en-US"/>
              </w:rPr>
              <w:t>良好</w:t>
            </w:r>
          </w:p>
        </w:tc>
        <w:tc>
          <w:tcPr>
            <w:tcW w:w="653" w:type="pct"/>
            <w:shd w:val="clear" w:color="auto" w:fill="auto"/>
            <w:noWrap/>
            <w:vAlign w:val="center"/>
          </w:tcPr>
          <w:p w14:paraId="0E43524D">
            <w:pPr>
              <w:pStyle w:val="18"/>
              <w:rPr>
                <w:b/>
                <w:bCs/>
                <w:lang w:val="en-US"/>
              </w:rPr>
            </w:pPr>
            <w:r>
              <w:rPr>
                <w:rFonts w:hint="eastAsia"/>
                <w:lang w:val="en-US"/>
              </w:rPr>
              <w:t>绿化</w:t>
            </w:r>
          </w:p>
        </w:tc>
        <w:tc>
          <w:tcPr>
            <w:tcW w:w="749" w:type="pct"/>
            <w:shd w:val="clear" w:color="auto" w:fill="auto"/>
            <w:noWrap/>
            <w:vAlign w:val="center"/>
          </w:tcPr>
          <w:p w14:paraId="6E8B6D1E">
            <w:pPr>
              <w:pStyle w:val="18"/>
              <w:rPr>
                <w:lang w:val="en-US"/>
              </w:rPr>
            </w:pPr>
          </w:p>
        </w:tc>
      </w:tr>
      <w:tr w14:paraId="5C68A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65" w:hRule="atLeast"/>
          <w:jc w:val="center"/>
        </w:trPr>
        <w:tc>
          <w:tcPr>
            <w:tcW w:w="269" w:type="pct"/>
            <w:shd w:val="clear" w:color="auto" w:fill="auto"/>
            <w:noWrap/>
            <w:vAlign w:val="center"/>
          </w:tcPr>
          <w:p w14:paraId="15D96F91">
            <w:pPr>
              <w:pStyle w:val="18"/>
              <w:rPr>
                <w:lang w:val="en-US"/>
              </w:rPr>
            </w:pPr>
            <w:r>
              <w:rPr>
                <w:rFonts w:hint="eastAsia"/>
                <w:lang w:val="en-US"/>
              </w:rPr>
              <w:t>29</w:t>
            </w:r>
          </w:p>
        </w:tc>
        <w:tc>
          <w:tcPr>
            <w:tcW w:w="524" w:type="pct"/>
            <w:shd w:val="clear" w:color="auto" w:fill="auto"/>
            <w:noWrap/>
            <w:vAlign w:val="center"/>
          </w:tcPr>
          <w:p w14:paraId="1ED9072C">
            <w:pPr>
              <w:pStyle w:val="18"/>
              <w:rPr>
                <w:lang w:val="en-US"/>
              </w:rPr>
            </w:pPr>
            <w:r>
              <w:rPr>
                <w:rFonts w:hint="eastAsia"/>
                <w:lang w:val="en-US"/>
              </w:rPr>
              <w:t>打药机</w:t>
            </w:r>
          </w:p>
        </w:tc>
        <w:tc>
          <w:tcPr>
            <w:tcW w:w="621" w:type="pct"/>
            <w:shd w:val="clear" w:color="auto" w:fill="auto"/>
            <w:noWrap/>
            <w:vAlign w:val="center"/>
          </w:tcPr>
          <w:p w14:paraId="28691328">
            <w:pPr>
              <w:pStyle w:val="18"/>
              <w:rPr>
                <w:lang w:val="en-US"/>
              </w:rPr>
            </w:pPr>
            <w:r>
              <w:rPr>
                <w:rFonts w:hint="eastAsia"/>
                <w:lang w:val="en-US"/>
              </w:rPr>
              <w:t>3WEB—46</w:t>
            </w:r>
          </w:p>
        </w:tc>
        <w:tc>
          <w:tcPr>
            <w:tcW w:w="270" w:type="pct"/>
            <w:shd w:val="clear" w:color="auto" w:fill="auto"/>
            <w:noWrap/>
            <w:vAlign w:val="center"/>
          </w:tcPr>
          <w:p w14:paraId="312F0756">
            <w:pPr>
              <w:pStyle w:val="18"/>
              <w:rPr>
                <w:lang w:val="en-US"/>
              </w:rPr>
            </w:pPr>
            <w:r>
              <w:rPr>
                <w:rFonts w:hint="eastAsia"/>
                <w:lang w:val="en-US"/>
              </w:rPr>
              <w:t>24</w:t>
            </w:r>
          </w:p>
        </w:tc>
        <w:tc>
          <w:tcPr>
            <w:tcW w:w="270" w:type="pct"/>
            <w:shd w:val="clear" w:color="auto" w:fill="auto"/>
            <w:noWrap/>
            <w:vAlign w:val="center"/>
          </w:tcPr>
          <w:p w14:paraId="37DC794B">
            <w:pPr>
              <w:pStyle w:val="18"/>
              <w:rPr>
                <w:lang w:val="en-US"/>
              </w:rPr>
            </w:pPr>
            <w:r>
              <w:rPr>
                <w:rFonts w:hint="eastAsia"/>
                <w:lang w:val="en-US"/>
              </w:rPr>
              <w:t>国产</w:t>
            </w:r>
          </w:p>
        </w:tc>
        <w:tc>
          <w:tcPr>
            <w:tcW w:w="270" w:type="pct"/>
            <w:shd w:val="clear" w:color="auto" w:fill="auto"/>
            <w:noWrap/>
            <w:vAlign w:val="center"/>
          </w:tcPr>
          <w:p w14:paraId="3B2E0AE8">
            <w:pPr>
              <w:pStyle w:val="18"/>
              <w:rPr>
                <w:lang w:val="en-US"/>
              </w:rPr>
            </w:pPr>
            <w:r>
              <w:rPr>
                <w:rFonts w:hint="eastAsia"/>
                <w:lang w:val="en-US"/>
              </w:rPr>
              <w:t>2021</w:t>
            </w:r>
          </w:p>
        </w:tc>
        <w:tc>
          <w:tcPr>
            <w:tcW w:w="1100" w:type="pct"/>
            <w:shd w:val="clear" w:color="auto" w:fill="auto"/>
            <w:noWrap/>
            <w:vAlign w:val="center"/>
          </w:tcPr>
          <w:p w14:paraId="4553B7E5">
            <w:pPr>
              <w:pStyle w:val="18"/>
              <w:rPr>
                <w:lang w:val="en-US"/>
              </w:rPr>
            </w:pPr>
            <w:r>
              <w:rPr>
                <w:rFonts w:hint="eastAsia"/>
                <w:lang w:val="en-US"/>
              </w:rPr>
              <w:t>4.2kw</w:t>
            </w:r>
          </w:p>
        </w:tc>
        <w:tc>
          <w:tcPr>
            <w:tcW w:w="270" w:type="pct"/>
            <w:shd w:val="clear" w:color="auto" w:fill="auto"/>
            <w:noWrap/>
            <w:vAlign w:val="center"/>
          </w:tcPr>
          <w:p w14:paraId="3251231B">
            <w:pPr>
              <w:pStyle w:val="18"/>
              <w:rPr>
                <w:lang w:val="en-US"/>
              </w:rPr>
            </w:pPr>
            <w:r>
              <w:rPr>
                <w:rFonts w:hint="eastAsia"/>
                <w:lang w:val="en-US"/>
              </w:rPr>
              <w:t>良好</w:t>
            </w:r>
          </w:p>
        </w:tc>
        <w:tc>
          <w:tcPr>
            <w:tcW w:w="653" w:type="pct"/>
            <w:shd w:val="clear" w:color="auto" w:fill="auto"/>
            <w:noWrap/>
            <w:vAlign w:val="center"/>
          </w:tcPr>
          <w:p w14:paraId="0D599A3A">
            <w:pPr>
              <w:pStyle w:val="18"/>
              <w:rPr>
                <w:lang w:val="en-US"/>
              </w:rPr>
            </w:pPr>
            <w:r>
              <w:rPr>
                <w:rFonts w:hint="eastAsia"/>
                <w:lang w:val="en-US"/>
              </w:rPr>
              <w:t>绿化</w:t>
            </w:r>
          </w:p>
        </w:tc>
        <w:tc>
          <w:tcPr>
            <w:tcW w:w="749" w:type="pct"/>
            <w:shd w:val="clear" w:color="auto" w:fill="auto"/>
            <w:noWrap/>
            <w:vAlign w:val="center"/>
          </w:tcPr>
          <w:p w14:paraId="592418B1">
            <w:pPr>
              <w:pStyle w:val="18"/>
              <w:rPr>
                <w:lang w:val="en-US"/>
              </w:rPr>
            </w:pPr>
          </w:p>
        </w:tc>
      </w:tr>
    </w:tbl>
    <w:p w14:paraId="1EC6780A">
      <w:pPr>
        <w:pStyle w:val="18"/>
        <w:rPr>
          <w:lang w:val="en-US"/>
        </w:rPr>
      </w:pPr>
      <w:bookmarkStart w:id="10059" w:name="_Toc24475"/>
      <w:bookmarkStart w:id="10060" w:name="_Toc31890"/>
      <w:bookmarkStart w:id="10061" w:name="_Toc31343"/>
      <w:bookmarkStart w:id="10062" w:name="_Toc31215"/>
      <w:bookmarkStart w:id="10063" w:name="_Toc582"/>
      <w:bookmarkStart w:id="10064" w:name="_Toc26552"/>
      <w:bookmarkStart w:id="10065" w:name="_Toc3194"/>
      <w:bookmarkStart w:id="10066" w:name="_Toc29305"/>
      <w:bookmarkStart w:id="10067" w:name="_Toc224"/>
      <w:bookmarkStart w:id="10068" w:name="_Toc9864"/>
      <w:bookmarkStart w:id="10069" w:name="_Toc18428"/>
      <w:bookmarkStart w:id="10070" w:name="_Toc17754"/>
      <w:bookmarkStart w:id="10071" w:name="_Toc25082"/>
      <w:bookmarkStart w:id="10072" w:name="_Toc4021"/>
      <w:bookmarkStart w:id="10073" w:name="_Toc30745"/>
      <w:bookmarkStart w:id="10074" w:name="_Toc28682"/>
      <w:bookmarkStart w:id="10075" w:name="_Toc3120"/>
      <w:bookmarkStart w:id="10076" w:name="_Toc5721"/>
      <w:bookmarkStart w:id="10077" w:name="_Toc28104"/>
      <w:bookmarkStart w:id="10078" w:name="_Toc19511"/>
      <w:bookmarkStart w:id="10079" w:name="_Toc10456"/>
      <w:bookmarkStart w:id="10080" w:name="_Toc31182"/>
      <w:bookmarkStart w:id="10081" w:name="_Toc17516"/>
      <w:bookmarkStart w:id="10082" w:name="_Toc15634"/>
      <w:bookmarkStart w:id="10083" w:name="_Toc10647"/>
      <w:bookmarkStart w:id="10084" w:name="_Toc22552"/>
      <w:bookmarkStart w:id="10085" w:name="_Toc19795"/>
      <w:bookmarkStart w:id="10086" w:name="_Toc4405"/>
      <w:bookmarkStart w:id="10087" w:name="_Toc22026"/>
      <w:bookmarkStart w:id="10088" w:name="_Toc25291"/>
      <w:bookmarkStart w:id="10089" w:name="_Toc6559"/>
      <w:bookmarkStart w:id="10090" w:name="_Toc12273"/>
      <w:r>
        <w:rPr>
          <w:rFonts w:hint="eastAsia"/>
          <w:lang w:val="en-US"/>
        </w:rPr>
        <w:t>拟配备的试验和检测仪器设备表</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590"/>
        <w:gridCol w:w="3180"/>
        <w:gridCol w:w="2400"/>
        <w:gridCol w:w="660"/>
        <w:gridCol w:w="614"/>
        <w:gridCol w:w="617"/>
        <w:gridCol w:w="1151"/>
        <w:gridCol w:w="689"/>
        <w:gridCol w:w="591"/>
      </w:tblGrid>
      <w:tr w14:paraId="6EFCC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15" w:hRule="atLeast"/>
          <w:jc w:val="center"/>
        </w:trPr>
        <w:tc>
          <w:tcPr>
            <w:tcW w:w="327" w:type="pct"/>
            <w:shd w:val="clear" w:color="auto" w:fill="auto"/>
            <w:noWrap/>
            <w:vAlign w:val="center"/>
          </w:tcPr>
          <w:p w14:paraId="498E03D6">
            <w:pPr>
              <w:pStyle w:val="18"/>
            </w:pPr>
            <w:r>
              <w:rPr>
                <w:lang w:val="en-US"/>
              </w:rPr>
              <w:t>序号</w:t>
            </w:r>
          </w:p>
        </w:tc>
        <w:tc>
          <w:tcPr>
            <w:tcW w:w="1108" w:type="pct"/>
            <w:shd w:val="clear" w:color="auto" w:fill="auto"/>
            <w:noWrap/>
            <w:vAlign w:val="center"/>
          </w:tcPr>
          <w:p w14:paraId="4E74B538">
            <w:pPr>
              <w:pStyle w:val="18"/>
              <w:rPr>
                <w:lang w:val="en-US"/>
              </w:rPr>
            </w:pPr>
            <w:r>
              <w:rPr>
                <w:lang w:val="en-US"/>
              </w:rPr>
              <w:t>仪器</w:t>
            </w:r>
          </w:p>
          <w:p w14:paraId="3C82F8C6">
            <w:pPr>
              <w:pStyle w:val="18"/>
              <w:rPr>
                <w:lang w:val="en-US"/>
              </w:rPr>
            </w:pPr>
            <w:r>
              <w:rPr>
                <w:lang w:val="en-US"/>
              </w:rPr>
              <w:t>设备</w:t>
            </w:r>
          </w:p>
          <w:p w14:paraId="4DDCB216">
            <w:pPr>
              <w:pStyle w:val="18"/>
            </w:pPr>
            <w:r>
              <w:rPr>
                <w:lang w:val="en-US"/>
              </w:rPr>
              <w:t>名称</w:t>
            </w:r>
          </w:p>
        </w:tc>
        <w:tc>
          <w:tcPr>
            <w:tcW w:w="1262" w:type="pct"/>
            <w:shd w:val="clear" w:color="auto" w:fill="auto"/>
            <w:noWrap/>
            <w:vAlign w:val="center"/>
          </w:tcPr>
          <w:p w14:paraId="70E8F2C6">
            <w:pPr>
              <w:pStyle w:val="18"/>
              <w:rPr>
                <w:lang w:val="en-US"/>
              </w:rPr>
            </w:pPr>
            <w:r>
              <w:rPr>
                <w:lang w:val="en-US"/>
              </w:rPr>
              <w:t>型号</w:t>
            </w:r>
          </w:p>
          <w:p w14:paraId="3E8A7CDC">
            <w:pPr>
              <w:pStyle w:val="18"/>
            </w:pPr>
            <w:r>
              <w:rPr>
                <w:lang w:val="en-US"/>
              </w:rPr>
              <w:t>规格</w:t>
            </w:r>
          </w:p>
        </w:tc>
        <w:tc>
          <w:tcPr>
            <w:tcW w:w="367" w:type="pct"/>
            <w:shd w:val="clear" w:color="auto" w:fill="auto"/>
            <w:noWrap/>
            <w:vAlign w:val="center"/>
          </w:tcPr>
          <w:p w14:paraId="6AAA1C7E">
            <w:pPr>
              <w:pStyle w:val="18"/>
            </w:pPr>
            <w:r>
              <w:rPr>
                <w:lang w:val="en-US"/>
              </w:rPr>
              <w:t>数量</w:t>
            </w:r>
          </w:p>
        </w:tc>
        <w:tc>
          <w:tcPr>
            <w:tcW w:w="405" w:type="pct"/>
            <w:shd w:val="clear" w:color="auto" w:fill="auto"/>
            <w:noWrap/>
            <w:vAlign w:val="center"/>
          </w:tcPr>
          <w:p w14:paraId="29DB085E">
            <w:pPr>
              <w:pStyle w:val="18"/>
              <w:rPr>
                <w:lang w:val="en-US"/>
              </w:rPr>
            </w:pPr>
            <w:r>
              <w:rPr>
                <w:lang w:val="en-US"/>
              </w:rPr>
              <w:t>国别</w:t>
            </w:r>
          </w:p>
          <w:p w14:paraId="7224B4F0">
            <w:pPr>
              <w:pStyle w:val="18"/>
            </w:pPr>
            <w:r>
              <w:rPr>
                <w:lang w:val="en-US"/>
              </w:rPr>
              <w:t>产地</w:t>
            </w:r>
          </w:p>
        </w:tc>
        <w:tc>
          <w:tcPr>
            <w:tcW w:w="384" w:type="pct"/>
            <w:shd w:val="clear" w:color="auto" w:fill="auto"/>
            <w:noWrap/>
            <w:vAlign w:val="center"/>
          </w:tcPr>
          <w:p w14:paraId="62490562">
            <w:pPr>
              <w:pStyle w:val="18"/>
              <w:rPr>
                <w:lang w:val="en-US"/>
              </w:rPr>
            </w:pPr>
            <w:r>
              <w:rPr>
                <w:lang w:val="en-US"/>
              </w:rPr>
              <w:t>制造</w:t>
            </w:r>
          </w:p>
          <w:p w14:paraId="6356130A">
            <w:pPr>
              <w:pStyle w:val="18"/>
            </w:pPr>
            <w:r>
              <w:rPr>
                <w:lang w:val="en-US"/>
              </w:rPr>
              <w:t>年份</w:t>
            </w:r>
          </w:p>
        </w:tc>
        <w:tc>
          <w:tcPr>
            <w:tcW w:w="427" w:type="pct"/>
            <w:shd w:val="clear" w:color="auto" w:fill="auto"/>
            <w:noWrap/>
            <w:vAlign w:val="center"/>
          </w:tcPr>
          <w:p w14:paraId="4EE2FEE1">
            <w:pPr>
              <w:pStyle w:val="18"/>
              <w:rPr>
                <w:lang w:val="en-US"/>
              </w:rPr>
            </w:pPr>
            <w:r>
              <w:rPr>
                <w:lang w:val="en-US"/>
              </w:rPr>
              <w:t>己使用台</w:t>
            </w:r>
          </w:p>
          <w:p w14:paraId="1349C9CE">
            <w:pPr>
              <w:pStyle w:val="18"/>
            </w:pPr>
            <w:r>
              <w:rPr>
                <w:lang w:val="en-US"/>
              </w:rPr>
              <w:t>时数</w:t>
            </w:r>
          </w:p>
        </w:tc>
        <w:tc>
          <w:tcPr>
            <w:tcW w:w="418" w:type="pct"/>
            <w:shd w:val="clear" w:color="auto" w:fill="auto"/>
            <w:noWrap/>
            <w:vAlign w:val="center"/>
          </w:tcPr>
          <w:p w14:paraId="4161F51E">
            <w:pPr>
              <w:pStyle w:val="18"/>
            </w:pPr>
            <w:r>
              <w:rPr>
                <w:lang w:val="en-US"/>
              </w:rPr>
              <w:t>用途</w:t>
            </w:r>
          </w:p>
        </w:tc>
        <w:tc>
          <w:tcPr>
            <w:tcW w:w="296" w:type="pct"/>
            <w:shd w:val="clear" w:color="auto" w:fill="auto"/>
            <w:noWrap/>
            <w:vAlign w:val="center"/>
          </w:tcPr>
          <w:p w14:paraId="3D7D8458">
            <w:pPr>
              <w:pStyle w:val="18"/>
            </w:pPr>
            <w:r>
              <w:rPr>
                <w:lang w:val="en-US"/>
              </w:rPr>
              <w:t>备注</w:t>
            </w:r>
          </w:p>
        </w:tc>
      </w:tr>
      <w:tr w14:paraId="1E323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3C090D5F">
            <w:pPr>
              <w:pStyle w:val="18"/>
              <w:rPr>
                <w:lang w:val="en-US"/>
              </w:rPr>
            </w:pPr>
            <w:r>
              <w:rPr>
                <w:rFonts w:hint="eastAsia"/>
                <w:lang w:val="en-US"/>
              </w:rPr>
              <w:t>1</w:t>
            </w:r>
          </w:p>
        </w:tc>
        <w:tc>
          <w:tcPr>
            <w:tcW w:w="1108" w:type="pct"/>
            <w:shd w:val="clear" w:color="auto" w:fill="auto"/>
            <w:noWrap/>
            <w:vAlign w:val="center"/>
          </w:tcPr>
          <w:p w14:paraId="310DCD1A">
            <w:pPr>
              <w:pStyle w:val="18"/>
              <w:rPr>
                <w:lang w:val="en-US"/>
              </w:rPr>
            </w:pPr>
            <w:r>
              <w:rPr>
                <w:rFonts w:hint="eastAsia"/>
                <w:lang w:val="en-US"/>
              </w:rPr>
              <w:t>电子全站仪</w:t>
            </w:r>
          </w:p>
        </w:tc>
        <w:tc>
          <w:tcPr>
            <w:tcW w:w="1262" w:type="pct"/>
            <w:shd w:val="clear" w:color="auto" w:fill="auto"/>
            <w:noWrap/>
            <w:vAlign w:val="center"/>
          </w:tcPr>
          <w:p w14:paraId="326CAAAA">
            <w:pPr>
              <w:pStyle w:val="18"/>
              <w:rPr>
                <w:lang w:val="en-US"/>
              </w:rPr>
            </w:pPr>
            <w:r>
              <w:rPr>
                <w:rFonts w:hint="eastAsia"/>
                <w:lang w:val="en-US"/>
              </w:rPr>
              <w:t>TC-1700</w:t>
            </w:r>
          </w:p>
        </w:tc>
        <w:tc>
          <w:tcPr>
            <w:tcW w:w="367" w:type="pct"/>
            <w:shd w:val="clear" w:color="auto" w:fill="auto"/>
            <w:noWrap/>
            <w:vAlign w:val="center"/>
          </w:tcPr>
          <w:p w14:paraId="26F086B4">
            <w:pPr>
              <w:pStyle w:val="18"/>
              <w:rPr>
                <w:lang w:val="en-US"/>
              </w:rPr>
            </w:pPr>
            <w:r>
              <w:rPr>
                <w:rFonts w:hint="eastAsia"/>
                <w:lang w:val="en-US"/>
              </w:rPr>
              <w:t>1台</w:t>
            </w:r>
          </w:p>
        </w:tc>
        <w:tc>
          <w:tcPr>
            <w:tcW w:w="405" w:type="pct"/>
            <w:shd w:val="clear" w:color="auto" w:fill="auto"/>
            <w:noWrap/>
            <w:vAlign w:val="center"/>
          </w:tcPr>
          <w:p w14:paraId="58979BD1">
            <w:pPr>
              <w:pStyle w:val="18"/>
              <w:rPr>
                <w:lang w:val="en-US"/>
              </w:rPr>
            </w:pPr>
            <w:r>
              <w:rPr>
                <w:rFonts w:hint="eastAsia"/>
                <w:lang w:val="en-US"/>
              </w:rPr>
              <w:t>国产</w:t>
            </w:r>
          </w:p>
        </w:tc>
        <w:tc>
          <w:tcPr>
            <w:tcW w:w="384" w:type="pct"/>
            <w:shd w:val="clear" w:color="auto" w:fill="auto"/>
            <w:noWrap/>
            <w:vAlign w:val="center"/>
          </w:tcPr>
          <w:p w14:paraId="7A53D027">
            <w:pPr>
              <w:pStyle w:val="18"/>
              <w:rPr>
                <w:lang w:val="en-US"/>
              </w:rPr>
            </w:pPr>
            <w:r>
              <w:rPr>
                <w:rFonts w:hint="eastAsia"/>
                <w:lang w:val="en-US"/>
              </w:rPr>
              <w:t>2021</w:t>
            </w:r>
          </w:p>
        </w:tc>
        <w:tc>
          <w:tcPr>
            <w:tcW w:w="427" w:type="pct"/>
            <w:shd w:val="clear" w:color="auto" w:fill="auto"/>
            <w:noWrap/>
            <w:vAlign w:val="center"/>
          </w:tcPr>
          <w:p w14:paraId="6270B82B">
            <w:pPr>
              <w:pStyle w:val="18"/>
              <w:rPr>
                <w:lang w:val="en-US"/>
              </w:rPr>
            </w:pPr>
            <w:r>
              <w:rPr>
                <w:rFonts w:hint="eastAsia"/>
                <w:lang w:val="en-US"/>
              </w:rPr>
              <w:t>56h</w:t>
            </w:r>
          </w:p>
        </w:tc>
        <w:tc>
          <w:tcPr>
            <w:tcW w:w="418" w:type="pct"/>
            <w:shd w:val="clear" w:color="auto" w:fill="auto"/>
            <w:noWrap/>
            <w:vAlign w:val="center"/>
          </w:tcPr>
          <w:p w14:paraId="3A6F48C4">
            <w:pPr>
              <w:pStyle w:val="18"/>
              <w:rPr>
                <w:lang w:val="en-US"/>
              </w:rPr>
            </w:pPr>
            <w:r>
              <w:rPr>
                <w:rFonts w:hint="eastAsia"/>
                <w:lang w:val="en-US"/>
              </w:rPr>
              <w:t>测量</w:t>
            </w:r>
          </w:p>
        </w:tc>
        <w:tc>
          <w:tcPr>
            <w:tcW w:w="296" w:type="pct"/>
            <w:shd w:val="clear" w:color="auto" w:fill="auto"/>
            <w:noWrap/>
            <w:vAlign w:val="center"/>
          </w:tcPr>
          <w:p w14:paraId="2DC83129">
            <w:pPr>
              <w:pStyle w:val="18"/>
            </w:pPr>
          </w:p>
        </w:tc>
      </w:tr>
      <w:tr w14:paraId="0DFE5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72C9D207">
            <w:pPr>
              <w:pStyle w:val="18"/>
              <w:rPr>
                <w:lang w:val="en-US"/>
              </w:rPr>
            </w:pPr>
            <w:r>
              <w:rPr>
                <w:rFonts w:hint="eastAsia"/>
                <w:lang w:val="en-US"/>
              </w:rPr>
              <w:t>2</w:t>
            </w:r>
          </w:p>
        </w:tc>
        <w:tc>
          <w:tcPr>
            <w:tcW w:w="1108" w:type="pct"/>
            <w:shd w:val="clear" w:color="auto" w:fill="auto"/>
            <w:noWrap/>
            <w:vAlign w:val="center"/>
          </w:tcPr>
          <w:p w14:paraId="0A824DEC">
            <w:pPr>
              <w:pStyle w:val="18"/>
              <w:rPr>
                <w:lang w:val="en-US"/>
              </w:rPr>
            </w:pPr>
            <w:r>
              <w:rPr>
                <w:rFonts w:hint="eastAsia"/>
                <w:lang w:val="en-US"/>
              </w:rPr>
              <w:t>经纬仪</w:t>
            </w:r>
          </w:p>
        </w:tc>
        <w:tc>
          <w:tcPr>
            <w:tcW w:w="1262" w:type="pct"/>
            <w:shd w:val="clear" w:color="auto" w:fill="auto"/>
            <w:noWrap/>
            <w:vAlign w:val="center"/>
          </w:tcPr>
          <w:p w14:paraId="54C32A35">
            <w:pPr>
              <w:pStyle w:val="18"/>
              <w:rPr>
                <w:lang w:val="en-US"/>
              </w:rPr>
            </w:pPr>
            <w:r>
              <w:rPr>
                <w:rFonts w:hint="eastAsia"/>
                <w:lang w:val="en-US"/>
              </w:rPr>
              <w:t>TDJ2E</w:t>
            </w:r>
          </w:p>
        </w:tc>
        <w:tc>
          <w:tcPr>
            <w:tcW w:w="367" w:type="pct"/>
            <w:shd w:val="clear" w:color="auto" w:fill="auto"/>
            <w:noWrap/>
            <w:vAlign w:val="center"/>
          </w:tcPr>
          <w:p w14:paraId="33D690C9">
            <w:pPr>
              <w:pStyle w:val="18"/>
              <w:rPr>
                <w:lang w:val="en-US"/>
              </w:rPr>
            </w:pPr>
            <w:r>
              <w:rPr>
                <w:rFonts w:hint="eastAsia"/>
                <w:lang w:val="en-US"/>
              </w:rPr>
              <w:t>3台</w:t>
            </w:r>
          </w:p>
        </w:tc>
        <w:tc>
          <w:tcPr>
            <w:tcW w:w="405" w:type="pct"/>
            <w:shd w:val="clear" w:color="auto" w:fill="auto"/>
            <w:noWrap/>
            <w:vAlign w:val="center"/>
          </w:tcPr>
          <w:p w14:paraId="15FB6B20">
            <w:pPr>
              <w:pStyle w:val="18"/>
              <w:rPr>
                <w:lang w:val="en-US"/>
              </w:rPr>
            </w:pPr>
            <w:r>
              <w:rPr>
                <w:rFonts w:hint="eastAsia"/>
                <w:lang w:val="en-US"/>
              </w:rPr>
              <w:t>国产</w:t>
            </w:r>
          </w:p>
        </w:tc>
        <w:tc>
          <w:tcPr>
            <w:tcW w:w="384" w:type="pct"/>
            <w:shd w:val="clear" w:color="auto" w:fill="auto"/>
            <w:noWrap/>
            <w:vAlign w:val="center"/>
          </w:tcPr>
          <w:p w14:paraId="2EE67AF3">
            <w:pPr>
              <w:pStyle w:val="18"/>
              <w:rPr>
                <w:lang w:val="en-US"/>
              </w:rPr>
            </w:pPr>
            <w:r>
              <w:rPr>
                <w:rFonts w:hint="eastAsia"/>
                <w:lang w:val="en-US"/>
              </w:rPr>
              <w:t>2020</w:t>
            </w:r>
          </w:p>
        </w:tc>
        <w:tc>
          <w:tcPr>
            <w:tcW w:w="427" w:type="pct"/>
            <w:shd w:val="clear" w:color="auto" w:fill="auto"/>
            <w:noWrap/>
            <w:vAlign w:val="center"/>
          </w:tcPr>
          <w:p w14:paraId="28D23C87">
            <w:pPr>
              <w:pStyle w:val="18"/>
              <w:rPr>
                <w:lang w:val="en-US"/>
              </w:rPr>
            </w:pPr>
            <w:r>
              <w:rPr>
                <w:rFonts w:hint="eastAsia"/>
                <w:lang w:val="en-US"/>
              </w:rPr>
              <w:t>185h</w:t>
            </w:r>
          </w:p>
        </w:tc>
        <w:tc>
          <w:tcPr>
            <w:tcW w:w="418" w:type="pct"/>
            <w:shd w:val="clear" w:color="auto" w:fill="auto"/>
            <w:noWrap/>
            <w:vAlign w:val="center"/>
          </w:tcPr>
          <w:p w14:paraId="4039F2B8">
            <w:pPr>
              <w:pStyle w:val="18"/>
              <w:rPr>
                <w:lang w:val="en-US"/>
              </w:rPr>
            </w:pPr>
            <w:r>
              <w:rPr>
                <w:rFonts w:hint="eastAsia"/>
                <w:lang w:val="en-US"/>
              </w:rPr>
              <w:t>测量</w:t>
            </w:r>
          </w:p>
        </w:tc>
        <w:tc>
          <w:tcPr>
            <w:tcW w:w="296" w:type="pct"/>
            <w:shd w:val="clear" w:color="auto" w:fill="auto"/>
            <w:noWrap/>
            <w:vAlign w:val="center"/>
          </w:tcPr>
          <w:p w14:paraId="69D2F588">
            <w:pPr>
              <w:pStyle w:val="18"/>
            </w:pPr>
          </w:p>
        </w:tc>
      </w:tr>
      <w:tr w14:paraId="74009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5506B8EF">
            <w:pPr>
              <w:pStyle w:val="18"/>
              <w:rPr>
                <w:lang w:val="en-US"/>
              </w:rPr>
            </w:pPr>
            <w:r>
              <w:rPr>
                <w:rFonts w:hint="eastAsia"/>
                <w:lang w:val="en-US"/>
              </w:rPr>
              <w:t>3</w:t>
            </w:r>
          </w:p>
        </w:tc>
        <w:tc>
          <w:tcPr>
            <w:tcW w:w="1108" w:type="pct"/>
            <w:shd w:val="clear" w:color="auto" w:fill="auto"/>
            <w:noWrap/>
            <w:vAlign w:val="center"/>
          </w:tcPr>
          <w:p w14:paraId="29BAE4AF">
            <w:pPr>
              <w:pStyle w:val="18"/>
              <w:rPr>
                <w:lang w:val="en-US"/>
              </w:rPr>
            </w:pPr>
            <w:r>
              <w:rPr>
                <w:rFonts w:hint="eastAsia"/>
                <w:lang w:val="en-US"/>
              </w:rPr>
              <w:t>水准仪</w:t>
            </w:r>
          </w:p>
        </w:tc>
        <w:tc>
          <w:tcPr>
            <w:tcW w:w="1262" w:type="pct"/>
            <w:shd w:val="clear" w:color="auto" w:fill="auto"/>
            <w:noWrap/>
            <w:vAlign w:val="center"/>
          </w:tcPr>
          <w:p w14:paraId="7991B3EB">
            <w:pPr>
              <w:pStyle w:val="18"/>
              <w:rPr>
                <w:lang w:val="en-US"/>
              </w:rPr>
            </w:pPr>
            <w:r>
              <w:rPr>
                <w:rFonts w:hint="eastAsia"/>
                <w:lang w:val="en-US"/>
              </w:rPr>
              <w:t>DSZ2</w:t>
            </w:r>
          </w:p>
        </w:tc>
        <w:tc>
          <w:tcPr>
            <w:tcW w:w="367" w:type="pct"/>
            <w:shd w:val="clear" w:color="auto" w:fill="auto"/>
            <w:noWrap/>
            <w:vAlign w:val="center"/>
          </w:tcPr>
          <w:p w14:paraId="7E83029B">
            <w:pPr>
              <w:pStyle w:val="18"/>
              <w:rPr>
                <w:lang w:val="en-US"/>
              </w:rPr>
            </w:pPr>
            <w:r>
              <w:rPr>
                <w:rFonts w:hint="eastAsia"/>
                <w:lang w:val="en-US"/>
              </w:rPr>
              <w:t>5台</w:t>
            </w:r>
          </w:p>
        </w:tc>
        <w:tc>
          <w:tcPr>
            <w:tcW w:w="405" w:type="pct"/>
            <w:shd w:val="clear" w:color="auto" w:fill="auto"/>
            <w:noWrap/>
            <w:vAlign w:val="center"/>
          </w:tcPr>
          <w:p w14:paraId="4571108A">
            <w:pPr>
              <w:pStyle w:val="18"/>
            </w:pPr>
            <w:r>
              <w:rPr>
                <w:rFonts w:hint="eastAsia"/>
                <w:lang w:val="en-US"/>
              </w:rPr>
              <w:t>国产</w:t>
            </w:r>
          </w:p>
        </w:tc>
        <w:tc>
          <w:tcPr>
            <w:tcW w:w="384" w:type="pct"/>
            <w:shd w:val="clear" w:color="auto" w:fill="auto"/>
            <w:noWrap/>
            <w:vAlign w:val="center"/>
          </w:tcPr>
          <w:p w14:paraId="78F2A32F">
            <w:pPr>
              <w:pStyle w:val="18"/>
              <w:rPr>
                <w:lang w:val="en-US"/>
              </w:rPr>
            </w:pPr>
            <w:r>
              <w:rPr>
                <w:rFonts w:hint="eastAsia"/>
                <w:lang w:val="en-US"/>
              </w:rPr>
              <w:t>2021</w:t>
            </w:r>
          </w:p>
        </w:tc>
        <w:tc>
          <w:tcPr>
            <w:tcW w:w="427" w:type="pct"/>
            <w:shd w:val="clear" w:color="auto" w:fill="auto"/>
            <w:noWrap/>
            <w:vAlign w:val="center"/>
          </w:tcPr>
          <w:p w14:paraId="694036DC">
            <w:pPr>
              <w:pStyle w:val="18"/>
              <w:rPr>
                <w:lang w:val="en-US"/>
              </w:rPr>
            </w:pPr>
            <w:r>
              <w:rPr>
                <w:rFonts w:hint="eastAsia"/>
                <w:lang w:val="en-US"/>
              </w:rPr>
              <w:t>156h</w:t>
            </w:r>
          </w:p>
        </w:tc>
        <w:tc>
          <w:tcPr>
            <w:tcW w:w="418" w:type="pct"/>
            <w:shd w:val="clear" w:color="auto" w:fill="auto"/>
            <w:noWrap/>
            <w:vAlign w:val="center"/>
          </w:tcPr>
          <w:p w14:paraId="0998BA97">
            <w:pPr>
              <w:pStyle w:val="18"/>
              <w:rPr>
                <w:lang w:val="en-US"/>
              </w:rPr>
            </w:pPr>
            <w:r>
              <w:rPr>
                <w:rFonts w:hint="eastAsia"/>
                <w:lang w:val="en-US"/>
              </w:rPr>
              <w:t>测量</w:t>
            </w:r>
          </w:p>
        </w:tc>
        <w:tc>
          <w:tcPr>
            <w:tcW w:w="296" w:type="pct"/>
            <w:shd w:val="clear" w:color="auto" w:fill="auto"/>
            <w:noWrap/>
            <w:vAlign w:val="center"/>
          </w:tcPr>
          <w:p w14:paraId="4100F86A">
            <w:pPr>
              <w:pStyle w:val="18"/>
            </w:pPr>
          </w:p>
        </w:tc>
      </w:tr>
      <w:tr w14:paraId="4601E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67648FAD">
            <w:pPr>
              <w:pStyle w:val="18"/>
              <w:rPr>
                <w:lang w:val="en-US"/>
              </w:rPr>
            </w:pPr>
            <w:r>
              <w:rPr>
                <w:rFonts w:hint="eastAsia"/>
                <w:lang w:val="en-US"/>
              </w:rPr>
              <w:t>4</w:t>
            </w:r>
          </w:p>
        </w:tc>
        <w:tc>
          <w:tcPr>
            <w:tcW w:w="1108" w:type="pct"/>
            <w:shd w:val="clear" w:color="auto" w:fill="auto"/>
            <w:noWrap/>
            <w:vAlign w:val="center"/>
          </w:tcPr>
          <w:p w14:paraId="5AB5BB90">
            <w:pPr>
              <w:pStyle w:val="18"/>
              <w:rPr>
                <w:lang w:val="en-US"/>
              </w:rPr>
            </w:pPr>
            <w:r>
              <w:rPr>
                <w:rFonts w:hint="eastAsia"/>
                <w:lang w:val="en-US"/>
              </w:rPr>
              <w:t>塔尺</w:t>
            </w:r>
          </w:p>
        </w:tc>
        <w:tc>
          <w:tcPr>
            <w:tcW w:w="1262" w:type="pct"/>
            <w:shd w:val="clear" w:color="auto" w:fill="auto"/>
            <w:noWrap/>
            <w:vAlign w:val="center"/>
          </w:tcPr>
          <w:p w14:paraId="1F272489">
            <w:pPr>
              <w:pStyle w:val="18"/>
              <w:rPr>
                <w:lang w:val="en-US"/>
              </w:rPr>
            </w:pPr>
            <w:r>
              <w:rPr>
                <w:rFonts w:hint="eastAsia"/>
                <w:lang w:val="en-US"/>
              </w:rPr>
              <w:t>5m</w:t>
            </w:r>
          </w:p>
        </w:tc>
        <w:tc>
          <w:tcPr>
            <w:tcW w:w="367" w:type="pct"/>
            <w:shd w:val="clear" w:color="auto" w:fill="auto"/>
            <w:noWrap/>
            <w:vAlign w:val="center"/>
          </w:tcPr>
          <w:p w14:paraId="7A3B5018">
            <w:pPr>
              <w:pStyle w:val="18"/>
              <w:rPr>
                <w:lang w:val="en-US"/>
              </w:rPr>
            </w:pPr>
            <w:r>
              <w:rPr>
                <w:rFonts w:hint="eastAsia"/>
                <w:lang w:val="en-US"/>
              </w:rPr>
              <w:t>10把</w:t>
            </w:r>
          </w:p>
        </w:tc>
        <w:tc>
          <w:tcPr>
            <w:tcW w:w="405" w:type="pct"/>
            <w:shd w:val="clear" w:color="auto" w:fill="auto"/>
            <w:noWrap/>
            <w:vAlign w:val="center"/>
          </w:tcPr>
          <w:p w14:paraId="6D4344EE">
            <w:pPr>
              <w:pStyle w:val="18"/>
            </w:pPr>
            <w:r>
              <w:rPr>
                <w:rFonts w:hint="eastAsia"/>
                <w:lang w:val="en-US"/>
              </w:rPr>
              <w:t>国产</w:t>
            </w:r>
          </w:p>
        </w:tc>
        <w:tc>
          <w:tcPr>
            <w:tcW w:w="384" w:type="pct"/>
            <w:shd w:val="clear" w:color="auto" w:fill="auto"/>
            <w:noWrap/>
            <w:vAlign w:val="center"/>
          </w:tcPr>
          <w:p w14:paraId="4C21FAF7">
            <w:pPr>
              <w:pStyle w:val="18"/>
              <w:rPr>
                <w:lang w:val="en-US"/>
              </w:rPr>
            </w:pPr>
            <w:r>
              <w:rPr>
                <w:rFonts w:hint="eastAsia"/>
                <w:lang w:val="en-US"/>
              </w:rPr>
              <w:t>2021</w:t>
            </w:r>
          </w:p>
        </w:tc>
        <w:tc>
          <w:tcPr>
            <w:tcW w:w="427" w:type="pct"/>
            <w:shd w:val="clear" w:color="auto" w:fill="auto"/>
            <w:noWrap/>
            <w:vAlign w:val="center"/>
          </w:tcPr>
          <w:p w14:paraId="4BA7B2FC">
            <w:pPr>
              <w:pStyle w:val="18"/>
              <w:rPr>
                <w:lang w:val="en-US"/>
              </w:rPr>
            </w:pPr>
            <w:r>
              <w:rPr>
                <w:rFonts w:hint="eastAsia"/>
                <w:lang w:val="en-US"/>
              </w:rPr>
              <w:t>0h</w:t>
            </w:r>
          </w:p>
        </w:tc>
        <w:tc>
          <w:tcPr>
            <w:tcW w:w="418" w:type="pct"/>
            <w:shd w:val="clear" w:color="auto" w:fill="auto"/>
            <w:noWrap/>
            <w:vAlign w:val="center"/>
          </w:tcPr>
          <w:p w14:paraId="6D11BCF9">
            <w:pPr>
              <w:pStyle w:val="18"/>
              <w:rPr>
                <w:lang w:val="en-US"/>
              </w:rPr>
            </w:pPr>
            <w:r>
              <w:rPr>
                <w:rFonts w:hint="eastAsia"/>
                <w:lang w:val="en-US"/>
              </w:rPr>
              <w:t>测量</w:t>
            </w:r>
          </w:p>
        </w:tc>
        <w:tc>
          <w:tcPr>
            <w:tcW w:w="296" w:type="pct"/>
            <w:shd w:val="clear" w:color="auto" w:fill="auto"/>
            <w:noWrap/>
            <w:vAlign w:val="center"/>
          </w:tcPr>
          <w:p w14:paraId="2C8594D3">
            <w:pPr>
              <w:pStyle w:val="18"/>
            </w:pPr>
          </w:p>
        </w:tc>
      </w:tr>
      <w:tr w14:paraId="27FBD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2880E5E3">
            <w:pPr>
              <w:pStyle w:val="18"/>
              <w:rPr>
                <w:lang w:val="en-US"/>
              </w:rPr>
            </w:pPr>
            <w:r>
              <w:rPr>
                <w:rFonts w:hint="eastAsia"/>
                <w:lang w:val="en-US"/>
              </w:rPr>
              <w:t>5</w:t>
            </w:r>
          </w:p>
        </w:tc>
        <w:tc>
          <w:tcPr>
            <w:tcW w:w="1108" w:type="pct"/>
            <w:shd w:val="clear" w:color="auto" w:fill="auto"/>
            <w:noWrap/>
            <w:vAlign w:val="center"/>
          </w:tcPr>
          <w:p w14:paraId="4A34B41E">
            <w:pPr>
              <w:pStyle w:val="18"/>
              <w:rPr>
                <w:lang w:val="en-US"/>
              </w:rPr>
            </w:pPr>
            <w:r>
              <w:rPr>
                <w:rFonts w:hint="eastAsia"/>
                <w:lang w:val="en-US"/>
              </w:rPr>
              <w:t>反射接收靶</w:t>
            </w:r>
          </w:p>
        </w:tc>
        <w:tc>
          <w:tcPr>
            <w:tcW w:w="1262" w:type="pct"/>
            <w:shd w:val="clear" w:color="auto" w:fill="auto"/>
            <w:noWrap/>
            <w:vAlign w:val="center"/>
          </w:tcPr>
          <w:p w14:paraId="728AAED6">
            <w:pPr>
              <w:pStyle w:val="18"/>
              <w:rPr>
                <w:lang w:val="en-US"/>
              </w:rPr>
            </w:pPr>
            <w:r>
              <w:rPr>
                <w:rFonts w:hint="eastAsia"/>
                <w:lang w:val="en-US"/>
              </w:rPr>
              <w:t>100*100</w:t>
            </w:r>
          </w:p>
        </w:tc>
        <w:tc>
          <w:tcPr>
            <w:tcW w:w="367" w:type="pct"/>
            <w:shd w:val="clear" w:color="auto" w:fill="auto"/>
            <w:noWrap/>
            <w:vAlign w:val="center"/>
          </w:tcPr>
          <w:p w14:paraId="4E7BDD15">
            <w:pPr>
              <w:pStyle w:val="18"/>
              <w:rPr>
                <w:lang w:val="en-US"/>
              </w:rPr>
            </w:pPr>
            <w:r>
              <w:rPr>
                <w:rFonts w:hint="eastAsia"/>
                <w:lang w:val="en-US"/>
              </w:rPr>
              <w:t>4把</w:t>
            </w:r>
          </w:p>
        </w:tc>
        <w:tc>
          <w:tcPr>
            <w:tcW w:w="405" w:type="pct"/>
            <w:shd w:val="clear" w:color="auto" w:fill="auto"/>
            <w:noWrap/>
            <w:vAlign w:val="center"/>
          </w:tcPr>
          <w:p w14:paraId="4579AB6F">
            <w:pPr>
              <w:pStyle w:val="18"/>
            </w:pPr>
            <w:r>
              <w:rPr>
                <w:rFonts w:hint="eastAsia"/>
                <w:lang w:val="en-US"/>
              </w:rPr>
              <w:t>国产</w:t>
            </w:r>
          </w:p>
        </w:tc>
        <w:tc>
          <w:tcPr>
            <w:tcW w:w="384" w:type="pct"/>
            <w:shd w:val="clear" w:color="auto" w:fill="auto"/>
            <w:noWrap/>
            <w:vAlign w:val="center"/>
          </w:tcPr>
          <w:p w14:paraId="0BB189EC">
            <w:pPr>
              <w:pStyle w:val="18"/>
              <w:rPr>
                <w:lang w:val="en-US"/>
              </w:rPr>
            </w:pPr>
            <w:r>
              <w:rPr>
                <w:rFonts w:hint="eastAsia"/>
                <w:lang w:val="en-US"/>
              </w:rPr>
              <w:t>2020</w:t>
            </w:r>
          </w:p>
        </w:tc>
        <w:tc>
          <w:tcPr>
            <w:tcW w:w="427" w:type="pct"/>
            <w:shd w:val="clear" w:color="auto" w:fill="auto"/>
            <w:noWrap/>
            <w:vAlign w:val="center"/>
          </w:tcPr>
          <w:p w14:paraId="49AE0B13">
            <w:pPr>
              <w:pStyle w:val="18"/>
              <w:rPr>
                <w:lang w:val="en-US"/>
              </w:rPr>
            </w:pPr>
            <w:r>
              <w:rPr>
                <w:rFonts w:hint="eastAsia"/>
                <w:lang w:val="en-US"/>
              </w:rPr>
              <w:t>26h</w:t>
            </w:r>
          </w:p>
        </w:tc>
        <w:tc>
          <w:tcPr>
            <w:tcW w:w="418" w:type="pct"/>
            <w:shd w:val="clear" w:color="auto" w:fill="auto"/>
            <w:noWrap/>
            <w:vAlign w:val="center"/>
          </w:tcPr>
          <w:p w14:paraId="798CB694">
            <w:pPr>
              <w:pStyle w:val="18"/>
            </w:pPr>
            <w:r>
              <w:rPr>
                <w:rFonts w:hint="eastAsia"/>
                <w:lang w:val="en-US"/>
              </w:rPr>
              <w:t>测量</w:t>
            </w:r>
          </w:p>
        </w:tc>
        <w:tc>
          <w:tcPr>
            <w:tcW w:w="296" w:type="pct"/>
            <w:shd w:val="clear" w:color="auto" w:fill="auto"/>
            <w:noWrap/>
            <w:vAlign w:val="center"/>
          </w:tcPr>
          <w:p w14:paraId="41D92F5B">
            <w:pPr>
              <w:pStyle w:val="18"/>
            </w:pPr>
          </w:p>
        </w:tc>
      </w:tr>
      <w:tr w14:paraId="01997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7ED58C7D">
            <w:pPr>
              <w:pStyle w:val="18"/>
              <w:rPr>
                <w:lang w:val="en-US"/>
              </w:rPr>
            </w:pPr>
            <w:r>
              <w:rPr>
                <w:rFonts w:hint="eastAsia"/>
                <w:lang w:val="en-US"/>
              </w:rPr>
              <w:t>6</w:t>
            </w:r>
          </w:p>
        </w:tc>
        <w:tc>
          <w:tcPr>
            <w:tcW w:w="1108" w:type="pct"/>
            <w:shd w:val="clear" w:color="auto" w:fill="auto"/>
            <w:noWrap/>
            <w:vAlign w:val="center"/>
          </w:tcPr>
          <w:p w14:paraId="63C61B2E">
            <w:pPr>
              <w:pStyle w:val="18"/>
              <w:rPr>
                <w:lang w:val="en-US"/>
              </w:rPr>
            </w:pPr>
            <w:r>
              <w:rPr>
                <w:rFonts w:hint="eastAsia"/>
                <w:lang w:val="en-US"/>
              </w:rPr>
              <w:t>大盘尺</w:t>
            </w:r>
          </w:p>
        </w:tc>
        <w:tc>
          <w:tcPr>
            <w:tcW w:w="1262" w:type="pct"/>
            <w:shd w:val="clear" w:color="auto" w:fill="auto"/>
            <w:noWrap/>
            <w:vAlign w:val="center"/>
          </w:tcPr>
          <w:p w14:paraId="68B4D17A">
            <w:pPr>
              <w:pStyle w:val="18"/>
              <w:rPr>
                <w:lang w:val="en-US"/>
              </w:rPr>
            </w:pPr>
            <w:r>
              <w:rPr>
                <w:rFonts w:hint="eastAsia"/>
                <w:lang w:val="en-US"/>
              </w:rPr>
              <w:t>50m</w:t>
            </w:r>
          </w:p>
        </w:tc>
        <w:tc>
          <w:tcPr>
            <w:tcW w:w="367" w:type="pct"/>
            <w:shd w:val="clear" w:color="auto" w:fill="auto"/>
            <w:noWrap/>
            <w:vAlign w:val="center"/>
          </w:tcPr>
          <w:p w14:paraId="7E1D3441">
            <w:pPr>
              <w:pStyle w:val="18"/>
              <w:rPr>
                <w:lang w:val="en-US"/>
              </w:rPr>
            </w:pPr>
            <w:r>
              <w:rPr>
                <w:rFonts w:hint="eastAsia"/>
                <w:lang w:val="en-US"/>
              </w:rPr>
              <w:t>6把</w:t>
            </w:r>
          </w:p>
        </w:tc>
        <w:tc>
          <w:tcPr>
            <w:tcW w:w="405" w:type="pct"/>
            <w:shd w:val="clear" w:color="auto" w:fill="auto"/>
            <w:noWrap/>
            <w:vAlign w:val="center"/>
          </w:tcPr>
          <w:p w14:paraId="2D3B9CBC">
            <w:pPr>
              <w:pStyle w:val="18"/>
            </w:pPr>
            <w:r>
              <w:rPr>
                <w:rFonts w:hint="eastAsia"/>
                <w:lang w:val="en-US"/>
              </w:rPr>
              <w:t>国产</w:t>
            </w:r>
          </w:p>
        </w:tc>
        <w:tc>
          <w:tcPr>
            <w:tcW w:w="384" w:type="pct"/>
            <w:shd w:val="clear" w:color="auto" w:fill="auto"/>
            <w:noWrap/>
            <w:vAlign w:val="center"/>
          </w:tcPr>
          <w:p w14:paraId="68C0F145">
            <w:pPr>
              <w:pStyle w:val="18"/>
              <w:rPr>
                <w:lang w:val="en-US"/>
              </w:rPr>
            </w:pPr>
            <w:r>
              <w:rPr>
                <w:rFonts w:hint="eastAsia"/>
                <w:lang w:val="en-US"/>
              </w:rPr>
              <w:t>2021</w:t>
            </w:r>
          </w:p>
        </w:tc>
        <w:tc>
          <w:tcPr>
            <w:tcW w:w="427" w:type="pct"/>
            <w:shd w:val="clear" w:color="auto" w:fill="auto"/>
            <w:noWrap/>
            <w:vAlign w:val="center"/>
          </w:tcPr>
          <w:p w14:paraId="13EF604F">
            <w:pPr>
              <w:pStyle w:val="18"/>
              <w:rPr>
                <w:lang w:val="en-US"/>
              </w:rPr>
            </w:pPr>
            <w:r>
              <w:rPr>
                <w:rFonts w:hint="eastAsia"/>
                <w:lang w:val="en-US"/>
              </w:rPr>
              <w:t>8h</w:t>
            </w:r>
          </w:p>
        </w:tc>
        <w:tc>
          <w:tcPr>
            <w:tcW w:w="418" w:type="pct"/>
            <w:shd w:val="clear" w:color="auto" w:fill="auto"/>
            <w:noWrap/>
            <w:vAlign w:val="center"/>
          </w:tcPr>
          <w:p w14:paraId="646EC0EF">
            <w:pPr>
              <w:pStyle w:val="18"/>
            </w:pPr>
            <w:r>
              <w:rPr>
                <w:rFonts w:hint="eastAsia"/>
                <w:lang w:val="en-US"/>
              </w:rPr>
              <w:t>测量</w:t>
            </w:r>
          </w:p>
        </w:tc>
        <w:tc>
          <w:tcPr>
            <w:tcW w:w="296" w:type="pct"/>
            <w:shd w:val="clear" w:color="auto" w:fill="auto"/>
            <w:noWrap/>
            <w:vAlign w:val="center"/>
          </w:tcPr>
          <w:p w14:paraId="653A0B65">
            <w:pPr>
              <w:pStyle w:val="18"/>
            </w:pPr>
          </w:p>
        </w:tc>
      </w:tr>
      <w:tr w14:paraId="4A04A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2B28E248">
            <w:pPr>
              <w:pStyle w:val="18"/>
              <w:rPr>
                <w:lang w:val="en-US"/>
              </w:rPr>
            </w:pPr>
            <w:r>
              <w:rPr>
                <w:rFonts w:hint="eastAsia"/>
                <w:lang w:val="en-US"/>
              </w:rPr>
              <w:t>7</w:t>
            </w:r>
          </w:p>
        </w:tc>
        <w:tc>
          <w:tcPr>
            <w:tcW w:w="1108" w:type="pct"/>
            <w:shd w:val="clear" w:color="auto" w:fill="auto"/>
            <w:noWrap/>
            <w:vAlign w:val="center"/>
          </w:tcPr>
          <w:p w14:paraId="4FEA42E6">
            <w:pPr>
              <w:pStyle w:val="18"/>
              <w:rPr>
                <w:lang w:val="en-US"/>
              </w:rPr>
            </w:pPr>
            <w:r>
              <w:rPr>
                <w:rFonts w:hint="eastAsia"/>
                <w:lang w:val="en-US"/>
              </w:rPr>
              <w:t>卷尺</w:t>
            </w:r>
          </w:p>
        </w:tc>
        <w:tc>
          <w:tcPr>
            <w:tcW w:w="1262" w:type="pct"/>
            <w:shd w:val="clear" w:color="auto" w:fill="auto"/>
            <w:noWrap/>
            <w:vAlign w:val="center"/>
          </w:tcPr>
          <w:p w14:paraId="020F56E1">
            <w:pPr>
              <w:pStyle w:val="18"/>
              <w:rPr>
                <w:lang w:val="en-US"/>
              </w:rPr>
            </w:pPr>
            <w:r>
              <w:rPr>
                <w:rFonts w:hint="eastAsia"/>
                <w:lang w:val="en-US"/>
              </w:rPr>
              <w:t>5m</w:t>
            </w:r>
          </w:p>
        </w:tc>
        <w:tc>
          <w:tcPr>
            <w:tcW w:w="367" w:type="pct"/>
            <w:shd w:val="clear" w:color="auto" w:fill="auto"/>
            <w:noWrap/>
            <w:vAlign w:val="center"/>
          </w:tcPr>
          <w:p w14:paraId="496389AC">
            <w:pPr>
              <w:pStyle w:val="18"/>
              <w:rPr>
                <w:lang w:val="en-US"/>
              </w:rPr>
            </w:pPr>
            <w:r>
              <w:rPr>
                <w:rFonts w:hint="eastAsia"/>
                <w:lang w:val="en-US"/>
              </w:rPr>
              <w:t>20把</w:t>
            </w:r>
          </w:p>
        </w:tc>
        <w:tc>
          <w:tcPr>
            <w:tcW w:w="405" w:type="pct"/>
            <w:shd w:val="clear" w:color="auto" w:fill="auto"/>
            <w:noWrap/>
            <w:vAlign w:val="center"/>
          </w:tcPr>
          <w:p w14:paraId="5862CD44">
            <w:pPr>
              <w:pStyle w:val="18"/>
            </w:pPr>
            <w:r>
              <w:rPr>
                <w:rFonts w:hint="eastAsia"/>
                <w:lang w:val="en-US"/>
              </w:rPr>
              <w:t>国产</w:t>
            </w:r>
          </w:p>
        </w:tc>
        <w:tc>
          <w:tcPr>
            <w:tcW w:w="384" w:type="pct"/>
            <w:shd w:val="clear" w:color="auto" w:fill="auto"/>
            <w:noWrap/>
            <w:vAlign w:val="center"/>
          </w:tcPr>
          <w:p w14:paraId="4D4BDE74">
            <w:pPr>
              <w:pStyle w:val="18"/>
              <w:rPr>
                <w:lang w:val="en-US"/>
              </w:rPr>
            </w:pPr>
            <w:r>
              <w:rPr>
                <w:rFonts w:hint="eastAsia"/>
                <w:lang w:val="en-US"/>
              </w:rPr>
              <w:t>2022</w:t>
            </w:r>
          </w:p>
        </w:tc>
        <w:tc>
          <w:tcPr>
            <w:tcW w:w="427" w:type="pct"/>
            <w:shd w:val="clear" w:color="auto" w:fill="auto"/>
            <w:noWrap/>
            <w:vAlign w:val="center"/>
          </w:tcPr>
          <w:p w14:paraId="58C68BB7">
            <w:pPr>
              <w:pStyle w:val="18"/>
              <w:rPr>
                <w:lang w:val="en-US"/>
              </w:rPr>
            </w:pPr>
            <w:r>
              <w:rPr>
                <w:rFonts w:hint="eastAsia"/>
                <w:lang w:val="en-US"/>
              </w:rPr>
              <w:t>0h</w:t>
            </w:r>
          </w:p>
        </w:tc>
        <w:tc>
          <w:tcPr>
            <w:tcW w:w="418" w:type="pct"/>
            <w:shd w:val="clear" w:color="auto" w:fill="auto"/>
            <w:noWrap/>
            <w:vAlign w:val="center"/>
          </w:tcPr>
          <w:p w14:paraId="4F25858B">
            <w:pPr>
              <w:pStyle w:val="18"/>
            </w:pPr>
            <w:r>
              <w:rPr>
                <w:rFonts w:hint="eastAsia"/>
                <w:lang w:val="en-US"/>
              </w:rPr>
              <w:t>测量</w:t>
            </w:r>
          </w:p>
        </w:tc>
        <w:tc>
          <w:tcPr>
            <w:tcW w:w="296" w:type="pct"/>
            <w:shd w:val="clear" w:color="auto" w:fill="auto"/>
            <w:noWrap/>
            <w:vAlign w:val="center"/>
          </w:tcPr>
          <w:p w14:paraId="351D404F">
            <w:pPr>
              <w:pStyle w:val="18"/>
            </w:pPr>
          </w:p>
        </w:tc>
      </w:tr>
      <w:tr w14:paraId="6A9CB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120CDB2B">
            <w:pPr>
              <w:pStyle w:val="18"/>
              <w:rPr>
                <w:lang w:val="en-US"/>
              </w:rPr>
            </w:pPr>
            <w:r>
              <w:rPr>
                <w:rFonts w:hint="eastAsia"/>
                <w:lang w:val="en-US"/>
              </w:rPr>
              <w:t>8</w:t>
            </w:r>
          </w:p>
        </w:tc>
        <w:tc>
          <w:tcPr>
            <w:tcW w:w="1108" w:type="pct"/>
            <w:shd w:val="clear" w:color="auto" w:fill="auto"/>
            <w:noWrap/>
            <w:vAlign w:val="center"/>
          </w:tcPr>
          <w:p w14:paraId="7E75CB40">
            <w:pPr>
              <w:pStyle w:val="18"/>
              <w:rPr>
                <w:lang w:val="en-US"/>
              </w:rPr>
            </w:pPr>
            <w:r>
              <w:rPr>
                <w:rFonts w:hint="eastAsia"/>
                <w:lang w:val="en-US"/>
              </w:rPr>
              <w:t>三脚架</w:t>
            </w:r>
          </w:p>
        </w:tc>
        <w:tc>
          <w:tcPr>
            <w:tcW w:w="1262" w:type="pct"/>
            <w:shd w:val="clear" w:color="auto" w:fill="auto"/>
            <w:noWrap/>
            <w:vAlign w:val="center"/>
          </w:tcPr>
          <w:p w14:paraId="7FB17067">
            <w:pPr>
              <w:pStyle w:val="18"/>
              <w:rPr>
                <w:lang w:val="en-US"/>
              </w:rPr>
            </w:pPr>
            <w:r>
              <w:rPr>
                <w:rFonts w:hint="eastAsia"/>
                <w:lang w:val="en-US"/>
              </w:rPr>
              <w:t>通用</w:t>
            </w:r>
          </w:p>
        </w:tc>
        <w:tc>
          <w:tcPr>
            <w:tcW w:w="367" w:type="pct"/>
            <w:shd w:val="clear" w:color="auto" w:fill="auto"/>
            <w:noWrap/>
            <w:vAlign w:val="center"/>
          </w:tcPr>
          <w:p w14:paraId="4C8EC360">
            <w:pPr>
              <w:pStyle w:val="18"/>
              <w:rPr>
                <w:lang w:val="en-US"/>
              </w:rPr>
            </w:pPr>
            <w:r>
              <w:rPr>
                <w:rFonts w:hint="eastAsia"/>
                <w:lang w:val="en-US"/>
              </w:rPr>
              <w:t>16架</w:t>
            </w:r>
          </w:p>
        </w:tc>
        <w:tc>
          <w:tcPr>
            <w:tcW w:w="405" w:type="pct"/>
            <w:shd w:val="clear" w:color="auto" w:fill="auto"/>
            <w:noWrap/>
            <w:vAlign w:val="center"/>
          </w:tcPr>
          <w:p w14:paraId="2F5717DB">
            <w:pPr>
              <w:pStyle w:val="18"/>
            </w:pPr>
            <w:r>
              <w:rPr>
                <w:rFonts w:hint="eastAsia"/>
                <w:lang w:val="en-US"/>
              </w:rPr>
              <w:t>国产</w:t>
            </w:r>
          </w:p>
        </w:tc>
        <w:tc>
          <w:tcPr>
            <w:tcW w:w="384" w:type="pct"/>
            <w:shd w:val="clear" w:color="auto" w:fill="auto"/>
            <w:noWrap/>
            <w:vAlign w:val="center"/>
          </w:tcPr>
          <w:p w14:paraId="57445ED0">
            <w:pPr>
              <w:pStyle w:val="18"/>
              <w:rPr>
                <w:lang w:val="en-US"/>
              </w:rPr>
            </w:pPr>
            <w:r>
              <w:rPr>
                <w:rFonts w:hint="eastAsia"/>
                <w:lang w:val="en-US"/>
              </w:rPr>
              <w:t>2020</w:t>
            </w:r>
          </w:p>
        </w:tc>
        <w:tc>
          <w:tcPr>
            <w:tcW w:w="427" w:type="pct"/>
            <w:shd w:val="clear" w:color="auto" w:fill="auto"/>
            <w:noWrap/>
            <w:vAlign w:val="center"/>
          </w:tcPr>
          <w:p w14:paraId="293E6163">
            <w:pPr>
              <w:pStyle w:val="18"/>
              <w:rPr>
                <w:lang w:val="en-US"/>
              </w:rPr>
            </w:pPr>
            <w:r>
              <w:rPr>
                <w:rFonts w:hint="eastAsia"/>
                <w:lang w:val="en-US"/>
              </w:rPr>
              <w:t>48h</w:t>
            </w:r>
          </w:p>
        </w:tc>
        <w:tc>
          <w:tcPr>
            <w:tcW w:w="418" w:type="pct"/>
            <w:shd w:val="clear" w:color="auto" w:fill="auto"/>
            <w:noWrap/>
            <w:vAlign w:val="center"/>
          </w:tcPr>
          <w:p w14:paraId="22652D2A">
            <w:pPr>
              <w:pStyle w:val="18"/>
            </w:pPr>
            <w:r>
              <w:rPr>
                <w:rFonts w:hint="eastAsia"/>
                <w:lang w:val="en-US"/>
              </w:rPr>
              <w:t>测量</w:t>
            </w:r>
          </w:p>
        </w:tc>
        <w:tc>
          <w:tcPr>
            <w:tcW w:w="296" w:type="pct"/>
            <w:shd w:val="clear" w:color="auto" w:fill="auto"/>
            <w:noWrap/>
            <w:vAlign w:val="center"/>
          </w:tcPr>
          <w:p w14:paraId="55BE9C54">
            <w:pPr>
              <w:pStyle w:val="18"/>
            </w:pPr>
          </w:p>
        </w:tc>
      </w:tr>
      <w:tr w14:paraId="1988D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20" w:hRule="atLeast"/>
          <w:jc w:val="center"/>
        </w:trPr>
        <w:tc>
          <w:tcPr>
            <w:tcW w:w="327" w:type="pct"/>
            <w:shd w:val="clear" w:color="auto" w:fill="auto"/>
            <w:noWrap/>
            <w:vAlign w:val="center"/>
          </w:tcPr>
          <w:p w14:paraId="5DACF1C2">
            <w:pPr>
              <w:pStyle w:val="18"/>
              <w:rPr>
                <w:lang w:val="en-US"/>
              </w:rPr>
            </w:pPr>
            <w:r>
              <w:rPr>
                <w:rFonts w:hint="eastAsia"/>
                <w:lang w:val="en-US"/>
              </w:rPr>
              <w:t>9</w:t>
            </w:r>
          </w:p>
        </w:tc>
        <w:tc>
          <w:tcPr>
            <w:tcW w:w="1108" w:type="pct"/>
            <w:shd w:val="clear" w:color="auto" w:fill="auto"/>
            <w:noWrap/>
            <w:vAlign w:val="center"/>
          </w:tcPr>
          <w:p w14:paraId="236D3F5B">
            <w:pPr>
              <w:pStyle w:val="18"/>
              <w:rPr>
                <w:lang w:val="en-US"/>
              </w:rPr>
            </w:pPr>
            <w:r>
              <w:rPr>
                <w:rFonts w:hint="eastAsia"/>
                <w:lang w:val="en-US"/>
              </w:rPr>
              <w:t>激光反射贴</w:t>
            </w:r>
          </w:p>
        </w:tc>
        <w:tc>
          <w:tcPr>
            <w:tcW w:w="1262" w:type="pct"/>
            <w:shd w:val="clear" w:color="auto" w:fill="auto"/>
            <w:noWrap/>
            <w:vAlign w:val="center"/>
          </w:tcPr>
          <w:p w14:paraId="42330941">
            <w:pPr>
              <w:pStyle w:val="18"/>
              <w:rPr>
                <w:lang w:val="en-US"/>
              </w:rPr>
            </w:pPr>
            <w:r>
              <w:rPr>
                <w:rFonts w:hint="eastAsia"/>
                <w:lang w:val="en-US"/>
              </w:rPr>
              <w:t>20*20</w:t>
            </w:r>
          </w:p>
        </w:tc>
        <w:tc>
          <w:tcPr>
            <w:tcW w:w="367" w:type="pct"/>
            <w:shd w:val="clear" w:color="auto" w:fill="auto"/>
            <w:noWrap/>
            <w:vAlign w:val="center"/>
          </w:tcPr>
          <w:p w14:paraId="4888B697">
            <w:pPr>
              <w:pStyle w:val="18"/>
              <w:rPr>
                <w:lang w:val="en-US"/>
              </w:rPr>
            </w:pPr>
            <w:r>
              <w:rPr>
                <w:rFonts w:hint="eastAsia"/>
                <w:lang w:val="en-US"/>
              </w:rPr>
              <w:t>10片</w:t>
            </w:r>
          </w:p>
        </w:tc>
        <w:tc>
          <w:tcPr>
            <w:tcW w:w="405" w:type="pct"/>
            <w:shd w:val="clear" w:color="auto" w:fill="auto"/>
            <w:noWrap/>
            <w:vAlign w:val="center"/>
          </w:tcPr>
          <w:p w14:paraId="49D83897">
            <w:pPr>
              <w:pStyle w:val="18"/>
            </w:pPr>
            <w:r>
              <w:rPr>
                <w:rFonts w:hint="eastAsia"/>
                <w:lang w:val="en-US"/>
              </w:rPr>
              <w:t>国产</w:t>
            </w:r>
          </w:p>
        </w:tc>
        <w:tc>
          <w:tcPr>
            <w:tcW w:w="384" w:type="pct"/>
            <w:shd w:val="clear" w:color="auto" w:fill="auto"/>
            <w:noWrap/>
            <w:vAlign w:val="center"/>
          </w:tcPr>
          <w:p w14:paraId="1E7C87ED">
            <w:pPr>
              <w:pStyle w:val="18"/>
              <w:rPr>
                <w:lang w:val="en-US"/>
              </w:rPr>
            </w:pPr>
            <w:r>
              <w:rPr>
                <w:rFonts w:hint="eastAsia"/>
                <w:lang w:val="en-US"/>
              </w:rPr>
              <w:t>2022</w:t>
            </w:r>
          </w:p>
        </w:tc>
        <w:tc>
          <w:tcPr>
            <w:tcW w:w="427" w:type="pct"/>
            <w:shd w:val="clear" w:color="auto" w:fill="auto"/>
            <w:noWrap/>
            <w:vAlign w:val="center"/>
          </w:tcPr>
          <w:p w14:paraId="506CD23C">
            <w:pPr>
              <w:pStyle w:val="18"/>
              <w:rPr>
                <w:lang w:val="en-US"/>
              </w:rPr>
            </w:pPr>
            <w:r>
              <w:rPr>
                <w:rFonts w:hint="eastAsia"/>
                <w:lang w:val="en-US"/>
              </w:rPr>
              <w:t>0h</w:t>
            </w:r>
          </w:p>
        </w:tc>
        <w:tc>
          <w:tcPr>
            <w:tcW w:w="418" w:type="pct"/>
            <w:shd w:val="clear" w:color="auto" w:fill="auto"/>
            <w:noWrap/>
            <w:vAlign w:val="center"/>
          </w:tcPr>
          <w:p w14:paraId="3B2196C5">
            <w:pPr>
              <w:pStyle w:val="18"/>
            </w:pPr>
            <w:r>
              <w:rPr>
                <w:rFonts w:hint="eastAsia"/>
                <w:lang w:val="en-US"/>
              </w:rPr>
              <w:t>测量</w:t>
            </w:r>
          </w:p>
        </w:tc>
        <w:tc>
          <w:tcPr>
            <w:tcW w:w="296" w:type="pct"/>
            <w:shd w:val="clear" w:color="auto" w:fill="auto"/>
            <w:noWrap/>
            <w:vAlign w:val="center"/>
          </w:tcPr>
          <w:p w14:paraId="11DB3B42">
            <w:pPr>
              <w:pStyle w:val="18"/>
            </w:pPr>
          </w:p>
        </w:tc>
      </w:tr>
      <w:tr w14:paraId="4C00C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7A4F1B39">
            <w:pPr>
              <w:pStyle w:val="18"/>
              <w:rPr>
                <w:lang w:val="en-US"/>
              </w:rPr>
            </w:pPr>
            <w:r>
              <w:rPr>
                <w:rFonts w:hint="eastAsia"/>
                <w:lang w:val="en-US"/>
              </w:rPr>
              <w:t>10</w:t>
            </w:r>
          </w:p>
        </w:tc>
        <w:tc>
          <w:tcPr>
            <w:tcW w:w="1108" w:type="pct"/>
            <w:shd w:val="clear" w:color="auto" w:fill="auto"/>
            <w:noWrap/>
            <w:vAlign w:val="center"/>
          </w:tcPr>
          <w:p w14:paraId="405FA6CF">
            <w:pPr>
              <w:pStyle w:val="18"/>
              <w:rPr>
                <w:lang w:val="en-US"/>
              </w:rPr>
            </w:pPr>
            <w:r>
              <w:rPr>
                <w:rFonts w:hint="eastAsia"/>
                <w:lang w:val="en-US"/>
              </w:rPr>
              <w:t>混凝土试模</w:t>
            </w:r>
          </w:p>
        </w:tc>
        <w:tc>
          <w:tcPr>
            <w:tcW w:w="1262" w:type="pct"/>
            <w:shd w:val="clear" w:color="auto" w:fill="auto"/>
            <w:noWrap/>
            <w:vAlign w:val="center"/>
          </w:tcPr>
          <w:p w14:paraId="74462E13">
            <w:pPr>
              <w:pStyle w:val="18"/>
              <w:rPr>
                <w:lang w:val="en-US"/>
              </w:rPr>
            </w:pPr>
            <w:r>
              <w:rPr>
                <w:rFonts w:hint="eastAsia"/>
                <w:lang w:val="en-US"/>
              </w:rPr>
              <w:t>150*150*150mm</w:t>
            </w:r>
          </w:p>
        </w:tc>
        <w:tc>
          <w:tcPr>
            <w:tcW w:w="367" w:type="pct"/>
            <w:shd w:val="clear" w:color="auto" w:fill="auto"/>
            <w:noWrap/>
            <w:vAlign w:val="center"/>
          </w:tcPr>
          <w:p w14:paraId="0F3C54E7">
            <w:pPr>
              <w:pStyle w:val="18"/>
              <w:rPr>
                <w:lang w:val="en-US"/>
              </w:rPr>
            </w:pPr>
            <w:r>
              <w:rPr>
                <w:rFonts w:hint="eastAsia"/>
                <w:lang w:val="en-US"/>
              </w:rPr>
              <w:t>30组</w:t>
            </w:r>
          </w:p>
        </w:tc>
        <w:tc>
          <w:tcPr>
            <w:tcW w:w="405" w:type="pct"/>
            <w:shd w:val="clear" w:color="auto" w:fill="auto"/>
            <w:noWrap/>
            <w:vAlign w:val="center"/>
          </w:tcPr>
          <w:p w14:paraId="1136B68F">
            <w:pPr>
              <w:pStyle w:val="18"/>
            </w:pPr>
            <w:r>
              <w:rPr>
                <w:rFonts w:hint="eastAsia"/>
                <w:lang w:val="en-US"/>
              </w:rPr>
              <w:t>国产</w:t>
            </w:r>
          </w:p>
        </w:tc>
        <w:tc>
          <w:tcPr>
            <w:tcW w:w="384" w:type="pct"/>
            <w:shd w:val="clear" w:color="auto" w:fill="auto"/>
            <w:noWrap/>
            <w:vAlign w:val="center"/>
          </w:tcPr>
          <w:p w14:paraId="279C48B7">
            <w:pPr>
              <w:pStyle w:val="18"/>
              <w:rPr>
                <w:lang w:val="en-US"/>
              </w:rPr>
            </w:pPr>
            <w:r>
              <w:rPr>
                <w:rFonts w:hint="eastAsia"/>
                <w:lang w:val="en-US"/>
              </w:rPr>
              <w:t>2020</w:t>
            </w:r>
          </w:p>
        </w:tc>
        <w:tc>
          <w:tcPr>
            <w:tcW w:w="427" w:type="pct"/>
            <w:shd w:val="clear" w:color="auto" w:fill="auto"/>
            <w:noWrap/>
            <w:vAlign w:val="center"/>
          </w:tcPr>
          <w:p w14:paraId="4264CDA6">
            <w:pPr>
              <w:pStyle w:val="18"/>
              <w:rPr>
                <w:lang w:val="en-US"/>
              </w:rPr>
            </w:pPr>
            <w:r>
              <w:rPr>
                <w:rFonts w:hint="eastAsia"/>
                <w:lang w:val="en-US"/>
              </w:rPr>
              <w:t>0h</w:t>
            </w:r>
          </w:p>
        </w:tc>
        <w:tc>
          <w:tcPr>
            <w:tcW w:w="418" w:type="pct"/>
            <w:shd w:val="clear" w:color="auto" w:fill="auto"/>
            <w:noWrap/>
            <w:vAlign w:val="center"/>
          </w:tcPr>
          <w:p w14:paraId="204741B9">
            <w:pPr>
              <w:pStyle w:val="18"/>
            </w:pPr>
            <w:r>
              <w:rPr>
                <w:rFonts w:hint="eastAsia"/>
                <w:lang w:val="en-US"/>
              </w:rPr>
              <w:t>检测</w:t>
            </w:r>
          </w:p>
        </w:tc>
        <w:tc>
          <w:tcPr>
            <w:tcW w:w="296" w:type="pct"/>
            <w:shd w:val="clear" w:color="auto" w:fill="auto"/>
            <w:noWrap/>
            <w:vAlign w:val="center"/>
          </w:tcPr>
          <w:p w14:paraId="227128B5">
            <w:pPr>
              <w:pStyle w:val="18"/>
            </w:pPr>
          </w:p>
        </w:tc>
      </w:tr>
      <w:tr w14:paraId="57429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3FBB82A3">
            <w:pPr>
              <w:pStyle w:val="18"/>
              <w:rPr>
                <w:lang w:val="en-US"/>
              </w:rPr>
            </w:pPr>
            <w:r>
              <w:rPr>
                <w:rFonts w:hint="eastAsia"/>
                <w:lang w:val="en-US"/>
              </w:rPr>
              <w:t>11</w:t>
            </w:r>
          </w:p>
        </w:tc>
        <w:tc>
          <w:tcPr>
            <w:tcW w:w="1108" w:type="pct"/>
            <w:shd w:val="clear" w:color="auto" w:fill="auto"/>
            <w:noWrap/>
            <w:vAlign w:val="center"/>
          </w:tcPr>
          <w:p w14:paraId="50939468">
            <w:pPr>
              <w:pStyle w:val="18"/>
              <w:rPr>
                <w:lang w:val="en-US"/>
              </w:rPr>
            </w:pPr>
            <w:r>
              <w:rPr>
                <w:rFonts w:hint="eastAsia"/>
                <w:lang w:val="en-US"/>
              </w:rPr>
              <w:t>砂浆试模</w:t>
            </w:r>
          </w:p>
        </w:tc>
        <w:tc>
          <w:tcPr>
            <w:tcW w:w="1262" w:type="pct"/>
            <w:shd w:val="clear" w:color="auto" w:fill="auto"/>
            <w:noWrap/>
            <w:vAlign w:val="center"/>
          </w:tcPr>
          <w:p w14:paraId="5A914F6A">
            <w:pPr>
              <w:pStyle w:val="18"/>
              <w:rPr>
                <w:lang w:val="en-US"/>
              </w:rPr>
            </w:pPr>
            <w:r>
              <w:rPr>
                <w:rFonts w:hint="eastAsia"/>
                <w:lang w:val="en-US"/>
              </w:rPr>
              <w:t>70.7*70.7</w:t>
            </w:r>
          </w:p>
          <w:p w14:paraId="2C0470BA">
            <w:pPr>
              <w:pStyle w:val="18"/>
              <w:rPr>
                <w:lang w:val="en-US"/>
              </w:rPr>
            </w:pPr>
            <w:r>
              <w:rPr>
                <w:rFonts w:hint="eastAsia"/>
                <w:lang w:val="en-US"/>
              </w:rPr>
              <w:t>*70.7mm</w:t>
            </w:r>
          </w:p>
        </w:tc>
        <w:tc>
          <w:tcPr>
            <w:tcW w:w="367" w:type="pct"/>
            <w:shd w:val="clear" w:color="auto" w:fill="auto"/>
            <w:noWrap/>
            <w:vAlign w:val="center"/>
          </w:tcPr>
          <w:p w14:paraId="59872572">
            <w:pPr>
              <w:pStyle w:val="18"/>
              <w:rPr>
                <w:lang w:val="en-US"/>
              </w:rPr>
            </w:pPr>
            <w:r>
              <w:rPr>
                <w:rFonts w:hint="eastAsia"/>
                <w:lang w:val="en-US"/>
              </w:rPr>
              <w:t>20组</w:t>
            </w:r>
          </w:p>
        </w:tc>
        <w:tc>
          <w:tcPr>
            <w:tcW w:w="405" w:type="pct"/>
            <w:shd w:val="clear" w:color="auto" w:fill="auto"/>
            <w:noWrap/>
            <w:vAlign w:val="center"/>
          </w:tcPr>
          <w:p w14:paraId="4FC3FD59">
            <w:pPr>
              <w:pStyle w:val="18"/>
            </w:pPr>
            <w:r>
              <w:rPr>
                <w:rFonts w:hint="eastAsia"/>
                <w:lang w:val="en-US"/>
              </w:rPr>
              <w:t>国产</w:t>
            </w:r>
          </w:p>
        </w:tc>
        <w:tc>
          <w:tcPr>
            <w:tcW w:w="384" w:type="pct"/>
            <w:shd w:val="clear" w:color="auto" w:fill="auto"/>
            <w:noWrap/>
            <w:vAlign w:val="center"/>
          </w:tcPr>
          <w:p w14:paraId="27CF6189">
            <w:pPr>
              <w:pStyle w:val="18"/>
              <w:rPr>
                <w:lang w:val="en-US"/>
              </w:rPr>
            </w:pPr>
            <w:r>
              <w:rPr>
                <w:rFonts w:hint="eastAsia"/>
                <w:lang w:val="en-US"/>
              </w:rPr>
              <w:t>2020</w:t>
            </w:r>
          </w:p>
        </w:tc>
        <w:tc>
          <w:tcPr>
            <w:tcW w:w="427" w:type="pct"/>
            <w:shd w:val="clear" w:color="auto" w:fill="auto"/>
            <w:noWrap/>
            <w:vAlign w:val="center"/>
          </w:tcPr>
          <w:p w14:paraId="19CD5824">
            <w:pPr>
              <w:pStyle w:val="18"/>
              <w:rPr>
                <w:lang w:val="en-US"/>
              </w:rPr>
            </w:pPr>
            <w:r>
              <w:rPr>
                <w:rFonts w:hint="eastAsia"/>
                <w:lang w:val="en-US"/>
              </w:rPr>
              <w:t>0h</w:t>
            </w:r>
          </w:p>
        </w:tc>
        <w:tc>
          <w:tcPr>
            <w:tcW w:w="418" w:type="pct"/>
            <w:shd w:val="clear" w:color="auto" w:fill="auto"/>
            <w:noWrap/>
            <w:vAlign w:val="center"/>
          </w:tcPr>
          <w:p w14:paraId="5E34A31B">
            <w:pPr>
              <w:pStyle w:val="18"/>
            </w:pPr>
            <w:r>
              <w:rPr>
                <w:rFonts w:hint="eastAsia"/>
                <w:lang w:val="en-US"/>
              </w:rPr>
              <w:t>检测</w:t>
            </w:r>
          </w:p>
        </w:tc>
        <w:tc>
          <w:tcPr>
            <w:tcW w:w="296" w:type="pct"/>
            <w:shd w:val="clear" w:color="auto" w:fill="auto"/>
            <w:noWrap/>
            <w:vAlign w:val="center"/>
          </w:tcPr>
          <w:p w14:paraId="4219B3E9">
            <w:pPr>
              <w:pStyle w:val="18"/>
            </w:pPr>
          </w:p>
        </w:tc>
      </w:tr>
      <w:tr w14:paraId="1447C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20E972B7">
            <w:pPr>
              <w:pStyle w:val="18"/>
              <w:rPr>
                <w:lang w:val="en-US"/>
              </w:rPr>
            </w:pPr>
            <w:r>
              <w:rPr>
                <w:rFonts w:hint="eastAsia"/>
                <w:lang w:val="en-US"/>
              </w:rPr>
              <w:t>12</w:t>
            </w:r>
          </w:p>
        </w:tc>
        <w:tc>
          <w:tcPr>
            <w:tcW w:w="1108" w:type="pct"/>
            <w:shd w:val="clear" w:color="auto" w:fill="auto"/>
            <w:noWrap/>
            <w:vAlign w:val="center"/>
          </w:tcPr>
          <w:p w14:paraId="3A3EAC08">
            <w:pPr>
              <w:pStyle w:val="18"/>
              <w:rPr>
                <w:lang w:val="en-US"/>
              </w:rPr>
            </w:pPr>
            <w:r>
              <w:rPr>
                <w:rFonts w:hint="eastAsia"/>
                <w:lang w:val="en-US"/>
              </w:rPr>
              <w:t>混凝土</w:t>
            </w:r>
          </w:p>
          <w:p w14:paraId="1BC7E15A">
            <w:pPr>
              <w:pStyle w:val="18"/>
              <w:rPr>
                <w:lang w:val="en-US"/>
              </w:rPr>
            </w:pPr>
            <w:r>
              <w:rPr>
                <w:rFonts w:hint="eastAsia"/>
                <w:lang w:val="en-US"/>
              </w:rPr>
              <w:t>抗渗试模</w:t>
            </w:r>
          </w:p>
        </w:tc>
        <w:tc>
          <w:tcPr>
            <w:tcW w:w="1262" w:type="pct"/>
            <w:shd w:val="clear" w:color="auto" w:fill="auto"/>
            <w:noWrap/>
            <w:vAlign w:val="center"/>
          </w:tcPr>
          <w:p w14:paraId="5D985E79">
            <w:pPr>
              <w:pStyle w:val="18"/>
              <w:rPr>
                <w:lang w:val="en-US"/>
              </w:rPr>
            </w:pPr>
            <w:r>
              <w:rPr>
                <w:rFonts w:hint="eastAsia"/>
                <w:lang w:val="en-US"/>
              </w:rPr>
              <w:t>150mm</w:t>
            </w:r>
          </w:p>
          <w:p w14:paraId="7DF2C5E7">
            <w:pPr>
              <w:pStyle w:val="18"/>
              <w:rPr>
                <w:lang w:val="en-US"/>
              </w:rPr>
            </w:pPr>
            <w:r>
              <w:rPr>
                <w:rFonts w:hint="eastAsia"/>
                <w:lang w:val="en-US"/>
              </w:rPr>
              <w:t>*175mm/185mm</w:t>
            </w:r>
          </w:p>
        </w:tc>
        <w:tc>
          <w:tcPr>
            <w:tcW w:w="367" w:type="pct"/>
            <w:shd w:val="clear" w:color="auto" w:fill="auto"/>
            <w:noWrap/>
            <w:vAlign w:val="center"/>
          </w:tcPr>
          <w:p w14:paraId="680E4A09">
            <w:pPr>
              <w:pStyle w:val="18"/>
              <w:rPr>
                <w:lang w:val="en-US"/>
              </w:rPr>
            </w:pPr>
            <w:r>
              <w:rPr>
                <w:rFonts w:hint="eastAsia"/>
                <w:lang w:val="en-US"/>
              </w:rPr>
              <w:t>10组</w:t>
            </w:r>
          </w:p>
        </w:tc>
        <w:tc>
          <w:tcPr>
            <w:tcW w:w="405" w:type="pct"/>
            <w:shd w:val="clear" w:color="auto" w:fill="auto"/>
            <w:noWrap/>
            <w:vAlign w:val="center"/>
          </w:tcPr>
          <w:p w14:paraId="23D887D2">
            <w:pPr>
              <w:pStyle w:val="18"/>
            </w:pPr>
            <w:r>
              <w:rPr>
                <w:rFonts w:hint="eastAsia"/>
                <w:lang w:val="en-US"/>
              </w:rPr>
              <w:t>国产</w:t>
            </w:r>
          </w:p>
        </w:tc>
        <w:tc>
          <w:tcPr>
            <w:tcW w:w="384" w:type="pct"/>
            <w:shd w:val="clear" w:color="auto" w:fill="auto"/>
            <w:noWrap/>
            <w:vAlign w:val="center"/>
          </w:tcPr>
          <w:p w14:paraId="71A07DB5">
            <w:pPr>
              <w:pStyle w:val="18"/>
              <w:rPr>
                <w:lang w:val="en-US"/>
              </w:rPr>
            </w:pPr>
            <w:r>
              <w:rPr>
                <w:rFonts w:hint="eastAsia"/>
                <w:lang w:val="en-US"/>
              </w:rPr>
              <w:t>2020</w:t>
            </w:r>
          </w:p>
        </w:tc>
        <w:tc>
          <w:tcPr>
            <w:tcW w:w="427" w:type="pct"/>
            <w:shd w:val="clear" w:color="auto" w:fill="auto"/>
            <w:noWrap/>
            <w:vAlign w:val="center"/>
          </w:tcPr>
          <w:p w14:paraId="66538E38">
            <w:pPr>
              <w:pStyle w:val="18"/>
              <w:rPr>
                <w:lang w:val="en-US"/>
              </w:rPr>
            </w:pPr>
            <w:r>
              <w:rPr>
                <w:rFonts w:hint="eastAsia"/>
                <w:lang w:val="en-US"/>
              </w:rPr>
              <w:t>0h</w:t>
            </w:r>
          </w:p>
        </w:tc>
        <w:tc>
          <w:tcPr>
            <w:tcW w:w="418" w:type="pct"/>
            <w:shd w:val="clear" w:color="auto" w:fill="auto"/>
            <w:noWrap/>
            <w:vAlign w:val="center"/>
          </w:tcPr>
          <w:p w14:paraId="0B0EDE4B">
            <w:pPr>
              <w:pStyle w:val="18"/>
            </w:pPr>
            <w:r>
              <w:rPr>
                <w:rFonts w:hint="eastAsia"/>
                <w:lang w:val="en-US"/>
              </w:rPr>
              <w:t>检测</w:t>
            </w:r>
          </w:p>
        </w:tc>
        <w:tc>
          <w:tcPr>
            <w:tcW w:w="296" w:type="pct"/>
            <w:shd w:val="clear" w:color="auto" w:fill="auto"/>
            <w:noWrap/>
            <w:vAlign w:val="center"/>
          </w:tcPr>
          <w:p w14:paraId="16AAA311">
            <w:pPr>
              <w:pStyle w:val="18"/>
            </w:pPr>
          </w:p>
        </w:tc>
      </w:tr>
      <w:tr w14:paraId="3237D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4B89FCA4">
            <w:pPr>
              <w:pStyle w:val="18"/>
              <w:rPr>
                <w:lang w:val="en-US"/>
              </w:rPr>
            </w:pPr>
            <w:r>
              <w:rPr>
                <w:rFonts w:hint="eastAsia"/>
                <w:lang w:val="en-US"/>
              </w:rPr>
              <w:t>13</w:t>
            </w:r>
          </w:p>
        </w:tc>
        <w:tc>
          <w:tcPr>
            <w:tcW w:w="1108" w:type="pct"/>
            <w:shd w:val="clear" w:color="auto" w:fill="auto"/>
            <w:noWrap/>
            <w:vAlign w:val="center"/>
          </w:tcPr>
          <w:p w14:paraId="2EC9C73B">
            <w:pPr>
              <w:pStyle w:val="18"/>
              <w:rPr>
                <w:lang w:val="en-US"/>
              </w:rPr>
            </w:pPr>
            <w:r>
              <w:rPr>
                <w:rFonts w:hint="eastAsia"/>
                <w:lang w:val="en-US"/>
              </w:rPr>
              <w:t>塌落度桶</w:t>
            </w:r>
          </w:p>
        </w:tc>
        <w:tc>
          <w:tcPr>
            <w:tcW w:w="1262" w:type="pct"/>
            <w:shd w:val="clear" w:color="auto" w:fill="auto"/>
            <w:noWrap/>
            <w:vAlign w:val="center"/>
          </w:tcPr>
          <w:p w14:paraId="7628594E">
            <w:pPr>
              <w:pStyle w:val="18"/>
            </w:pPr>
          </w:p>
        </w:tc>
        <w:tc>
          <w:tcPr>
            <w:tcW w:w="367" w:type="pct"/>
            <w:shd w:val="clear" w:color="auto" w:fill="auto"/>
            <w:noWrap/>
            <w:vAlign w:val="center"/>
          </w:tcPr>
          <w:p w14:paraId="132E312D">
            <w:pPr>
              <w:pStyle w:val="18"/>
              <w:rPr>
                <w:lang w:val="en-US"/>
              </w:rPr>
            </w:pPr>
            <w:r>
              <w:rPr>
                <w:rFonts w:hint="eastAsia"/>
                <w:lang w:val="en-US"/>
              </w:rPr>
              <w:t>3个</w:t>
            </w:r>
          </w:p>
        </w:tc>
        <w:tc>
          <w:tcPr>
            <w:tcW w:w="405" w:type="pct"/>
            <w:shd w:val="clear" w:color="auto" w:fill="auto"/>
            <w:noWrap/>
            <w:vAlign w:val="center"/>
          </w:tcPr>
          <w:p w14:paraId="4C523FFB">
            <w:pPr>
              <w:pStyle w:val="18"/>
            </w:pPr>
            <w:r>
              <w:rPr>
                <w:rFonts w:hint="eastAsia"/>
                <w:lang w:val="en-US"/>
              </w:rPr>
              <w:t>国产</w:t>
            </w:r>
          </w:p>
        </w:tc>
        <w:tc>
          <w:tcPr>
            <w:tcW w:w="384" w:type="pct"/>
            <w:shd w:val="clear" w:color="auto" w:fill="auto"/>
            <w:noWrap/>
            <w:vAlign w:val="center"/>
          </w:tcPr>
          <w:p w14:paraId="25FA9100">
            <w:pPr>
              <w:pStyle w:val="18"/>
              <w:rPr>
                <w:lang w:val="en-US"/>
              </w:rPr>
            </w:pPr>
            <w:r>
              <w:rPr>
                <w:rFonts w:hint="eastAsia"/>
                <w:lang w:val="en-US"/>
              </w:rPr>
              <w:t>2021</w:t>
            </w:r>
          </w:p>
        </w:tc>
        <w:tc>
          <w:tcPr>
            <w:tcW w:w="427" w:type="pct"/>
            <w:shd w:val="clear" w:color="auto" w:fill="auto"/>
            <w:noWrap/>
            <w:vAlign w:val="center"/>
          </w:tcPr>
          <w:p w14:paraId="22F63B79">
            <w:pPr>
              <w:pStyle w:val="18"/>
              <w:rPr>
                <w:lang w:val="en-US"/>
              </w:rPr>
            </w:pPr>
            <w:r>
              <w:rPr>
                <w:rFonts w:hint="eastAsia"/>
                <w:lang w:val="en-US"/>
              </w:rPr>
              <w:t>0h</w:t>
            </w:r>
          </w:p>
        </w:tc>
        <w:tc>
          <w:tcPr>
            <w:tcW w:w="418" w:type="pct"/>
            <w:shd w:val="clear" w:color="auto" w:fill="auto"/>
            <w:noWrap/>
            <w:vAlign w:val="center"/>
          </w:tcPr>
          <w:p w14:paraId="0346738C">
            <w:pPr>
              <w:pStyle w:val="18"/>
            </w:pPr>
            <w:r>
              <w:rPr>
                <w:rFonts w:hint="eastAsia"/>
                <w:lang w:val="en-US"/>
              </w:rPr>
              <w:t>检测</w:t>
            </w:r>
          </w:p>
        </w:tc>
        <w:tc>
          <w:tcPr>
            <w:tcW w:w="296" w:type="pct"/>
            <w:shd w:val="clear" w:color="auto" w:fill="auto"/>
            <w:noWrap/>
            <w:vAlign w:val="center"/>
          </w:tcPr>
          <w:p w14:paraId="23E9A2B0">
            <w:pPr>
              <w:pStyle w:val="18"/>
            </w:pPr>
          </w:p>
        </w:tc>
      </w:tr>
      <w:tr w14:paraId="79F8C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087A1F9F">
            <w:pPr>
              <w:pStyle w:val="18"/>
              <w:rPr>
                <w:lang w:val="en-US"/>
              </w:rPr>
            </w:pPr>
            <w:r>
              <w:rPr>
                <w:rFonts w:hint="eastAsia"/>
                <w:lang w:val="en-US"/>
              </w:rPr>
              <w:t>14</w:t>
            </w:r>
          </w:p>
        </w:tc>
        <w:tc>
          <w:tcPr>
            <w:tcW w:w="1108" w:type="pct"/>
            <w:shd w:val="clear" w:color="auto" w:fill="auto"/>
            <w:noWrap/>
            <w:vAlign w:val="center"/>
          </w:tcPr>
          <w:p w14:paraId="4009620B">
            <w:pPr>
              <w:pStyle w:val="18"/>
              <w:rPr>
                <w:lang w:val="en-US"/>
              </w:rPr>
            </w:pPr>
            <w:r>
              <w:rPr>
                <w:rFonts w:hint="eastAsia"/>
                <w:lang w:val="en-US"/>
              </w:rPr>
              <w:t>激光水平仪</w:t>
            </w:r>
          </w:p>
        </w:tc>
        <w:tc>
          <w:tcPr>
            <w:tcW w:w="1262" w:type="pct"/>
            <w:shd w:val="clear" w:color="auto" w:fill="auto"/>
            <w:noWrap/>
            <w:vAlign w:val="center"/>
          </w:tcPr>
          <w:p w14:paraId="3D46D879">
            <w:pPr>
              <w:pStyle w:val="18"/>
              <w:rPr>
                <w:lang w:val="en-US"/>
              </w:rPr>
            </w:pPr>
            <w:r>
              <w:rPr>
                <w:rFonts w:hint="eastAsia"/>
                <w:lang w:val="en-US"/>
              </w:rPr>
              <w:t>BL2L</w:t>
            </w:r>
          </w:p>
        </w:tc>
        <w:tc>
          <w:tcPr>
            <w:tcW w:w="367" w:type="pct"/>
            <w:shd w:val="clear" w:color="auto" w:fill="auto"/>
            <w:noWrap/>
            <w:vAlign w:val="center"/>
          </w:tcPr>
          <w:p w14:paraId="7CDF3114">
            <w:pPr>
              <w:pStyle w:val="18"/>
              <w:rPr>
                <w:lang w:val="en-US"/>
              </w:rPr>
            </w:pPr>
            <w:r>
              <w:rPr>
                <w:rFonts w:hint="eastAsia"/>
                <w:lang w:val="en-US"/>
              </w:rPr>
              <w:t>3台</w:t>
            </w:r>
          </w:p>
        </w:tc>
        <w:tc>
          <w:tcPr>
            <w:tcW w:w="405" w:type="pct"/>
            <w:shd w:val="clear" w:color="auto" w:fill="auto"/>
            <w:noWrap/>
            <w:vAlign w:val="center"/>
          </w:tcPr>
          <w:p w14:paraId="06540173">
            <w:pPr>
              <w:pStyle w:val="18"/>
            </w:pPr>
            <w:r>
              <w:rPr>
                <w:rFonts w:hint="eastAsia"/>
                <w:lang w:val="en-US"/>
              </w:rPr>
              <w:t>国产</w:t>
            </w:r>
          </w:p>
        </w:tc>
        <w:tc>
          <w:tcPr>
            <w:tcW w:w="384" w:type="pct"/>
            <w:shd w:val="clear" w:color="auto" w:fill="auto"/>
            <w:noWrap/>
            <w:vAlign w:val="center"/>
          </w:tcPr>
          <w:p w14:paraId="78893B6D">
            <w:pPr>
              <w:pStyle w:val="18"/>
              <w:rPr>
                <w:lang w:val="en-US"/>
              </w:rPr>
            </w:pPr>
            <w:r>
              <w:rPr>
                <w:rFonts w:hint="eastAsia"/>
                <w:lang w:val="en-US"/>
              </w:rPr>
              <w:t>2020</w:t>
            </w:r>
          </w:p>
        </w:tc>
        <w:tc>
          <w:tcPr>
            <w:tcW w:w="427" w:type="pct"/>
            <w:shd w:val="clear" w:color="auto" w:fill="auto"/>
            <w:noWrap/>
            <w:vAlign w:val="center"/>
          </w:tcPr>
          <w:p w14:paraId="17DC39D2">
            <w:pPr>
              <w:pStyle w:val="18"/>
              <w:rPr>
                <w:lang w:val="en-US"/>
              </w:rPr>
            </w:pPr>
            <w:r>
              <w:rPr>
                <w:rFonts w:hint="eastAsia"/>
                <w:lang w:val="en-US"/>
              </w:rPr>
              <w:t>78h</w:t>
            </w:r>
          </w:p>
        </w:tc>
        <w:tc>
          <w:tcPr>
            <w:tcW w:w="418" w:type="pct"/>
            <w:shd w:val="clear" w:color="auto" w:fill="auto"/>
            <w:noWrap/>
            <w:vAlign w:val="center"/>
          </w:tcPr>
          <w:p w14:paraId="44485CAA">
            <w:pPr>
              <w:pStyle w:val="18"/>
              <w:rPr>
                <w:lang w:val="en-US"/>
              </w:rPr>
            </w:pPr>
            <w:r>
              <w:rPr>
                <w:rFonts w:hint="eastAsia"/>
                <w:lang w:val="en-US"/>
              </w:rPr>
              <w:t>测量</w:t>
            </w:r>
          </w:p>
        </w:tc>
        <w:tc>
          <w:tcPr>
            <w:tcW w:w="296" w:type="pct"/>
            <w:shd w:val="clear" w:color="auto" w:fill="auto"/>
            <w:noWrap/>
            <w:vAlign w:val="center"/>
          </w:tcPr>
          <w:p w14:paraId="2F6F0C14">
            <w:pPr>
              <w:pStyle w:val="18"/>
            </w:pPr>
          </w:p>
        </w:tc>
      </w:tr>
      <w:tr w14:paraId="777BC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361ED427">
            <w:pPr>
              <w:pStyle w:val="18"/>
              <w:rPr>
                <w:lang w:val="en-US"/>
              </w:rPr>
            </w:pPr>
            <w:r>
              <w:rPr>
                <w:rFonts w:hint="eastAsia"/>
                <w:lang w:val="en-US"/>
              </w:rPr>
              <w:t>15</w:t>
            </w:r>
          </w:p>
        </w:tc>
        <w:tc>
          <w:tcPr>
            <w:tcW w:w="1108" w:type="pct"/>
            <w:shd w:val="clear" w:color="auto" w:fill="auto"/>
            <w:noWrap/>
            <w:vAlign w:val="center"/>
          </w:tcPr>
          <w:p w14:paraId="727FA2E5">
            <w:pPr>
              <w:pStyle w:val="18"/>
              <w:rPr>
                <w:lang w:val="en-US"/>
              </w:rPr>
            </w:pPr>
            <w:r>
              <w:rPr>
                <w:rFonts w:hint="eastAsia"/>
                <w:lang w:val="en-US"/>
              </w:rPr>
              <w:t>红外测温仪</w:t>
            </w:r>
          </w:p>
        </w:tc>
        <w:tc>
          <w:tcPr>
            <w:tcW w:w="1262" w:type="pct"/>
            <w:shd w:val="clear" w:color="auto" w:fill="auto"/>
            <w:noWrap/>
            <w:vAlign w:val="center"/>
          </w:tcPr>
          <w:p w14:paraId="62CA99BB">
            <w:pPr>
              <w:pStyle w:val="18"/>
              <w:rPr>
                <w:lang w:val="en-US"/>
              </w:rPr>
            </w:pPr>
            <w:r>
              <w:rPr>
                <w:rFonts w:hint="eastAsia"/>
                <w:lang w:val="en-US"/>
              </w:rPr>
              <w:t>AW950</w:t>
            </w:r>
          </w:p>
        </w:tc>
        <w:tc>
          <w:tcPr>
            <w:tcW w:w="367" w:type="pct"/>
            <w:shd w:val="clear" w:color="auto" w:fill="auto"/>
            <w:noWrap/>
            <w:vAlign w:val="center"/>
          </w:tcPr>
          <w:p w14:paraId="73F67507">
            <w:pPr>
              <w:pStyle w:val="18"/>
              <w:rPr>
                <w:lang w:val="en-US"/>
              </w:rPr>
            </w:pPr>
            <w:r>
              <w:rPr>
                <w:rFonts w:hint="eastAsia"/>
                <w:lang w:val="en-US"/>
              </w:rPr>
              <w:t>2套</w:t>
            </w:r>
          </w:p>
        </w:tc>
        <w:tc>
          <w:tcPr>
            <w:tcW w:w="405" w:type="pct"/>
            <w:shd w:val="clear" w:color="auto" w:fill="auto"/>
            <w:noWrap/>
            <w:vAlign w:val="center"/>
          </w:tcPr>
          <w:p w14:paraId="49B8CC68">
            <w:pPr>
              <w:pStyle w:val="18"/>
            </w:pPr>
            <w:r>
              <w:rPr>
                <w:rFonts w:hint="eastAsia"/>
                <w:lang w:val="en-US"/>
              </w:rPr>
              <w:t>国产</w:t>
            </w:r>
          </w:p>
        </w:tc>
        <w:tc>
          <w:tcPr>
            <w:tcW w:w="384" w:type="pct"/>
            <w:shd w:val="clear" w:color="auto" w:fill="auto"/>
            <w:noWrap/>
            <w:vAlign w:val="center"/>
          </w:tcPr>
          <w:p w14:paraId="40C6B296">
            <w:pPr>
              <w:pStyle w:val="18"/>
              <w:rPr>
                <w:lang w:val="en-US"/>
              </w:rPr>
            </w:pPr>
            <w:r>
              <w:rPr>
                <w:rFonts w:hint="eastAsia"/>
                <w:lang w:val="en-US"/>
              </w:rPr>
              <w:t>2019</w:t>
            </w:r>
          </w:p>
        </w:tc>
        <w:tc>
          <w:tcPr>
            <w:tcW w:w="427" w:type="pct"/>
            <w:shd w:val="clear" w:color="auto" w:fill="auto"/>
            <w:noWrap/>
            <w:vAlign w:val="center"/>
          </w:tcPr>
          <w:p w14:paraId="6E371634">
            <w:pPr>
              <w:pStyle w:val="18"/>
              <w:rPr>
                <w:lang w:val="en-US"/>
              </w:rPr>
            </w:pPr>
            <w:r>
              <w:rPr>
                <w:rFonts w:hint="eastAsia"/>
                <w:lang w:val="en-US"/>
              </w:rPr>
              <w:t>68h</w:t>
            </w:r>
          </w:p>
        </w:tc>
        <w:tc>
          <w:tcPr>
            <w:tcW w:w="418" w:type="pct"/>
            <w:shd w:val="clear" w:color="auto" w:fill="auto"/>
            <w:noWrap/>
            <w:vAlign w:val="center"/>
          </w:tcPr>
          <w:p w14:paraId="6C063DB3">
            <w:pPr>
              <w:pStyle w:val="18"/>
              <w:rPr>
                <w:lang w:val="en-US"/>
              </w:rPr>
            </w:pPr>
            <w:r>
              <w:rPr>
                <w:rFonts w:hint="eastAsia"/>
                <w:lang w:val="en-US"/>
              </w:rPr>
              <w:t>测温</w:t>
            </w:r>
          </w:p>
        </w:tc>
        <w:tc>
          <w:tcPr>
            <w:tcW w:w="296" w:type="pct"/>
            <w:shd w:val="clear" w:color="auto" w:fill="auto"/>
            <w:noWrap/>
            <w:vAlign w:val="center"/>
          </w:tcPr>
          <w:p w14:paraId="0E157ACC">
            <w:pPr>
              <w:pStyle w:val="18"/>
            </w:pPr>
          </w:p>
        </w:tc>
      </w:tr>
      <w:tr w14:paraId="49011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19DE3A58">
            <w:pPr>
              <w:pStyle w:val="18"/>
              <w:rPr>
                <w:lang w:val="en-US"/>
              </w:rPr>
            </w:pPr>
            <w:r>
              <w:rPr>
                <w:rFonts w:hint="eastAsia"/>
                <w:lang w:val="en-US"/>
              </w:rPr>
              <w:t>16</w:t>
            </w:r>
          </w:p>
        </w:tc>
        <w:tc>
          <w:tcPr>
            <w:tcW w:w="1108" w:type="pct"/>
            <w:shd w:val="clear" w:color="auto" w:fill="auto"/>
            <w:noWrap/>
            <w:vAlign w:val="center"/>
          </w:tcPr>
          <w:p w14:paraId="389639DB">
            <w:pPr>
              <w:pStyle w:val="18"/>
              <w:rPr>
                <w:lang w:val="en-US"/>
              </w:rPr>
            </w:pPr>
            <w:r>
              <w:rPr>
                <w:rFonts w:hint="eastAsia"/>
                <w:lang w:val="en-US"/>
              </w:rPr>
              <w:t>电子土壤</w:t>
            </w:r>
          </w:p>
          <w:p w14:paraId="0459265E">
            <w:pPr>
              <w:pStyle w:val="18"/>
              <w:rPr>
                <w:lang w:val="en-US"/>
              </w:rPr>
            </w:pPr>
            <w:r>
              <w:rPr>
                <w:rFonts w:hint="eastAsia"/>
                <w:lang w:val="en-US"/>
              </w:rPr>
              <w:t>酸度剂</w:t>
            </w:r>
          </w:p>
        </w:tc>
        <w:tc>
          <w:tcPr>
            <w:tcW w:w="1262" w:type="pct"/>
            <w:shd w:val="clear" w:color="auto" w:fill="auto"/>
            <w:noWrap/>
            <w:vAlign w:val="center"/>
          </w:tcPr>
          <w:p w14:paraId="09F72E2E">
            <w:pPr>
              <w:pStyle w:val="18"/>
              <w:rPr>
                <w:lang w:val="en-US"/>
              </w:rPr>
            </w:pPr>
            <w:r>
              <w:rPr>
                <w:rFonts w:hint="eastAsia"/>
                <w:lang w:val="en-US"/>
              </w:rPr>
              <w:t>KS-05</w:t>
            </w:r>
          </w:p>
        </w:tc>
        <w:tc>
          <w:tcPr>
            <w:tcW w:w="367" w:type="pct"/>
            <w:shd w:val="clear" w:color="auto" w:fill="auto"/>
            <w:noWrap/>
            <w:vAlign w:val="center"/>
          </w:tcPr>
          <w:p w14:paraId="352B3928">
            <w:pPr>
              <w:pStyle w:val="18"/>
              <w:rPr>
                <w:lang w:val="en-US"/>
              </w:rPr>
            </w:pPr>
            <w:r>
              <w:rPr>
                <w:rFonts w:hint="eastAsia"/>
                <w:lang w:val="en-US"/>
              </w:rPr>
              <w:t>2套</w:t>
            </w:r>
          </w:p>
        </w:tc>
        <w:tc>
          <w:tcPr>
            <w:tcW w:w="405" w:type="pct"/>
            <w:shd w:val="clear" w:color="auto" w:fill="auto"/>
            <w:noWrap/>
            <w:vAlign w:val="center"/>
          </w:tcPr>
          <w:p w14:paraId="40309D86">
            <w:pPr>
              <w:pStyle w:val="18"/>
            </w:pPr>
            <w:r>
              <w:rPr>
                <w:rFonts w:hint="eastAsia"/>
                <w:lang w:val="en-US"/>
              </w:rPr>
              <w:t>国产</w:t>
            </w:r>
          </w:p>
        </w:tc>
        <w:tc>
          <w:tcPr>
            <w:tcW w:w="384" w:type="pct"/>
            <w:shd w:val="clear" w:color="auto" w:fill="auto"/>
            <w:noWrap/>
            <w:vAlign w:val="center"/>
          </w:tcPr>
          <w:p w14:paraId="03CF31CB">
            <w:pPr>
              <w:pStyle w:val="18"/>
              <w:rPr>
                <w:lang w:val="en-US"/>
              </w:rPr>
            </w:pPr>
            <w:r>
              <w:rPr>
                <w:rFonts w:hint="eastAsia"/>
                <w:lang w:val="en-US"/>
              </w:rPr>
              <w:t>2019</w:t>
            </w:r>
          </w:p>
        </w:tc>
        <w:tc>
          <w:tcPr>
            <w:tcW w:w="427" w:type="pct"/>
            <w:shd w:val="clear" w:color="auto" w:fill="auto"/>
            <w:noWrap/>
            <w:vAlign w:val="center"/>
          </w:tcPr>
          <w:p w14:paraId="0D55B886">
            <w:pPr>
              <w:pStyle w:val="18"/>
              <w:rPr>
                <w:lang w:val="en-US"/>
              </w:rPr>
            </w:pPr>
            <w:r>
              <w:rPr>
                <w:rFonts w:hint="eastAsia"/>
                <w:lang w:val="en-US"/>
              </w:rPr>
              <w:t>118h</w:t>
            </w:r>
          </w:p>
        </w:tc>
        <w:tc>
          <w:tcPr>
            <w:tcW w:w="418" w:type="pct"/>
            <w:shd w:val="clear" w:color="auto" w:fill="auto"/>
            <w:noWrap/>
            <w:vAlign w:val="center"/>
          </w:tcPr>
          <w:p w14:paraId="344D86C1">
            <w:pPr>
              <w:pStyle w:val="18"/>
            </w:pPr>
            <w:r>
              <w:rPr>
                <w:rFonts w:hint="eastAsia"/>
                <w:lang w:val="en-US"/>
              </w:rPr>
              <w:t>检测</w:t>
            </w:r>
          </w:p>
        </w:tc>
        <w:tc>
          <w:tcPr>
            <w:tcW w:w="296" w:type="pct"/>
            <w:shd w:val="clear" w:color="auto" w:fill="auto"/>
            <w:noWrap/>
            <w:vAlign w:val="center"/>
          </w:tcPr>
          <w:p w14:paraId="5564A0D3">
            <w:pPr>
              <w:pStyle w:val="18"/>
            </w:pPr>
          </w:p>
        </w:tc>
      </w:tr>
      <w:tr w14:paraId="02D52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599CFBFF">
            <w:pPr>
              <w:pStyle w:val="18"/>
              <w:rPr>
                <w:lang w:val="en-US"/>
              </w:rPr>
            </w:pPr>
            <w:r>
              <w:rPr>
                <w:rFonts w:hint="eastAsia"/>
                <w:lang w:val="en-US"/>
              </w:rPr>
              <w:t>17</w:t>
            </w:r>
          </w:p>
        </w:tc>
        <w:tc>
          <w:tcPr>
            <w:tcW w:w="1108" w:type="pct"/>
            <w:shd w:val="clear" w:color="auto" w:fill="auto"/>
            <w:noWrap/>
            <w:vAlign w:val="center"/>
          </w:tcPr>
          <w:p w14:paraId="671367C1">
            <w:pPr>
              <w:pStyle w:val="18"/>
              <w:rPr>
                <w:lang w:val="en-US"/>
              </w:rPr>
            </w:pPr>
            <w:r>
              <w:rPr>
                <w:rFonts w:hint="eastAsia"/>
                <w:lang w:val="en-US"/>
              </w:rPr>
              <w:t>土壤分析筛</w:t>
            </w:r>
          </w:p>
        </w:tc>
        <w:tc>
          <w:tcPr>
            <w:tcW w:w="1262" w:type="pct"/>
            <w:shd w:val="clear" w:color="auto" w:fill="auto"/>
            <w:noWrap/>
            <w:vAlign w:val="center"/>
          </w:tcPr>
          <w:p w14:paraId="0C3AE4FC">
            <w:pPr>
              <w:pStyle w:val="18"/>
            </w:pPr>
            <w:r>
              <w:t>φ200</w:t>
            </w:r>
          </w:p>
        </w:tc>
        <w:tc>
          <w:tcPr>
            <w:tcW w:w="367" w:type="pct"/>
            <w:shd w:val="clear" w:color="auto" w:fill="auto"/>
            <w:noWrap/>
            <w:vAlign w:val="center"/>
          </w:tcPr>
          <w:p w14:paraId="36E53082">
            <w:pPr>
              <w:pStyle w:val="18"/>
              <w:rPr>
                <w:lang w:val="en-US"/>
              </w:rPr>
            </w:pPr>
            <w:r>
              <w:rPr>
                <w:rFonts w:hint="eastAsia"/>
                <w:lang w:val="en-US"/>
              </w:rPr>
              <w:t>1套</w:t>
            </w:r>
          </w:p>
        </w:tc>
        <w:tc>
          <w:tcPr>
            <w:tcW w:w="405" w:type="pct"/>
            <w:shd w:val="clear" w:color="auto" w:fill="auto"/>
            <w:noWrap/>
            <w:vAlign w:val="center"/>
          </w:tcPr>
          <w:p w14:paraId="0DC0D775">
            <w:pPr>
              <w:pStyle w:val="18"/>
            </w:pPr>
            <w:r>
              <w:rPr>
                <w:rFonts w:hint="eastAsia"/>
                <w:lang w:val="en-US"/>
              </w:rPr>
              <w:t>国产</w:t>
            </w:r>
          </w:p>
        </w:tc>
        <w:tc>
          <w:tcPr>
            <w:tcW w:w="384" w:type="pct"/>
            <w:shd w:val="clear" w:color="auto" w:fill="auto"/>
            <w:noWrap/>
            <w:vAlign w:val="center"/>
          </w:tcPr>
          <w:p w14:paraId="3CCA5B6C">
            <w:pPr>
              <w:pStyle w:val="18"/>
              <w:rPr>
                <w:lang w:val="en-US"/>
              </w:rPr>
            </w:pPr>
            <w:r>
              <w:rPr>
                <w:rFonts w:hint="eastAsia"/>
                <w:lang w:val="en-US"/>
              </w:rPr>
              <w:t>2020</w:t>
            </w:r>
          </w:p>
        </w:tc>
        <w:tc>
          <w:tcPr>
            <w:tcW w:w="427" w:type="pct"/>
            <w:shd w:val="clear" w:color="auto" w:fill="auto"/>
            <w:noWrap/>
            <w:vAlign w:val="center"/>
          </w:tcPr>
          <w:p w14:paraId="2F69767E">
            <w:pPr>
              <w:pStyle w:val="18"/>
              <w:rPr>
                <w:lang w:val="en-US"/>
              </w:rPr>
            </w:pPr>
            <w:r>
              <w:rPr>
                <w:rFonts w:hint="eastAsia"/>
                <w:lang w:val="en-US"/>
              </w:rPr>
              <w:t>62h</w:t>
            </w:r>
          </w:p>
        </w:tc>
        <w:tc>
          <w:tcPr>
            <w:tcW w:w="418" w:type="pct"/>
            <w:shd w:val="clear" w:color="auto" w:fill="auto"/>
            <w:noWrap/>
            <w:vAlign w:val="center"/>
          </w:tcPr>
          <w:p w14:paraId="07C72A6D">
            <w:pPr>
              <w:pStyle w:val="18"/>
            </w:pPr>
            <w:r>
              <w:rPr>
                <w:rFonts w:hint="eastAsia"/>
                <w:lang w:val="en-US"/>
              </w:rPr>
              <w:t>检测</w:t>
            </w:r>
          </w:p>
        </w:tc>
        <w:tc>
          <w:tcPr>
            <w:tcW w:w="296" w:type="pct"/>
            <w:shd w:val="clear" w:color="auto" w:fill="auto"/>
            <w:noWrap/>
            <w:vAlign w:val="center"/>
          </w:tcPr>
          <w:p w14:paraId="74EBAE12">
            <w:pPr>
              <w:pStyle w:val="18"/>
            </w:pPr>
          </w:p>
        </w:tc>
      </w:tr>
      <w:tr w14:paraId="3CC41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5B271372">
            <w:pPr>
              <w:pStyle w:val="18"/>
              <w:rPr>
                <w:lang w:val="en-US"/>
              </w:rPr>
            </w:pPr>
            <w:r>
              <w:rPr>
                <w:rFonts w:hint="eastAsia"/>
                <w:lang w:val="en-US"/>
              </w:rPr>
              <w:t>18</w:t>
            </w:r>
          </w:p>
        </w:tc>
        <w:tc>
          <w:tcPr>
            <w:tcW w:w="1108" w:type="pct"/>
            <w:shd w:val="clear" w:color="auto" w:fill="auto"/>
            <w:noWrap/>
            <w:vAlign w:val="center"/>
          </w:tcPr>
          <w:p w14:paraId="39E4691C">
            <w:pPr>
              <w:pStyle w:val="18"/>
              <w:rPr>
                <w:lang w:val="en-US"/>
              </w:rPr>
            </w:pPr>
            <w:r>
              <w:rPr>
                <w:rFonts w:hint="eastAsia"/>
                <w:lang w:val="en-US"/>
              </w:rPr>
              <w:t>静力触探仪</w:t>
            </w:r>
          </w:p>
        </w:tc>
        <w:tc>
          <w:tcPr>
            <w:tcW w:w="1262" w:type="pct"/>
            <w:shd w:val="clear" w:color="auto" w:fill="auto"/>
            <w:noWrap/>
            <w:vAlign w:val="center"/>
          </w:tcPr>
          <w:p w14:paraId="530BC111">
            <w:pPr>
              <w:pStyle w:val="18"/>
            </w:pPr>
            <w:r>
              <w:t>CLD-3</w:t>
            </w:r>
          </w:p>
        </w:tc>
        <w:tc>
          <w:tcPr>
            <w:tcW w:w="367" w:type="pct"/>
            <w:shd w:val="clear" w:color="auto" w:fill="auto"/>
            <w:noWrap/>
            <w:vAlign w:val="center"/>
          </w:tcPr>
          <w:p w14:paraId="4FF3559B">
            <w:pPr>
              <w:pStyle w:val="18"/>
              <w:rPr>
                <w:lang w:val="en-US"/>
              </w:rPr>
            </w:pPr>
            <w:r>
              <w:rPr>
                <w:rFonts w:hint="eastAsia"/>
                <w:lang w:val="en-US"/>
              </w:rPr>
              <w:t>1台</w:t>
            </w:r>
          </w:p>
        </w:tc>
        <w:tc>
          <w:tcPr>
            <w:tcW w:w="405" w:type="pct"/>
            <w:shd w:val="clear" w:color="auto" w:fill="auto"/>
            <w:noWrap/>
            <w:vAlign w:val="center"/>
          </w:tcPr>
          <w:p w14:paraId="4BFB4CF4">
            <w:pPr>
              <w:pStyle w:val="18"/>
            </w:pPr>
            <w:r>
              <w:rPr>
                <w:rFonts w:hint="eastAsia"/>
                <w:lang w:val="en-US"/>
              </w:rPr>
              <w:t>国产</w:t>
            </w:r>
          </w:p>
        </w:tc>
        <w:tc>
          <w:tcPr>
            <w:tcW w:w="384" w:type="pct"/>
            <w:shd w:val="clear" w:color="auto" w:fill="auto"/>
            <w:noWrap/>
            <w:vAlign w:val="center"/>
          </w:tcPr>
          <w:p w14:paraId="31A03721">
            <w:pPr>
              <w:pStyle w:val="18"/>
              <w:rPr>
                <w:lang w:val="en-US"/>
              </w:rPr>
            </w:pPr>
            <w:r>
              <w:rPr>
                <w:rFonts w:hint="eastAsia"/>
                <w:lang w:val="en-US"/>
              </w:rPr>
              <w:t>2019</w:t>
            </w:r>
          </w:p>
        </w:tc>
        <w:tc>
          <w:tcPr>
            <w:tcW w:w="427" w:type="pct"/>
            <w:shd w:val="clear" w:color="auto" w:fill="auto"/>
            <w:noWrap/>
            <w:vAlign w:val="center"/>
          </w:tcPr>
          <w:p w14:paraId="4C71EA60">
            <w:pPr>
              <w:pStyle w:val="18"/>
              <w:rPr>
                <w:lang w:val="en-US"/>
              </w:rPr>
            </w:pPr>
            <w:r>
              <w:rPr>
                <w:rFonts w:hint="eastAsia"/>
                <w:lang w:val="en-US"/>
              </w:rPr>
              <w:t>206h</w:t>
            </w:r>
          </w:p>
        </w:tc>
        <w:tc>
          <w:tcPr>
            <w:tcW w:w="418" w:type="pct"/>
            <w:shd w:val="clear" w:color="auto" w:fill="auto"/>
            <w:noWrap/>
            <w:vAlign w:val="center"/>
          </w:tcPr>
          <w:p w14:paraId="01E33F10">
            <w:pPr>
              <w:pStyle w:val="18"/>
            </w:pPr>
            <w:r>
              <w:rPr>
                <w:rFonts w:hint="eastAsia"/>
                <w:lang w:val="en-US"/>
              </w:rPr>
              <w:t>检测</w:t>
            </w:r>
          </w:p>
        </w:tc>
        <w:tc>
          <w:tcPr>
            <w:tcW w:w="296" w:type="pct"/>
            <w:shd w:val="clear" w:color="auto" w:fill="auto"/>
            <w:noWrap/>
            <w:vAlign w:val="center"/>
          </w:tcPr>
          <w:p w14:paraId="526859EA">
            <w:pPr>
              <w:pStyle w:val="18"/>
            </w:pPr>
          </w:p>
        </w:tc>
      </w:tr>
      <w:tr w14:paraId="4D413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74B020E4">
            <w:pPr>
              <w:pStyle w:val="18"/>
              <w:rPr>
                <w:lang w:val="en-US"/>
              </w:rPr>
            </w:pPr>
            <w:r>
              <w:rPr>
                <w:rFonts w:hint="eastAsia"/>
                <w:lang w:val="en-US"/>
              </w:rPr>
              <w:t>19</w:t>
            </w:r>
          </w:p>
        </w:tc>
        <w:tc>
          <w:tcPr>
            <w:tcW w:w="1108" w:type="pct"/>
            <w:shd w:val="clear" w:color="auto" w:fill="auto"/>
            <w:noWrap/>
            <w:vAlign w:val="center"/>
          </w:tcPr>
          <w:p w14:paraId="03AD92AA">
            <w:pPr>
              <w:pStyle w:val="18"/>
              <w:rPr>
                <w:lang w:val="en-US"/>
              </w:rPr>
            </w:pPr>
            <w:r>
              <w:rPr>
                <w:rFonts w:hint="eastAsia"/>
                <w:lang w:val="en-US"/>
              </w:rPr>
              <w:t>TICO超声波混凝土检测仪</w:t>
            </w:r>
          </w:p>
        </w:tc>
        <w:tc>
          <w:tcPr>
            <w:tcW w:w="1262" w:type="pct"/>
            <w:shd w:val="clear" w:color="auto" w:fill="auto"/>
            <w:noWrap/>
            <w:vAlign w:val="center"/>
          </w:tcPr>
          <w:p w14:paraId="01C3CEEF">
            <w:pPr>
              <w:pStyle w:val="18"/>
            </w:pPr>
            <w:r>
              <w:t>EP-09550</w:t>
            </w:r>
          </w:p>
        </w:tc>
        <w:tc>
          <w:tcPr>
            <w:tcW w:w="367" w:type="pct"/>
            <w:shd w:val="clear" w:color="auto" w:fill="auto"/>
            <w:noWrap/>
            <w:vAlign w:val="center"/>
          </w:tcPr>
          <w:p w14:paraId="69ACCB3D">
            <w:pPr>
              <w:pStyle w:val="18"/>
              <w:rPr>
                <w:lang w:val="en-US"/>
              </w:rPr>
            </w:pPr>
            <w:r>
              <w:rPr>
                <w:rFonts w:hint="eastAsia"/>
                <w:lang w:val="en-US"/>
              </w:rPr>
              <w:t>1套</w:t>
            </w:r>
          </w:p>
        </w:tc>
        <w:tc>
          <w:tcPr>
            <w:tcW w:w="405" w:type="pct"/>
            <w:shd w:val="clear" w:color="auto" w:fill="auto"/>
            <w:noWrap/>
            <w:vAlign w:val="center"/>
          </w:tcPr>
          <w:p w14:paraId="0DB5715D">
            <w:pPr>
              <w:pStyle w:val="18"/>
            </w:pPr>
            <w:r>
              <w:rPr>
                <w:rFonts w:hint="eastAsia"/>
                <w:lang w:val="en-US"/>
              </w:rPr>
              <w:t>国产</w:t>
            </w:r>
          </w:p>
        </w:tc>
        <w:tc>
          <w:tcPr>
            <w:tcW w:w="384" w:type="pct"/>
            <w:shd w:val="clear" w:color="auto" w:fill="auto"/>
            <w:noWrap/>
            <w:vAlign w:val="center"/>
          </w:tcPr>
          <w:p w14:paraId="2698A522">
            <w:pPr>
              <w:pStyle w:val="18"/>
              <w:rPr>
                <w:lang w:val="en-US"/>
              </w:rPr>
            </w:pPr>
            <w:r>
              <w:rPr>
                <w:rFonts w:hint="eastAsia"/>
                <w:lang w:val="en-US"/>
              </w:rPr>
              <w:t>2021</w:t>
            </w:r>
          </w:p>
        </w:tc>
        <w:tc>
          <w:tcPr>
            <w:tcW w:w="427" w:type="pct"/>
            <w:shd w:val="clear" w:color="auto" w:fill="auto"/>
            <w:noWrap/>
            <w:vAlign w:val="center"/>
          </w:tcPr>
          <w:p w14:paraId="6E3FDD34">
            <w:pPr>
              <w:pStyle w:val="18"/>
              <w:rPr>
                <w:lang w:val="en-US"/>
              </w:rPr>
            </w:pPr>
            <w:r>
              <w:rPr>
                <w:rFonts w:hint="eastAsia"/>
                <w:lang w:val="en-US"/>
              </w:rPr>
              <w:t>32h</w:t>
            </w:r>
          </w:p>
        </w:tc>
        <w:tc>
          <w:tcPr>
            <w:tcW w:w="418" w:type="pct"/>
            <w:shd w:val="clear" w:color="auto" w:fill="auto"/>
            <w:noWrap/>
            <w:vAlign w:val="center"/>
          </w:tcPr>
          <w:p w14:paraId="29567BCD">
            <w:pPr>
              <w:pStyle w:val="18"/>
            </w:pPr>
            <w:r>
              <w:rPr>
                <w:rFonts w:hint="eastAsia"/>
                <w:lang w:val="en-US"/>
              </w:rPr>
              <w:t>检测</w:t>
            </w:r>
          </w:p>
        </w:tc>
        <w:tc>
          <w:tcPr>
            <w:tcW w:w="296" w:type="pct"/>
            <w:shd w:val="clear" w:color="auto" w:fill="auto"/>
            <w:noWrap/>
            <w:vAlign w:val="center"/>
          </w:tcPr>
          <w:p w14:paraId="57BD8413">
            <w:pPr>
              <w:pStyle w:val="18"/>
            </w:pPr>
          </w:p>
        </w:tc>
      </w:tr>
      <w:tr w14:paraId="00940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710AA12A">
            <w:pPr>
              <w:pStyle w:val="18"/>
              <w:rPr>
                <w:lang w:val="en-US"/>
              </w:rPr>
            </w:pPr>
            <w:r>
              <w:rPr>
                <w:rFonts w:hint="eastAsia"/>
                <w:lang w:val="en-US"/>
              </w:rPr>
              <w:t>20</w:t>
            </w:r>
          </w:p>
        </w:tc>
        <w:tc>
          <w:tcPr>
            <w:tcW w:w="1108" w:type="pct"/>
            <w:shd w:val="clear" w:color="auto" w:fill="auto"/>
            <w:noWrap/>
            <w:vAlign w:val="center"/>
          </w:tcPr>
          <w:p w14:paraId="4785DDD4">
            <w:pPr>
              <w:pStyle w:val="18"/>
              <w:rPr>
                <w:lang w:val="en-US"/>
              </w:rPr>
            </w:pPr>
            <w:r>
              <w:rPr>
                <w:rFonts w:hint="eastAsia"/>
                <w:lang w:val="en-US"/>
              </w:rPr>
              <w:t>接地电阻表</w:t>
            </w:r>
          </w:p>
        </w:tc>
        <w:tc>
          <w:tcPr>
            <w:tcW w:w="1262" w:type="pct"/>
            <w:shd w:val="clear" w:color="auto" w:fill="auto"/>
            <w:noWrap/>
            <w:vAlign w:val="center"/>
          </w:tcPr>
          <w:p w14:paraId="3EA232D9">
            <w:pPr>
              <w:pStyle w:val="18"/>
            </w:pPr>
            <w:r>
              <w:t>ZC-8</w:t>
            </w:r>
          </w:p>
        </w:tc>
        <w:tc>
          <w:tcPr>
            <w:tcW w:w="367" w:type="pct"/>
            <w:shd w:val="clear" w:color="auto" w:fill="auto"/>
            <w:noWrap/>
            <w:vAlign w:val="center"/>
          </w:tcPr>
          <w:p w14:paraId="3E4B518B">
            <w:pPr>
              <w:pStyle w:val="18"/>
              <w:rPr>
                <w:lang w:val="en-US"/>
              </w:rPr>
            </w:pPr>
            <w:r>
              <w:rPr>
                <w:rFonts w:hint="eastAsia"/>
                <w:lang w:val="en-US"/>
              </w:rPr>
              <w:t>1台</w:t>
            </w:r>
          </w:p>
        </w:tc>
        <w:tc>
          <w:tcPr>
            <w:tcW w:w="405" w:type="pct"/>
            <w:shd w:val="clear" w:color="auto" w:fill="auto"/>
            <w:noWrap/>
            <w:vAlign w:val="center"/>
          </w:tcPr>
          <w:p w14:paraId="56A3BF2C">
            <w:pPr>
              <w:pStyle w:val="18"/>
            </w:pPr>
            <w:r>
              <w:rPr>
                <w:rFonts w:hint="eastAsia"/>
                <w:lang w:val="en-US"/>
              </w:rPr>
              <w:t>国产</w:t>
            </w:r>
          </w:p>
        </w:tc>
        <w:tc>
          <w:tcPr>
            <w:tcW w:w="384" w:type="pct"/>
            <w:shd w:val="clear" w:color="auto" w:fill="auto"/>
            <w:noWrap/>
            <w:vAlign w:val="center"/>
          </w:tcPr>
          <w:p w14:paraId="7502B3DA">
            <w:pPr>
              <w:pStyle w:val="18"/>
              <w:rPr>
                <w:lang w:val="en-US"/>
              </w:rPr>
            </w:pPr>
            <w:r>
              <w:rPr>
                <w:rFonts w:hint="eastAsia"/>
                <w:lang w:val="en-US"/>
              </w:rPr>
              <w:t>2021</w:t>
            </w:r>
          </w:p>
        </w:tc>
        <w:tc>
          <w:tcPr>
            <w:tcW w:w="427" w:type="pct"/>
            <w:shd w:val="clear" w:color="auto" w:fill="auto"/>
            <w:noWrap/>
            <w:vAlign w:val="center"/>
          </w:tcPr>
          <w:p w14:paraId="7CEE3753">
            <w:pPr>
              <w:pStyle w:val="18"/>
              <w:rPr>
                <w:lang w:val="en-US"/>
              </w:rPr>
            </w:pPr>
            <w:r>
              <w:rPr>
                <w:rFonts w:hint="eastAsia"/>
                <w:lang w:val="en-US"/>
              </w:rPr>
              <w:t>45h</w:t>
            </w:r>
          </w:p>
        </w:tc>
        <w:tc>
          <w:tcPr>
            <w:tcW w:w="418" w:type="pct"/>
            <w:shd w:val="clear" w:color="auto" w:fill="auto"/>
            <w:noWrap/>
            <w:vAlign w:val="center"/>
          </w:tcPr>
          <w:p w14:paraId="5B2DB263">
            <w:pPr>
              <w:pStyle w:val="18"/>
            </w:pPr>
            <w:r>
              <w:rPr>
                <w:rFonts w:hint="eastAsia"/>
                <w:lang w:val="en-US"/>
              </w:rPr>
              <w:t>检测</w:t>
            </w:r>
          </w:p>
        </w:tc>
        <w:tc>
          <w:tcPr>
            <w:tcW w:w="296" w:type="pct"/>
            <w:shd w:val="clear" w:color="auto" w:fill="auto"/>
            <w:noWrap/>
            <w:vAlign w:val="center"/>
          </w:tcPr>
          <w:p w14:paraId="0C8E6B04">
            <w:pPr>
              <w:pStyle w:val="18"/>
            </w:pPr>
          </w:p>
        </w:tc>
      </w:tr>
      <w:tr w14:paraId="0B630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jc w:val="center"/>
        </w:trPr>
        <w:tc>
          <w:tcPr>
            <w:tcW w:w="327" w:type="pct"/>
            <w:shd w:val="clear" w:color="auto" w:fill="auto"/>
            <w:noWrap/>
            <w:vAlign w:val="center"/>
          </w:tcPr>
          <w:p w14:paraId="032A6077">
            <w:pPr>
              <w:pStyle w:val="18"/>
              <w:rPr>
                <w:lang w:val="en-US"/>
              </w:rPr>
            </w:pPr>
            <w:r>
              <w:rPr>
                <w:rFonts w:hint="eastAsia"/>
                <w:lang w:val="en-US"/>
              </w:rPr>
              <w:t>21</w:t>
            </w:r>
          </w:p>
        </w:tc>
        <w:tc>
          <w:tcPr>
            <w:tcW w:w="1108" w:type="pct"/>
            <w:shd w:val="clear" w:color="auto" w:fill="auto"/>
            <w:noWrap/>
            <w:vAlign w:val="center"/>
          </w:tcPr>
          <w:p w14:paraId="02DB80B2">
            <w:pPr>
              <w:pStyle w:val="18"/>
              <w:rPr>
                <w:lang w:val="en-US"/>
              </w:rPr>
            </w:pPr>
            <w:r>
              <w:rPr>
                <w:rFonts w:hint="eastAsia"/>
                <w:lang w:val="en-US"/>
              </w:rPr>
              <w:t>漏电保护</w:t>
            </w:r>
          </w:p>
          <w:p w14:paraId="73ABC2CE">
            <w:pPr>
              <w:pStyle w:val="18"/>
              <w:rPr>
                <w:lang w:val="en-US"/>
              </w:rPr>
            </w:pPr>
            <w:r>
              <w:rPr>
                <w:rFonts w:hint="eastAsia"/>
                <w:lang w:val="en-US"/>
              </w:rPr>
              <w:t>测试仪</w:t>
            </w:r>
          </w:p>
        </w:tc>
        <w:tc>
          <w:tcPr>
            <w:tcW w:w="1262" w:type="pct"/>
            <w:shd w:val="clear" w:color="auto" w:fill="auto"/>
            <w:noWrap/>
            <w:vAlign w:val="center"/>
          </w:tcPr>
          <w:p w14:paraId="630785B9">
            <w:pPr>
              <w:pStyle w:val="18"/>
            </w:pPr>
            <w:r>
              <w:t>9061型</w:t>
            </w:r>
          </w:p>
        </w:tc>
        <w:tc>
          <w:tcPr>
            <w:tcW w:w="367" w:type="pct"/>
            <w:shd w:val="clear" w:color="auto" w:fill="auto"/>
            <w:noWrap/>
            <w:vAlign w:val="center"/>
          </w:tcPr>
          <w:p w14:paraId="581621DA">
            <w:pPr>
              <w:pStyle w:val="18"/>
              <w:rPr>
                <w:lang w:val="en-US"/>
              </w:rPr>
            </w:pPr>
            <w:r>
              <w:rPr>
                <w:rFonts w:hint="eastAsia"/>
                <w:lang w:val="en-US"/>
              </w:rPr>
              <w:t>1台</w:t>
            </w:r>
          </w:p>
        </w:tc>
        <w:tc>
          <w:tcPr>
            <w:tcW w:w="405" w:type="pct"/>
            <w:shd w:val="clear" w:color="auto" w:fill="auto"/>
            <w:noWrap/>
            <w:vAlign w:val="center"/>
          </w:tcPr>
          <w:p w14:paraId="361DFAF9">
            <w:pPr>
              <w:pStyle w:val="18"/>
            </w:pPr>
            <w:r>
              <w:rPr>
                <w:rFonts w:hint="eastAsia"/>
                <w:lang w:val="en-US"/>
              </w:rPr>
              <w:t>国产</w:t>
            </w:r>
          </w:p>
        </w:tc>
        <w:tc>
          <w:tcPr>
            <w:tcW w:w="384" w:type="pct"/>
            <w:shd w:val="clear" w:color="auto" w:fill="auto"/>
            <w:noWrap/>
            <w:vAlign w:val="center"/>
          </w:tcPr>
          <w:p w14:paraId="275136E6">
            <w:pPr>
              <w:pStyle w:val="18"/>
              <w:rPr>
                <w:lang w:val="en-US"/>
              </w:rPr>
            </w:pPr>
            <w:r>
              <w:rPr>
                <w:rFonts w:hint="eastAsia"/>
                <w:lang w:val="en-US"/>
              </w:rPr>
              <w:t>2021</w:t>
            </w:r>
          </w:p>
        </w:tc>
        <w:tc>
          <w:tcPr>
            <w:tcW w:w="427" w:type="pct"/>
            <w:shd w:val="clear" w:color="auto" w:fill="auto"/>
            <w:noWrap/>
            <w:vAlign w:val="center"/>
          </w:tcPr>
          <w:p w14:paraId="6DFAEFEA">
            <w:pPr>
              <w:pStyle w:val="18"/>
              <w:rPr>
                <w:lang w:val="en-US"/>
              </w:rPr>
            </w:pPr>
            <w:r>
              <w:rPr>
                <w:rFonts w:hint="eastAsia"/>
                <w:lang w:val="en-US"/>
              </w:rPr>
              <w:t>0h</w:t>
            </w:r>
          </w:p>
        </w:tc>
        <w:tc>
          <w:tcPr>
            <w:tcW w:w="418" w:type="pct"/>
            <w:shd w:val="clear" w:color="auto" w:fill="auto"/>
            <w:noWrap/>
            <w:vAlign w:val="center"/>
          </w:tcPr>
          <w:p w14:paraId="37637625">
            <w:pPr>
              <w:pStyle w:val="18"/>
            </w:pPr>
            <w:r>
              <w:rPr>
                <w:rFonts w:hint="eastAsia"/>
                <w:lang w:val="en-US"/>
              </w:rPr>
              <w:t>检测</w:t>
            </w:r>
          </w:p>
        </w:tc>
        <w:tc>
          <w:tcPr>
            <w:tcW w:w="296" w:type="pct"/>
            <w:shd w:val="clear" w:color="auto" w:fill="auto"/>
            <w:noWrap/>
            <w:vAlign w:val="center"/>
          </w:tcPr>
          <w:p w14:paraId="07BC9DD6">
            <w:pPr>
              <w:pStyle w:val="18"/>
            </w:pPr>
          </w:p>
        </w:tc>
      </w:tr>
    </w:tbl>
    <w:p w14:paraId="30B4E37E">
      <w:pPr>
        <w:pStyle w:val="5"/>
        <w:spacing w:before="31" w:after="31"/>
        <w:ind w:firstLine="562"/>
      </w:pPr>
      <w:bookmarkStart w:id="10091" w:name="_Toc17769"/>
      <w:bookmarkStart w:id="10092" w:name="_Toc16842"/>
      <w:bookmarkStart w:id="10093" w:name="_Toc12785"/>
      <w:bookmarkStart w:id="10094" w:name="_Toc4751"/>
      <w:bookmarkStart w:id="10095" w:name="_Toc22899"/>
      <w:bookmarkStart w:id="10096" w:name="_Toc22888"/>
      <w:bookmarkStart w:id="10097" w:name="_Toc20367"/>
      <w:bookmarkStart w:id="10098" w:name="_Toc26787"/>
      <w:bookmarkStart w:id="10099" w:name="_Toc1913"/>
      <w:bookmarkStart w:id="10100" w:name="_Toc13848"/>
      <w:bookmarkStart w:id="10101" w:name="_Toc32759"/>
      <w:bookmarkStart w:id="10102" w:name="_Toc2861"/>
      <w:bookmarkStart w:id="10103" w:name="_Toc14306"/>
      <w:bookmarkStart w:id="10104" w:name="_Toc28612"/>
      <w:bookmarkStart w:id="10105" w:name="_Toc7378"/>
      <w:bookmarkStart w:id="10106" w:name="_Toc29440"/>
      <w:bookmarkStart w:id="10107" w:name="_Toc29311"/>
      <w:bookmarkStart w:id="10108" w:name="_Toc28572"/>
      <w:bookmarkStart w:id="10109" w:name="_Toc23229"/>
      <w:bookmarkStart w:id="10110" w:name="_Toc16178"/>
      <w:bookmarkStart w:id="10111" w:name="_Toc24299"/>
      <w:bookmarkStart w:id="10112" w:name="_Toc6220"/>
      <w:bookmarkStart w:id="10113" w:name="_Toc12577"/>
      <w:bookmarkStart w:id="10114" w:name="_Toc28473"/>
      <w:bookmarkStart w:id="10115" w:name="_Toc3443"/>
      <w:bookmarkStart w:id="10116" w:name="_Toc27606"/>
      <w:r>
        <w:rPr>
          <w:rFonts w:hint="eastAsia"/>
        </w:rPr>
        <w:t>（二）机械设备进场保证</w:t>
      </w:r>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p>
    <w:p w14:paraId="7B7B595E">
      <w:pPr>
        <w:ind w:firstLine="560"/>
      </w:pPr>
      <w:r>
        <w:rPr>
          <w:rFonts w:hint="eastAsia"/>
        </w:rPr>
        <w:t>1、该项目所使用的机械已经全部落实，所有自有设备均为空置设备，其余设备已与有实力、有资质的大型机械设备租赁公司签订了租赁协议，保证中标后上述所有设备均能按时投入到该项目使用。</w:t>
      </w:r>
    </w:p>
    <w:p w14:paraId="29D58F1C">
      <w:pPr>
        <w:ind w:firstLine="560"/>
      </w:pPr>
      <w:r>
        <w:rPr>
          <w:rFonts w:hint="eastAsia"/>
        </w:rPr>
        <w:t>2、一旦中标，我公司承诺将该项目列为公司的重点工程，必定集中所有可用资源（主要为施工机械）投入到该项目的施工中。</w:t>
      </w:r>
    </w:p>
    <w:p w14:paraId="25C50F85">
      <w:pPr>
        <w:ind w:firstLine="560"/>
      </w:pPr>
      <w:r>
        <w:rPr>
          <w:rFonts w:hint="eastAsia"/>
        </w:rPr>
        <w:t>3、确保自有施工设备的良好率。我公司拥有一套完整的机械保养制度和技术（包括熟练技术工人），确保所有的空闲、正运行的机械均保持良好的工作状态，确保了投入该项目的施工设备的良好率。</w:t>
      </w:r>
    </w:p>
    <w:p w14:paraId="68A5E032">
      <w:pPr>
        <w:ind w:firstLine="560"/>
      </w:pPr>
      <w:r>
        <w:rPr>
          <w:rFonts w:hint="eastAsia"/>
        </w:rPr>
        <w:t>4、我公司将派出熟悉掌握科学、合理的机械维修、保养制度，熟练的、有资格证书的机械维修技术工人专门负责对现场所有施工机械进行正常保养和紧急维修,确保施工机械的正常运作。</w:t>
      </w:r>
    </w:p>
    <w:p w14:paraId="04FBF229">
      <w:pPr>
        <w:pStyle w:val="5"/>
        <w:spacing w:before="31" w:after="31"/>
        <w:ind w:firstLine="562"/>
      </w:pPr>
      <w:bookmarkStart w:id="10117" w:name="_Toc843"/>
      <w:bookmarkStart w:id="10118" w:name="_Toc27386"/>
      <w:bookmarkStart w:id="10119" w:name="_Toc10347"/>
      <w:bookmarkStart w:id="10120" w:name="_Toc10857"/>
      <w:bookmarkStart w:id="10121" w:name="_Toc24358"/>
      <w:bookmarkStart w:id="10122" w:name="_Toc13300"/>
      <w:bookmarkStart w:id="10123" w:name="_Toc19068"/>
      <w:bookmarkStart w:id="10124" w:name="_Toc11278"/>
      <w:bookmarkStart w:id="10125" w:name="_Toc4998"/>
      <w:bookmarkStart w:id="10126" w:name="_Toc32162"/>
      <w:bookmarkStart w:id="10127" w:name="_Toc7978"/>
      <w:bookmarkStart w:id="10128" w:name="_Toc7303"/>
      <w:bookmarkStart w:id="10129" w:name="_Toc10944"/>
      <w:bookmarkStart w:id="10130" w:name="_Toc25167"/>
      <w:bookmarkStart w:id="10131" w:name="_Toc14715"/>
      <w:bookmarkStart w:id="10132" w:name="_Toc3621"/>
      <w:bookmarkStart w:id="10133" w:name="_Toc14672"/>
      <w:bookmarkStart w:id="10134" w:name="_Toc17396"/>
      <w:bookmarkStart w:id="10135" w:name="_Toc20577"/>
      <w:bookmarkStart w:id="10136" w:name="_Toc12348"/>
      <w:bookmarkStart w:id="10137" w:name="_Toc24177"/>
      <w:bookmarkStart w:id="10138" w:name="_Toc11946"/>
      <w:bookmarkStart w:id="10139" w:name="_Toc27216"/>
      <w:bookmarkStart w:id="10140" w:name="_Toc20487"/>
      <w:bookmarkStart w:id="10141" w:name="_Toc6921"/>
      <w:bookmarkStart w:id="10142" w:name="_Toc20883"/>
      <w:bookmarkStart w:id="10143" w:name="_Toc6775"/>
      <w:bookmarkStart w:id="10144" w:name="_Toc27453"/>
      <w:bookmarkStart w:id="10145" w:name="_Toc26080"/>
      <w:bookmarkStart w:id="10146" w:name="_Toc4278"/>
      <w:bookmarkStart w:id="10147" w:name="_Toc28416"/>
      <w:bookmarkStart w:id="10148" w:name="_Toc24047"/>
      <w:bookmarkStart w:id="10149" w:name="_Toc25699"/>
      <w:bookmarkStart w:id="10150" w:name="_Toc9620"/>
      <w:bookmarkStart w:id="10151" w:name="_Toc26296"/>
      <w:bookmarkStart w:id="10152" w:name="_Toc27394"/>
      <w:bookmarkStart w:id="10153" w:name="_Toc17419"/>
      <w:bookmarkStart w:id="10154" w:name="_Toc10513"/>
      <w:bookmarkStart w:id="10155" w:name="_Toc5232"/>
      <w:bookmarkStart w:id="10156" w:name="_Toc12669"/>
      <w:bookmarkStart w:id="10157" w:name="_Toc32647"/>
      <w:bookmarkStart w:id="10158" w:name="_Toc20843"/>
      <w:bookmarkStart w:id="10159" w:name="_Toc971"/>
      <w:bookmarkStart w:id="10160" w:name="_Toc10692"/>
      <w:bookmarkStart w:id="10161" w:name="_Toc30884"/>
      <w:bookmarkStart w:id="10162" w:name="_Toc23012"/>
      <w:bookmarkStart w:id="10163" w:name="_Toc14920"/>
      <w:bookmarkStart w:id="10164" w:name="_Toc31558"/>
      <w:bookmarkStart w:id="10165" w:name="_Toc26111"/>
      <w:bookmarkStart w:id="10166" w:name="_Toc32555"/>
      <w:bookmarkStart w:id="10167" w:name="_Toc18536"/>
      <w:bookmarkStart w:id="10168" w:name="_Toc5509"/>
      <w:bookmarkStart w:id="10169" w:name="_Toc28403"/>
      <w:r>
        <w:rPr>
          <w:rFonts w:hint="eastAsia"/>
        </w:rPr>
        <w:t>（三）机械设备投入计划</w:t>
      </w:r>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p>
    <w:p w14:paraId="22540D48">
      <w:pPr>
        <w:ind w:firstLine="560"/>
      </w:pPr>
      <w:r>
        <w:rPr>
          <w:rFonts w:hint="eastAsia"/>
        </w:rPr>
        <w:t>1、配备原则</w:t>
      </w:r>
    </w:p>
    <w:p w14:paraId="73BF6C28">
      <w:pPr>
        <w:ind w:firstLine="560"/>
      </w:pPr>
      <w:r>
        <w:rPr>
          <w:rFonts w:hint="eastAsia"/>
        </w:rPr>
        <w:t>机械设备配置原则：一是要配套，二是要先进，三是要满足施工需求，并略有富余，四是要保证其完好率和出勤率。</w:t>
      </w:r>
    </w:p>
    <w:p w14:paraId="2932AFBC">
      <w:pPr>
        <w:ind w:firstLine="560"/>
      </w:pPr>
      <w:r>
        <w:rPr>
          <w:rFonts w:hint="eastAsia"/>
        </w:rPr>
        <w:t>施工所需主要机械图例：</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1"/>
        <w:gridCol w:w="5341"/>
      </w:tblGrid>
      <w:tr w14:paraId="7AF90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00" w:type="pct"/>
            <w:shd w:val="clear" w:color="auto" w:fill="auto"/>
          </w:tcPr>
          <w:p w14:paraId="520249A9">
            <w:pPr>
              <w:pStyle w:val="18"/>
              <w:rPr>
                <w:lang w:val="en-US"/>
              </w:rPr>
            </w:pPr>
            <w:r>
              <w:rPr>
                <w:lang w:val="en-US" w:bidi="ar-SA"/>
              </w:rPr>
              <w:drawing>
                <wp:inline distT="0" distB="0" distL="114300" distR="114300">
                  <wp:extent cx="2266315" cy="1819910"/>
                  <wp:effectExtent l="0" t="0" r="635" b="8890"/>
                  <wp:docPr id="444" name="图片 20"/>
                  <wp:cNvGraphicFramePr/>
                  <a:graphic xmlns:a="http://schemas.openxmlformats.org/drawingml/2006/main">
                    <a:graphicData uri="http://schemas.openxmlformats.org/drawingml/2006/picture">
                      <pic:pic xmlns:pic="http://schemas.openxmlformats.org/drawingml/2006/picture">
                        <pic:nvPicPr>
                          <pic:cNvPr id="444" name="图片 20"/>
                          <pic:cNvPicPr/>
                        </pic:nvPicPr>
                        <pic:blipFill>
                          <a:blip r:embed="rId81">
                            <a:grayscl/>
                          </a:blip>
                          <a:stretch>
                            <a:fillRect/>
                          </a:stretch>
                        </pic:blipFill>
                        <pic:spPr>
                          <a:xfrm>
                            <a:off x="0" y="0"/>
                            <a:ext cx="2266315" cy="1819910"/>
                          </a:xfrm>
                          <a:prstGeom prst="rect">
                            <a:avLst/>
                          </a:prstGeom>
                          <a:noFill/>
                          <a:ln>
                            <a:noFill/>
                          </a:ln>
                        </pic:spPr>
                      </pic:pic>
                    </a:graphicData>
                  </a:graphic>
                </wp:inline>
              </w:drawing>
            </w:r>
          </w:p>
        </w:tc>
        <w:tc>
          <w:tcPr>
            <w:tcW w:w="2500" w:type="pct"/>
            <w:shd w:val="clear" w:color="auto" w:fill="auto"/>
          </w:tcPr>
          <w:p w14:paraId="22FE4846">
            <w:pPr>
              <w:pStyle w:val="18"/>
              <w:rPr>
                <w:lang w:val="en-US"/>
              </w:rPr>
            </w:pPr>
            <w:r>
              <w:rPr>
                <w:lang w:val="en-US" w:bidi="ar-SA"/>
              </w:rPr>
              <w:drawing>
                <wp:inline distT="0" distB="0" distL="114300" distR="114300">
                  <wp:extent cx="2181860" cy="1943100"/>
                  <wp:effectExtent l="0" t="0" r="8890" b="0"/>
                  <wp:docPr id="4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21"/>
                          <pic:cNvPicPr>
                            <a:picLocks noChangeAspect="1"/>
                          </pic:cNvPicPr>
                        </pic:nvPicPr>
                        <pic:blipFill>
                          <a:blip r:embed="rId82">
                            <a:grayscl/>
                          </a:blip>
                          <a:stretch>
                            <a:fillRect/>
                          </a:stretch>
                        </pic:blipFill>
                        <pic:spPr>
                          <a:xfrm>
                            <a:off x="0" y="0"/>
                            <a:ext cx="2181860" cy="1943100"/>
                          </a:xfrm>
                          <a:prstGeom prst="rect">
                            <a:avLst/>
                          </a:prstGeom>
                          <a:noFill/>
                          <a:ln>
                            <a:noFill/>
                          </a:ln>
                        </pic:spPr>
                      </pic:pic>
                    </a:graphicData>
                  </a:graphic>
                </wp:inline>
              </w:drawing>
            </w:r>
          </w:p>
        </w:tc>
      </w:tr>
      <w:tr w14:paraId="398B7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shd w:val="clear" w:color="auto" w:fill="auto"/>
          </w:tcPr>
          <w:p w14:paraId="29010DEC">
            <w:pPr>
              <w:pStyle w:val="18"/>
              <w:rPr>
                <w:lang w:val="en-US"/>
              </w:rPr>
            </w:pPr>
            <w:r>
              <w:rPr>
                <w:lang w:val="en-US" w:bidi="ar-SA"/>
              </w:rPr>
              <w:drawing>
                <wp:inline distT="0" distB="0" distL="114300" distR="114300">
                  <wp:extent cx="2628265" cy="1990090"/>
                  <wp:effectExtent l="0" t="0" r="635" b="0"/>
                  <wp:docPr id="4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22"/>
                          <pic:cNvPicPr>
                            <a:picLocks noChangeAspect="1"/>
                          </pic:cNvPicPr>
                        </pic:nvPicPr>
                        <pic:blipFill>
                          <a:blip r:embed="rId83">
                            <a:grayscl/>
                          </a:blip>
                          <a:srcRect t="9724"/>
                          <a:stretch>
                            <a:fillRect/>
                          </a:stretch>
                        </pic:blipFill>
                        <pic:spPr>
                          <a:xfrm>
                            <a:off x="0" y="0"/>
                            <a:ext cx="2628265" cy="1990090"/>
                          </a:xfrm>
                          <a:prstGeom prst="rect">
                            <a:avLst/>
                          </a:prstGeom>
                          <a:noFill/>
                          <a:ln>
                            <a:noFill/>
                          </a:ln>
                        </pic:spPr>
                      </pic:pic>
                    </a:graphicData>
                  </a:graphic>
                </wp:inline>
              </w:drawing>
            </w:r>
          </w:p>
        </w:tc>
        <w:tc>
          <w:tcPr>
            <w:tcW w:w="2500" w:type="pct"/>
            <w:shd w:val="clear" w:color="auto" w:fill="auto"/>
          </w:tcPr>
          <w:p w14:paraId="2361713E">
            <w:pPr>
              <w:pStyle w:val="18"/>
              <w:rPr>
                <w:lang w:val="en-US"/>
              </w:rPr>
            </w:pPr>
            <w:r>
              <w:rPr>
                <w:lang w:val="en-US" w:bidi="ar-SA"/>
              </w:rPr>
              <w:drawing>
                <wp:inline distT="0" distB="0" distL="114300" distR="114300">
                  <wp:extent cx="2628265" cy="2065655"/>
                  <wp:effectExtent l="0" t="0" r="635" b="0"/>
                  <wp:docPr id="4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23"/>
                          <pic:cNvPicPr>
                            <a:picLocks noChangeAspect="1"/>
                          </pic:cNvPicPr>
                        </pic:nvPicPr>
                        <pic:blipFill>
                          <a:blip r:embed="rId84">
                            <a:grayscl/>
                          </a:blip>
                          <a:stretch>
                            <a:fillRect/>
                          </a:stretch>
                        </pic:blipFill>
                        <pic:spPr>
                          <a:xfrm>
                            <a:off x="0" y="0"/>
                            <a:ext cx="2628265" cy="2065655"/>
                          </a:xfrm>
                          <a:prstGeom prst="rect">
                            <a:avLst/>
                          </a:prstGeom>
                          <a:noFill/>
                          <a:ln>
                            <a:noFill/>
                          </a:ln>
                        </pic:spPr>
                      </pic:pic>
                    </a:graphicData>
                  </a:graphic>
                </wp:inline>
              </w:drawing>
            </w:r>
          </w:p>
        </w:tc>
      </w:tr>
      <w:tr w14:paraId="73B42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shd w:val="clear" w:color="auto" w:fill="auto"/>
          </w:tcPr>
          <w:p w14:paraId="18640108">
            <w:pPr>
              <w:pStyle w:val="18"/>
              <w:rPr>
                <w:lang w:val="en-US"/>
              </w:rPr>
            </w:pPr>
            <w:r>
              <w:rPr>
                <w:lang w:val="en-US" w:bidi="ar-SA"/>
              </w:rPr>
              <w:drawing>
                <wp:inline distT="0" distB="0" distL="114300" distR="114300">
                  <wp:extent cx="2628265" cy="1831975"/>
                  <wp:effectExtent l="0" t="0" r="635" b="0"/>
                  <wp:docPr id="44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27"/>
                          <pic:cNvPicPr>
                            <a:picLocks noChangeAspect="1"/>
                          </pic:cNvPicPr>
                        </pic:nvPicPr>
                        <pic:blipFill>
                          <a:blip r:embed="rId85">
                            <a:grayscl/>
                          </a:blip>
                          <a:stretch>
                            <a:fillRect/>
                          </a:stretch>
                        </pic:blipFill>
                        <pic:spPr>
                          <a:xfrm>
                            <a:off x="0" y="0"/>
                            <a:ext cx="2628265" cy="1831975"/>
                          </a:xfrm>
                          <a:prstGeom prst="rect">
                            <a:avLst/>
                          </a:prstGeom>
                          <a:noFill/>
                          <a:ln>
                            <a:noFill/>
                          </a:ln>
                        </pic:spPr>
                      </pic:pic>
                    </a:graphicData>
                  </a:graphic>
                </wp:inline>
              </w:drawing>
            </w:r>
          </w:p>
        </w:tc>
        <w:tc>
          <w:tcPr>
            <w:tcW w:w="2500" w:type="pct"/>
            <w:shd w:val="clear" w:color="auto" w:fill="auto"/>
          </w:tcPr>
          <w:p w14:paraId="72E8A3E0">
            <w:pPr>
              <w:pStyle w:val="18"/>
              <w:rPr>
                <w:lang w:val="en-US"/>
              </w:rPr>
            </w:pPr>
            <w:r>
              <w:rPr>
                <w:lang w:val="en-US" w:bidi="ar-SA"/>
              </w:rPr>
              <w:drawing>
                <wp:inline distT="0" distB="0" distL="114300" distR="114300">
                  <wp:extent cx="2628265" cy="1816100"/>
                  <wp:effectExtent l="0" t="0" r="635" b="0"/>
                  <wp:docPr id="45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32"/>
                          <pic:cNvPicPr>
                            <a:picLocks noChangeAspect="1"/>
                          </pic:cNvPicPr>
                        </pic:nvPicPr>
                        <pic:blipFill>
                          <a:blip r:embed="rId86">
                            <a:grayscl/>
                          </a:blip>
                          <a:stretch>
                            <a:fillRect/>
                          </a:stretch>
                        </pic:blipFill>
                        <pic:spPr>
                          <a:xfrm>
                            <a:off x="0" y="0"/>
                            <a:ext cx="2628265" cy="1816100"/>
                          </a:xfrm>
                          <a:prstGeom prst="rect">
                            <a:avLst/>
                          </a:prstGeom>
                          <a:noFill/>
                          <a:ln>
                            <a:noFill/>
                          </a:ln>
                        </pic:spPr>
                      </pic:pic>
                    </a:graphicData>
                  </a:graphic>
                </wp:inline>
              </w:drawing>
            </w:r>
          </w:p>
        </w:tc>
      </w:tr>
    </w:tbl>
    <w:p w14:paraId="1C9C2EEC">
      <w:pPr>
        <w:ind w:firstLine="560"/>
      </w:pPr>
      <w:r>
        <w:rPr>
          <w:rFonts w:hint="eastAsia"/>
        </w:rPr>
        <w:t>施工所需主要试验和检测仪器设备图例：</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33"/>
        <w:gridCol w:w="5247"/>
      </w:tblGrid>
      <w:tr w14:paraId="3AEB7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3" w:type="pct"/>
            <w:shd w:val="clear" w:color="auto" w:fill="auto"/>
          </w:tcPr>
          <w:p w14:paraId="3953E7BA">
            <w:pPr>
              <w:pStyle w:val="18"/>
              <w:rPr>
                <w:lang w:val="en-US"/>
              </w:rPr>
            </w:pPr>
            <w:r>
              <w:rPr>
                <w:lang w:val="en-US" w:bidi="ar-SA"/>
              </w:rPr>
              <w:drawing>
                <wp:inline distT="0" distB="0" distL="114300" distR="114300">
                  <wp:extent cx="2628265" cy="2164080"/>
                  <wp:effectExtent l="0" t="0" r="635" b="7620"/>
                  <wp:docPr id="45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33"/>
                          <pic:cNvPicPr>
                            <a:picLocks noChangeAspect="1"/>
                          </pic:cNvPicPr>
                        </pic:nvPicPr>
                        <pic:blipFill>
                          <a:blip r:embed="rId87">
                            <a:grayscl/>
                          </a:blip>
                          <a:stretch>
                            <a:fillRect/>
                          </a:stretch>
                        </pic:blipFill>
                        <pic:spPr>
                          <a:xfrm>
                            <a:off x="0" y="0"/>
                            <a:ext cx="2628265" cy="2164080"/>
                          </a:xfrm>
                          <a:prstGeom prst="rect">
                            <a:avLst/>
                          </a:prstGeom>
                          <a:noFill/>
                          <a:ln>
                            <a:noFill/>
                          </a:ln>
                        </pic:spPr>
                      </pic:pic>
                    </a:graphicData>
                  </a:graphic>
                </wp:inline>
              </w:drawing>
            </w:r>
          </w:p>
        </w:tc>
        <w:tc>
          <w:tcPr>
            <w:tcW w:w="2456" w:type="pct"/>
            <w:shd w:val="clear" w:color="auto" w:fill="auto"/>
          </w:tcPr>
          <w:p w14:paraId="1F58F662">
            <w:pPr>
              <w:pStyle w:val="18"/>
              <w:rPr>
                <w:lang w:val="en-US"/>
              </w:rPr>
            </w:pPr>
            <w:r>
              <w:rPr>
                <w:lang w:val="en-US" w:bidi="ar-SA"/>
              </w:rPr>
              <w:drawing>
                <wp:inline distT="0" distB="0" distL="114300" distR="114300">
                  <wp:extent cx="2283460" cy="2104390"/>
                  <wp:effectExtent l="0" t="0" r="2540" b="0"/>
                  <wp:docPr id="45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34"/>
                          <pic:cNvPicPr>
                            <a:picLocks noChangeAspect="1"/>
                          </pic:cNvPicPr>
                        </pic:nvPicPr>
                        <pic:blipFill>
                          <a:blip r:embed="rId88">
                            <a:grayscl/>
                          </a:blip>
                          <a:stretch>
                            <a:fillRect/>
                          </a:stretch>
                        </pic:blipFill>
                        <pic:spPr>
                          <a:xfrm>
                            <a:off x="0" y="0"/>
                            <a:ext cx="2283460" cy="2104390"/>
                          </a:xfrm>
                          <a:prstGeom prst="rect">
                            <a:avLst/>
                          </a:prstGeom>
                          <a:noFill/>
                          <a:ln>
                            <a:noFill/>
                          </a:ln>
                        </pic:spPr>
                      </pic:pic>
                    </a:graphicData>
                  </a:graphic>
                </wp:inline>
              </w:drawing>
            </w:r>
          </w:p>
        </w:tc>
      </w:tr>
      <w:tr w14:paraId="00BC4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3" w:type="pct"/>
            <w:shd w:val="clear" w:color="auto" w:fill="auto"/>
          </w:tcPr>
          <w:p w14:paraId="32FBD3F0">
            <w:pPr>
              <w:pStyle w:val="18"/>
              <w:rPr>
                <w:lang w:val="en-US"/>
              </w:rPr>
            </w:pPr>
            <w:r>
              <w:rPr>
                <w:lang w:val="en-US" w:bidi="ar-SA"/>
              </w:rPr>
              <w:drawing>
                <wp:inline distT="0" distB="0" distL="114300" distR="114300">
                  <wp:extent cx="2628265" cy="1859915"/>
                  <wp:effectExtent l="0" t="0" r="635" b="6985"/>
                  <wp:docPr id="46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35"/>
                          <pic:cNvPicPr>
                            <a:picLocks noChangeAspect="1"/>
                          </pic:cNvPicPr>
                        </pic:nvPicPr>
                        <pic:blipFill>
                          <a:blip r:embed="rId89">
                            <a:grayscl/>
                          </a:blip>
                          <a:stretch>
                            <a:fillRect/>
                          </a:stretch>
                        </pic:blipFill>
                        <pic:spPr>
                          <a:xfrm>
                            <a:off x="0" y="0"/>
                            <a:ext cx="2628265" cy="1859915"/>
                          </a:xfrm>
                          <a:prstGeom prst="rect">
                            <a:avLst/>
                          </a:prstGeom>
                          <a:noFill/>
                          <a:ln>
                            <a:noFill/>
                          </a:ln>
                        </pic:spPr>
                      </pic:pic>
                    </a:graphicData>
                  </a:graphic>
                </wp:inline>
              </w:drawing>
            </w:r>
          </w:p>
        </w:tc>
        <w:tc>
          <w:tcPr>
            <w:tcW w:w="2456" w:type="pct"/>
            <w:shd w:val="clear" w:color="auto" w:fill="auto"/>
          </w:tcPr>
          <w:p w14:paraId="4F86A358">
            <w:pPr>
              <w:pStyle w:val="18"/>
              <w:rPr>
                <w:lang w:val="en-US"/>
              </w:rPr>
            </w:pPr>
            <w:r>
              <w:rPr>
                <w:lang w:val="en-US" w:bidi="ar-SA"/>
              </w:rPr>
              <w:drawing>
                <wp:inline distT="0" distB="0" distL="114300" distR="114300">
                  <wp:extent cx="1885950" cy="2531745"/>
                  <wp:effectExtent l="952" t="0" r="953" b="952"/>
                  <wp:docPr id="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6"/>
                          <pic:cNvPicPr>
                            <a:picLocks noChangeAspect="1"/>
                          </pic:cNvPicPr>
                        </pic:nvPicPr>
                        <pic:blipFill>
                          <a:blip r:embed="rId90">
                            <a:grayscl/>
                          </a:blip>
                          <a:srcRect t="3773"/>
                          <a:stretch>
                            <a:fillRect/>
                          </a:stretch>
                        </pic:blipFill>
                        <pic:spPr>
                          <a:xfrm rot="5400000">
                            <a:off x="0" y="0"/>
                            <a:ext cx="1885950" cy="2531745"/>
                          </a:xfrm>
                          <a:prstGeom prst="rect">
                            <a:avLst/>
                          </a:prstGeom>
                          <a:noFill/>
                          <a:ln>
                            <a:noFill/>
                          </a:ln>
                        </pic:spPr>
                      </pic:pic>
                    </a:graphicData>
                  </a:graphic>
                </wp:inline>
              </w:drawing>
            </w:r>
          </w:p>
        </w:tc>
      </w:tr>
      <w:tr w14:paraId="4CA79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3" w:type="pct"/>
            <w:shd w:val="clear" w:color="auto" w:fill="auto"/>
          </w:tcPr>
          <w:p w14:paraId="56C0AA0A">
            <w:pPr>
              <w:pStyle w:val="18"/>
              <w:rPr>
                <w:lang w:val="en-US"/>
              </w:rPr>
            </w:pPr>
            <w:r>
              <w:rPr>
                <w:lang w:val="en-US" w:bidi="ar-SA"/>
              </w:rPr>
              <w:drawing>
                <wp:inline distT="0" distB="0" distL="114300" distR="114300">
                  <wp:extent cx="2628265" cy="2140585"/>
                  <wp:effectExtent l="0" t="0" r="635" b="0"/>
                  <wp:docPr id="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7"/>
                          <pic:cNvPicPr>
                            <a:picLocks noChangeAspect="1"/>
                          </pic:cNvPicPr>
                        </pic:nvPicPr>
                        <pic:blipFill>
                          <a:blip r:embed="rId91">
                            <a:grayscl/>
                          </a:blip>
                          <a:stretch>
                            <a:fillRect/>
                          </a:stretch>
                        </pic:blipFill>
                        <pic:spPr>
                          <a:xfrm>
                            <a:off x="0" y="0"/>
                            <a:ext cx="2628265" cy="2140585"/>
                          </a:xfrm>
                          <a:prstGeom prst="rect">
                            <a:avLst/>
                          </a:prstGeom>
                          <a:noFill/>
                          <a:ln>
                            <a:noFill/>
                          </a:ln>
                        </pic:spPr>
                      </pic:pic>
                    </a:graphicData>
                  </a:graphic>
                </wp:inline>
              </w:drawing>
            </w:r>
          </w:p>
        </w:tc>
        <w:tc>
          <w:tcPr>
            <w:tcW w:w="2456" w:type="pct"/>
            <w:shd w:val="clear" w:color="auto" w:fill="auto"/>
          </w:tcPr>
          <w:p w14:paraId="132BCECE">
            <w:pPr>
              <w:pStyle w:val="18"/>
              <w:rPr>
                <w:lang w:val="en-US"/>
              </w:rPr>
            </w:pPr>
            <w:r>
              <w:rPr>
                <w:lang w:val="en-US" w:bidi="ar-SA"/>
              </w:rPr>
              <w:drawing>
                <wp:inline distT="0" distB="0" distL="114300" distR="114300">
                  <wp:extent cx="2351405" cy="2151380"/>
                  <wp:effectExtent l="0" t="0" r="0" b="1270"/>
                  <wp:docPr id="6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8"/>
                          <pic:cNvPicPr>
                            <a:picLocks noChangeAspect="1"/>
                          </pic:cNvPicPr>
                        </pic:nvPicPr>
                        <pic:blipFill>
                          <a:blip r:embed="rId92">
                            <a:grayscl/>
                          </a:blip>
                          <a:stretch>
                            <a:fillRect/>
                          </a:stretch>
                        </pic:blipFill>
                        <pic:spPr>
                          <a:xfrm>
                            <a:off x="0" y="0"/>
                            <a:ext cx="2351405" cy="2151380"/>
                          </a:xfrm>
                          <a:prstGeom prst="rect">
                            <a:avLst/>
                          </a:prstGeom>
                          <a:noFill/>
                          <a:ln>
                            <a:noFill/>
                          </a:ln>
                        </pic:spPr>
                      </pic:pic>
                    </a:graphicData>
                  </a:graphic>
                </wp:inline>
              </w:drawing>
            </w:r>
          </w:p>
        </w:tc>
      </w:tr>
      <w:tr w14:paraId="3A0D7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3" w:type="pct"/>
            <w:shd w:val="clear" w:color="auto" w:fill="auto"/>
          </w:tcPr>
          <w:p w14:paraId="70F384C8">
            <w:pPr>
              <w:pStyle w:val="18"/>
              <w:rPr>
                <w:lang w:val="en-US"/>
              </w:rPr>
            </w:pPr>
            <w:r>
              <w:rPr>
                <w:lang w:val="en-US" w:bidi="ar-SA"/>
              </w:rPr>
              <w:drawing>
                <wp:inline distT="0" distB="0" distL="114300" distR="114300">
                  <wp:extent cx="2628265" cy="1974215"/>
                  <wp:effectExtent l="0" t="0" r="635" b="6985"/>
                  <wp:docPr id="47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39"/>
                          <pic:cNvPicPr>
                            <a:picLocks noChangeAspect="1"/>
                          </pic:cNvPicPr>
                        </pic:nvPicPr>
                        <pic:blipFill>
                          <a:blip r:embed="rId93">
                            <a:grayscl/>
                          </a:blip>
                          <a:stretch>
                            <a:fillRect/>
                          </a:stretch>
                        </pic:blipFill>
                        <pic:spPr>
                          <a:xfrm>
                            <a:off x="0" y="0"/>
                            <a:ext cx="2628265" cy="1974215"/>
                          </a:xfrm>
                          <a:prstGeom prst="rect">
                            <a:avLst/>
                          </a:prstGeom>
                          <a:noFill/>
                          <a:ln>
                            <a:noFill/>
                          </a:ln>
                        </pic:spPr>
                      </pic:pic>
                    </a:graphicData>
                  </a:graphic>
                </wp:inline>
              </w:drawing>
            </w:r>
          </w:p>
        </w:tc>
        <w:tc>
          <w:tcPr>
            <w:tcW w:w="2456" w:type="pct"/>
            <w:shd w:val="clear" w:color="auto" w:fill="auto"/>
          </w:tcPr>
          <w:p w14:paraId="75572D9C">
            <w:pPr>
              <w:pStyle w:val="18"/>
              <w:rPr>
                <w:lang w:val="en-US"/>
              </w:rPr>
            </w:pPr>
            <w:r>
              <w:rPr>
                <w:lang w:val="en-US" w:bidi="ar-SA"/>
              </w:rPr>
              <w:drawing>
                <wp:inline distT="0" distB="0" distL="114300" distR="114300">
                  <wp:extent cx="2272030" cy="1952625"/>
                  <wp:effectExtent l="0" t="0" r="0" b="9525"/>
                  <wp:docPr id="47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0"/>
                          <pic:cNvPicPr>
                            <a:picLocks noChangeAspect="1"/>
                          </pic:cNvPicPr>
                        </pic:nvPicPr>
                        <pic:blipFill>
                          <a:blip r:embed="rId94">
                            <a:grayscl/>
                          </a:blip>
                          <a:stretch>
                            <a:fillRect/>
                          </a:stretch>
                        </pic:blipFill>
                        <pic:spPr>
                          <a:xfrm>
                            <a:off x="0" y="0"/>
                            <a:ext cx="2272030" cy="1952625"/>
                          </a:xfrm>
                          <a:prstGeom prst="rect">
                            <a:avLst/>
                          </a:prstGeom>
                          <a:noFill/>
                          <a:ln>
                            <a:noFill/>
                          </a:ln>
                        </pic:spPr>
                      </pic:pic>
                    </a:graphicData>
                  </a:graphic>
                </wp:inline>
              </w:drawing>
            </w:r>
          </w:p>
        </w:tc>
      </w:tr>
    </w:tbl>
    <w:p w14:paraId="6849E700">
      <w:pPr>
        <w:ind w:firstLine="560"/>
      </w:pPr>
      <w:r>
        <w:rPr>
          <w:rFonts w:hint="eastAsia"/>
        </w:rPr>
        <w:t>针对不同的工序施工，按专业化组织流水作业，以性能好、效率高、机况良好的大型机械设备装配本绿化工程的主要作业，实现各机械化作业的有机配合，用机械化程度的提高来实现本工程施工的稳产、高产。</w:t>
      </w:r>
    </w:p>
    <w:p w14:paraId="6BF7800E">
      <w:pPr>
        <w:ind w:firstLine="560"/>
      </w:pPr>
      <w:r>
        <w:rPr>
          <w:rFonts w:hint="eastAsia"/>
        </w:rPr>
        <w:t>优选精良、先进的适合本工程的最佳施工机械设备，合理进行匹配，尽快形成快速施工能力。</w:t>
      </w:r>
    </w:p>
    <w:p w14:paraId="2BDF459A">
      <w:pPr>
        <w:ind w:firstLine="560"/>
      </w:pPr>
      <w:r>
        <w:rPr>
          <w:rFonts w:hint="eastAsia"/>
        </w:rPr>
        <w:t>根据本工程工期及工程量，使机械设备能力大于进度计划指标能力，有足够的设备储备。同类机械设备尽可能采用同厂家设备，以便于维修、配件供应和通用互换，确保机械使用率。</w:t>
      </w:r>
    </w:p>
    <w:p w14:paraId="40C05204">
      <w:pPr>
        <w:ind w:firstLine="560"/>
      </w:pPr>
      <w:r>
        <w:rPr>
          <w:rFonts w:hint="eastAsia"/>
        </w:rPr>
        <w:t>试验、质量检测设备配置原则：仪器设备配置合理，数量充足，满足施工需求。设备功能先进，性能良好，状态稳定。全部仪器已经经过标定合格，并按期进行检定。</w:t>
      </w:r>
    </w:p>
    <w:p w14:paraId="5F18F499">
      <w:pPr>
        <w:ind w:firstLine="560"/>
      </w:pPr>
      <w:r>
        <w:rPr>
          <w:rFonts w:hint="eastAsia"/>
        </w:rPr>
        <w:t>2、机械设备、试验、质量检测设备进场计划</w:t>
      </w:r>
    </w:p>
    <w:p w14:paraId="564A58AF">
      <w:pPr>
        <w:ind w:firstLine="560"/>
      </w:pPr>
      <w:r>
        <w:rPr>
          <w:rFonts w:hint="eastAsia"/>
        </w:rPr>
        <w:t>机械设备进场计划：</w:t>
      </w:r>
    </w:p>
    <w:p w14:paraId="41058254">
      <w:pPr>
        <w:ind w:firstLine="560"/>
      </w:pPr>
      <w:r>
        <w:rPr>
          <w:rFonts w:hint="eastAsia"/>
        </w:rPr>
        <w:t>在接到业主中标通知书和业主指令后即按施工顺序开始准备施工机械的进场、组装、调试，确保工程顺利开工，施工机械设备,根据施工需要,通过运输方式运达现场，确保施工顺利进行。</w:t>
      </w:r>
    </w:p>
    <w:p w14:paraId="3E923228">
      <w:pPr>
        <w:pStyle w:val="4"/>
        <w:spacing w:before="93" w:after="31"/>
      </w:pPr>
      <w:bookmarkStart w:id="10170" w:name="_Toc1675"/>
      <w:bookmarkStart w:id="10171" w:name="_Toc1738"/>
      <w:bookmarkStart w:id="10172" w:name="_Toc3470"/>
      <w:bookmarkStart w:id="10173" w:name="_Toc31103"/>
      <w:bookmarkStart w:id="10174" w:name="_Toc21147"/>
      <w:bookmarkStart w:id="10175" w:name="_Toc4355"/>
      <w:bookmarkStart w:id="10176" w:name="_Toc13874"/>
      <w:bookmarkStart w:id="10177" w:name="_Toc19698"/>
      <w:bookmarkStart w:id="10178" w:name="_Toc1764"/>
      <w:bookmarkStart w:id="10179" w:name="_Toc31409"/>
      <w:bookmarkStart w:id="10180" w:name="_Toc8876"/>
      <w:bookmarkStart w:id="10181" w:name="_Toc28991"/>
      <w:bookmarkStart w:id="10182" w:name="_Toc9989"/>
      <w:bookmarkStart w:id="10183" w:name="_Toc5256"/>
      <w:bookmarkStart w:id="10184" w:name="_Toc18180"/>
      <w:bookmarkStart w:id="10185" w:name="_Toc13182"/>
      <w:bookmarkStart w:id="10186" w:name="_Toc1254"/>
      <w:bookmarkStart w:id="10187" w:name="_Toc17316"/>
      <w:bookmarkStart w:id="10188" w:name="_Toc20728"/>
      <w:bookmarkStart w:id="10189" w:name="_Toc22578"/>
      <w:bookmarkStart w:id="10190" w:name="_Toc7412"/>
      <w:bookmarkStart w:id="10191" w:name="_Toc7032"/>
      <w:bookmarkStart w:id="10192" w:name="_Toc30909"/>
      <w:bookmarkStart w:id="10193" w:name="_Toc3883"/>
      <w:bookmarkStart w:id="10194" w:name="_Toc22024"/>
      <w:bookmarkStart w:id="10195" w:name="_Toc7385"/>
      <w:bookmarkStart w:id="10196" w:name="_Toc30369"/>
      <w:bookmarkStart w:id="10197" w:name="_Toc453"/>
      <w:bookmarkStart w:id="10198" w:name="_Toc22826"/>
      <w:bookmarkStart w:id="10199" w:name="_Toc2736"/>
      <w:bookmarkStart w:id="10200" w:name="_Toc13510"/>
      <w:bookmarkStart w:id="10201" w:name="_Toc16580"/>
      <w:bookmarkStart w:id="10202" w:name="_Toc3826"/>
      <w:bookmarkStart w:id="10203" w:name="_Toc4049"/>
      <w:bookmarkStart w:id="10204" w:name="_Toc25587"/>
      <w:bookmarkStart w:id="10205" w:name="_Toc26620"/>
      <w:bookmarkStart w:id="10206" w:name="_Toc20409"/>
      <w:bookmarkStart w:id="10207" w:name="_Toc10488"/>
      <w:bookmarkStart w:id="10208" w:name="_Toc16278"/>
      <w:bookmarkStart w:id="10209" w:name="_Toc5909"/>
      <w:bookmarkStart w:id="10210" w:name="_Toc3282"/>
      <w:bookmarkStart w:id="10211" w:name="_Toc20167"/>
      <w:bookmarkStart w:id="10212" w:name="_Toc1975"/>
      <w:bookmarkStart w:id="10213" w:name="_Toc26937"/>
      <w:bookmarkStart w:id="10214" w:name="_Toc25965"/>
      <w:bookmarkStart w:id="10215" w:name="_Toc8103"/>
      <w:bookmarkStart w:id="10216" w:name="_Toc16040"/>
      <w:bookmarkStart w:id="10217" w:name="_Toc7004"/>
      <w:bookmarkStart w:id="10218" w:name="_Toc31671"/>
      <w:bookmarkStart w:id="10219" w:name="_Toc10645"/>
      <w:bookmarkStart w:id="10220" w:name="_Toc21931"/>
      <w:bookmarkStart w:id="10221" w:name="_Toc10213"/>
      <w:bookmarkStart w:id="10222" w:name="_Toc11426"/>
      <w:bookmarkStart w:id="10223" w:name="_Toc23667"/>
      <w:bookmarkStart w:id="10224" w:name="_Toc20524"/>
      <w:bookmarkStart w:id="10225" w:name="_Toc1185"/>
      <w:r>
        <w:rPr>
          <w:rFonts w:hint="eastAsia"/>
        </w:rPr>
        <w:t>二、机械设备管理保证措施</w:t>
      </w:r>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p>
    <w:p w14:paraId="46892C3F">
      <w:pPr>
        <w:pStyle w:val="5"/>
        <w:spacing w:before="31" w:after="31"/>
        <w:ind w:firstLine="562"/>
      </w:pPr>
      <w:bookmarkStart w:id="10226" w:name="_Toc21560"/>
      <w:bookmarkStart w:id="10227" w:name="_Toc4503"/>
      <w:bookmarkStart w:id="10228" w:name="_Toc27488"/>
      <w:bookmarkStart w:id="10229" w:name="_Toc27019"/>
      <w:bookmarkStart w:id="10230" w:name="_Toc24988"/>
      <w:bookmarkStart w:id="10231" w:name="_Toc23609"/>
      <w:bookmarkStart w:id="10232" w:name="_Toc24737"/>
      <w:bookmarkStart w:id="10233" w:name="_Toc30744"/>
      <w:bookmarkStart w:id="10234" w:name="_Toc27073"/>
      <w:bookmarkStart w:id="10235" w:name="_Toc25348"/>
      <w:bookmarkStart w:id="10236" w:name="_Toc32411"/>
      <w:bookmarkStart w:id="10237" w:name="_Toc17750"/>
      <w:bookmarkStart w:id="10238" w:name="_Toc19454"/>
      <w:bookmarkStart w:id="10239" w:name="_Toc23029"/>
      <w:bookmarkStart w:id="10240" w:name="_Toc11363"/>
      <w:bookmarkStart w:id="10241" w:name="_Toc5225"/>
      <w:bookmarkStart w:id="10242" w:name="_Toc20358"/>
      <w:bookmarkStart w:id="10243" w:name="_Toc27802"/>
      <w:bookmarkStart w:id="10244" w:name="_Toc26980"/>
      <w:bookmarkStart w:id="10245" w:name="_Toc12231"/>
      <w:bookmarkStart w:id="10246" w:name="_Toc21995"/>
      <w:bookmarkStart w:id="10247" w:name="_Toc23252"/>
      <w:bookmarkStart w:id="10248" w:name="_Toc20201"/>
      <w:bookmarkStart w:id="10249" w:name="_Toc8934"/>
      <w:bookmarkStart w:id="10250" w:name="_Toc17483"/>
      <w:bookmarkStart w:id="10251" w:name="_Toc24204"/>
      <w:bookmarkStart w:id="10252" w:name="_Toc22768"/>
      <w:bookmarkStart w:id="10253" w:name="_Toc2766"/>
      <w:bookmarkStart w:id="10254" w:name="_Toc32152"/>
      <w:bookmarkStart w:id="10255" w:name="_Toc12939"/>
      <w:bookmarkStart w:id="10256" w:name="_Toc11967"/>
      <w:bookmarkStart w:id="10257" w:name="_Toc29435"/>
      <w:bookmarkStart w:id="10258" w:name="_Toc31443"/>
      <w:bookmarkStart w:id="10259" w:name="_Toc23525"/>
      <w:bookmarkStart w:id="10260" w:name="_Toc24763"/>
      <w:bookmarkStart w:id="10261" w:name="_Toc4343"/>
      <w:bookmarkStart w:id="10262" w:name="_Toc26434"/>
      <w:bookmarkStart w:id="10263" w:name="_Toc25453"/>
      <w:bookmarkStart w:id="10264" w:name="_Toc23914"/>
      <w:bookmarkStart w:id="10265" w:name="_Toc1783"/>
      <w:bookmarkStart w:id="10266" w:name="_Toc23385"/>
      <w:bookmarkStart w:id="10267" w:name="_Toc29426"/>
      <w:bookmarkStart w:id="10268" w:name="_Toc11393"/>
      <w:bookmarkStart w:id="10269" w:name="_Toc13807"/>
      <w:bookmarkStart w:id="10270" w:name="_Toc30536"/>
      <w:bookmarkStart w:id="10271" w:name="_Toc28423"/>
      <w:bookmarkStart w:id="10272" w:name="_Toc9665"/>
      <w:bookmarkStart w:id="10273" w:name="_Toc19880"/>
      <w:bookmarkStart w:id="10274" w:name="_Toc6991"/>
      <w:bookmarkStart w:id="10275" w:name="_Toc26804"/>
      <w:bookmarkStart w:id="10276" w:name="_Toc16016"/>
      <w:bookmarkStart w:id="10277" w:name="_Toc9844"/>
      <w:r>
        <w:rPr>
          <w:rFonts w:hint="eastAsia"/>
        </w:rPr>
        <w:t>（一）机械设备管理</w:t>
      </w:r>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p>
    <w:p w14:paraId="0C01B92A">
      <w:pPr>
        <w:ind w:firstLine="560"/>
      </w:pPr>
      <w:r>
        <w:rPr>
          <w:rFonts w:hint="eastAsia"/>
        </w:rPr>
        <w:t>1、机具设备管理制度</w:t>
      </w:r>
    </w:p>
    <w:p w14:paraId="5110FDE9">
      <w:pPr>
        <w:ind w:firstLine="560"/>
      </w:pPr>
      <w:r>
        <w:rPr>
          <w:rFonts w:hint="eastAsia"/>
        </w:rPr>
        <w:t>机械设备管理“八步骤”</w:t>
      </w:r>
    </w:p>
    <w:p w14:paraId="3004C4FD">
      <w:pPr>
        <w:pStyle w:val="18"/>
        <w:rPr>
          <w:lang w:val="en-US"/>
        </w:rPr>
      </w:pPr>
      <w:r>
        <w:rPr>
          <w:lang w:val="en-US" w:bidi="ar-SA"/>
        </w:rPr>
        <w:drawing>
          <wp:inline distT="0" distB="0" distL="114300" distR="114300">
            <wp:extent cx="5273040" cy="4266565"/>
            <wp:effectExtent l="0" t="0" r="3810"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95">
                      <a:grayscl/>
                    </a:blip>
                    <a:srcRect t="1104"/>
                    <a:stretch>
                      <a:fillRect/>
                    </a:stretch>
                  </pic:blipFill>
                  <pic:spPr>
                    <a:xfrm>
                      <a:off x="0" y="0"/>
                      <a:ext cx="5273040" cy="4266565"/>
                    </a:xfrm>
                    <a:prstGeom prst="rect">
                      <a:avLst/>
                    </a:prstGeom>
                    <a:noFill/>
                    <a:ln>
                      <a:noFill/>
                    </a:ln>
                  </pic:spPr>
                </pic:pic>
              </a:graphicData>
            </a:graphic>
          </wp:inline>
        </w:drawing>
      </w:r>
    </w:p>
    <w:p w14:paraId="245B84B7">
      <w:pPr>
        <w:ind w:firstLine="560"/>
      </w:pPr>
      <w:r>
        <w:rPr>
          <w:rFonts w:hint="eastAsia"/>
        </w:rPr>
        <w:t>公司派驻工地所有机具设备管理由工地项目部负责，并确定由专职技术人员进行统一管理，具体负责机具设备的日常检查、维修等工作。</w:t>
      </w:r>
    </w:p>
    <w:p w14:paraId="2A9D7C40">
      <w:pPr>
        <w:ind w:firstLine="560"/>
      </w:pPr>
      <w:r>
        <w:rPr>
          <w:rFonts w:hint="eastAsia"/>
        </w:rPr>
        <w:t>机具设备必须按运管部门规定建立统一台账，按规定及要求正确记录各项内容，同时应妥善保存产品合格证、使用说明书，检修记录等资料。机具设备应统一编号，按照施工进度提取使用。</w:t>
      </w:r>
    </w:p>
    <w:p w14:paraId="4B43D085">
      <w:pPr>
        <w:ind w:firstLine="560"/>
      </w:pPr>
      <w:r>
        <w:rPr>
          <w:rFonts w:hint="eastAsia"/>
        </w:rPr>
        <w:t>专用设备必须确定专人保管及使用，保管人应对设备做到“四懂三会”即懂原理、懂结构、懂用途、懂性能、会操作、会保养、会排除一般故障。</w:t>
      </w:r>
    </w:p>
    <w:p w14:paraId="35874065">
      <w:pPr>
        <w:ind w:firstLine="560"/>
      </w:pPr>
      <w:r>
        <w:rPr>
          <w:rFonts w:hint="eastAsia"/>
        </w:rPr>
        <w:t>机具设备应按用途、技术性能、操作规程和安全规程正确使用，严禁超负荷、超温、超压使用。使用中发现异常现象，应立即停机及时排除，严禁带病作业。</w:t>
      </w:r>
    </w:p>
    <w:p w14:paraId="3FDE9B0B">
      <w:pPr>
        <w:ind w:firstLine="560"/>
      </w:pPr>
      <w:r>
        <w:rPr>
          <w:rFonts w:hint="eastAsia"/>
        </w:rPr>
        <w:t>机具设备应经常检查、定期维护，发现故障及时修复，应确保机具设备处于良好的技术状态和使用精度。机具设备如有损坏应及时报告，并查明原因，分清责任后，再进行修复或补充。</w:t>
      </w:r>
    </w:p>
    <w:p w14:paraId="0A35474A">
      <w:pPr>
        <w:ind w:firstLine="560"/>
      </w:pPr>
      <w:r>
        <w:rPr>
          <w:rFonts w:hint="eastAsia"/>
        </w:rPr>
        <w:t>发放给个人使用的机工具必须妥善保管，不得无故丢失或损坏。领用机工具应按规定登记，使用完毕后及时交还。保管员应定期清点所保管的机工具，发现缺损及时报告。</w:t>
      </w:r>
    </w:p>
    <w:p w14:paraId="743480A4">
      <w:pPr>
        <w:ind w:firstLine="560"/>
      </w:pPr>
      <w:r>
        <w:rPr>
          <w:rFonts w:hint="eastAsia"/>
        </w:rPr>
        <w:t>报废和增添机具设备应编制计划，新购机具的能源、油料、附件等应符合说明书规定，不得使用代用品和不合格品。</w:t>
      </w:r>
    </w:p>
    <w:p w14:paraId="5605A826">
      <w:pPr>
        <w:ind w:firstLine="560"/>
      </w:pPr>
      <w:r>
        <w:rPr>
          <w:rFonts w:hint="eastAsia"/>
        </w:rPr>
        <w:t>有关设备的操作人员必须按规定持证上岗，应经常教育操作者自觉爱护设备的良好习惯，使设备的完好率保持在95％以上。</w:t>
      </w:r>
    </w:p>
    <w:p w14:paraId="7978C8EB">
      <w:pPr>
        <w:ind w:firstLine="560"/>
      </w:pPr>
      <w:r>
        <w:rPr>
          <w:rFonts w:hint="eastAsia"/>
        </w:rPr>
        <w:t>设备的维护分为日常维护、一级维护、二级维护。设备维护的主要内容是：清洁、润滑、紧固、调整、防腐。</w:t>
      </w:r>
    </w:p>
    <w:p w14:paraId="7DED2F31">
      <w:pPr>
        <w:ind w:firstLine="560"/>
      </w:pPr>
      <w:r>
        <w:rPr>
          <w:rFonts w:hint="eastAsia"/>
        </w:rPr>
        <w:t>日常维护：日常维护由操作工进行，重点是清洁机身、润滑运动部件，紧固易松动的螺丝、检查零部件的完整。</w:t>
      </w:r>
    </w:p>
    <w:p w14:paraId="0257948D">
      <w:pPr>
        <w:ind w:firstLine="560"/>
      </w:pPr>
      <w:r>
        <w:rPr>
          <w:rFonts w:hint="eastAsia"/>
        </w:rPr>
        <w:t>一级维护：当设备累计运转500-600小时，要进行一级维护，一级维护由操作工进行，它除执行日常维护的作业项目外，还要对设备进行局部解体、清洁、检查所规定的部位，疏通油路、更换油伐、油毡，调整设备各部位的配合间隙，紧固设备各个部位。</w:t>
      </w:r>
    </w:p>
    <w:p w14:paraId="2FC0CEBA">
      <w:pPr>
        <w:ind w:firstLine="560"/>
      </w:pPr>
      <w:r>
        <w:rPr>
          <w:rFonts w:hint="eastAsia"/>
        </w:rPr>
        <w:t>二级维护：当设备累计运转2000-2500小时，要进行二级保护以维修工为主，操作工配合，对设备进行部分解体、检查，更换或修复磨损零件，局部恢复精度；润滑系统；润滑系统清洗、换油；电气系统检查、修理。</w:t>
      </w:r>
    </w:p>
    <w:p w14:paraId="2E6001DC">
      <w:pPr>
        <w:ind w:firstLine="560"/>
      </w:pPr>
      <w:r>
        <w:rPr>
          <w:rFonts w:hint="eastAsia"/>
        </w:rPr>
        <w:t>设备的修理分为小修、中修、大修。设备修理的主要内容是：修复或更换已经磨损、断裂、腐蚀老化的零件、部件、使设备的效能得到恢复。</w:t>
      </w:r>
    </w:p>
    <w:p w14:paraId="4B3E89B1">
      <w:pPr>
        <w:ind w:firstLine="560"/>
      </w:pPr>
      <w:r>
        <w:rPr>
          <w:rFonts w:hint="eastAsia"/>
        </w:rPr>
        <w:t>小修：是指针对性地局部修理。一般在设备使用在设备使用地修复小故障，更换少量磨损件，并进行调整等。</w:t>
      </w:r>
    </w:p>
    <w:p w14:paraId="7FEE7D2E">
      <w:pPr>
        <w:ind w:firstLine="560"/>
      </w:pPr>
      <w:r>
        <w:rPr>
          <w:rFonts w:hint="eastAsia"/>
        </w:rPr>
        <w:t>中修：更换或修复设备的主要零部件和磨损件，校正设备基准，以便恢复和达到规定项目的精度、性能和技术要求。</w:t>
      </w:r>
    </w:p>
    <w:p w14:paraId="3C61602C">
      <w:pPr>
        <w:ind w:firstLine="560"/>
      </w:pPr>
      <w:r>
        <w:rPr>
          <w:rFonts w:hint="eastAsia"/>
        </w:rPr>
        <w:t>大修：对设备全部解体，修理基准件，更换和修复全部磨损件，恢复设备原有精度、性能和效率，达到规定的标准。</w:t>
      </w:r>
    </w:p>
    <w:p w14:paraId="56BE3E89">
      <w:pPr>
        <w:ind w:firstLine="560"/>
      </w:pPr>
      <w:r>
        <w:rPr>
          <w:rFonts w:hint="eastAsia"/>
        </w:rPr>
        <w:t>各种设备的维护项目要针对不同设备的特点进行具体规定，或参照有关说明书进行。设备除了故障或损坏进行小修、中修外，要有计划地大修，不许设备从购入一直使用到报废为止。</w:t>
      </w:r>
    </w:p>
    <w:p w14:paraId="4D012032">
      <w:pPr>
        <w:ind w:firstLine="560"/>
      </w:pPr>
      <w:r>
        <w:rPr>
          <w:rFonts w:hint="eastAsia"/>
        </w:rPr>
        <w:t>2、机械设备安全技术操作规程</w:t>
      </w:r>
    </w:p>
    <w:p w14:paraId="18748228">
      <w:pPr>
        <w:ind w:firstLine="560"/>
      </w:pPr>
      <w:r>
        <w:rPr>
          <w:rFonts w:hint="eastAsia"/>
        </w:rPr>
        <w:t>操作人员工作时精力应集中，不得吸烟及吃食物或与别人谈笑及看书，加油时禁止吸烟和接近明火。</w:t>
      </w:r>
    </w:p>
    <w:p w14:paraId="0BC98167">
      <w:pPr>
        <w:ind w:firstLine="560"/>
      </w:pPr>
      <w:r>
        <w:rPr>
          <w:rFonts w:hint="eastAsia"/>
        </w:rPr>
        <w:t>必须认真执行例行保养，发现问题及时解决本人不能解决的问题，应请示报修。</w:t>
      </w:r>
    </w:p>
    <w:p w14:paraId="5BB470CC">
      <w:pPr>
        <w:ind w:firstLine="560"/>
      </w:pPr>
      <w:r>
        <w:rPr>
          <w:rFonts w:hint="eastAsia"/>
        </w:rPr>
        <w:t>登机操作前，不能饮酒，患有妨碍驾驶疾病者，不许操作机械或车辆。</w:t>
      </w:r>
    </w:p>
    <w:p w14:paraId="658B0708">
      <w:pPr>
        <w:ind w:firstLine="560"/>
      </w:pPr>
      <w:r>
        <w:rPr>
          <w:rFonts w:hint="eastAsia"/>
        </w:rPr>
        <w:t>机械作业前，要听取指挥人员交底，并要根据情况或合同制订相应安全措施后方可进行工作。</w:t>
      </w:r>
    </w:p>
    <w:p w14:paraId="3854677A">
      <w:pPr>
        <w:ind w:firstLine="560"/>
      </w:pPr>
      <w:r>
        <w:rPr>
          <w:rFonts w:hint="eastAsia"/>
        </w:rPr>
        <w:t>进入施工现场应遵守现场安全规定，听从现场人员指挥，对现场涉及机械、人员安全情况及时提出意见。</w:t>
      </w:r>
    </w:p>
    <w:p w14:paraId="305BE9D8">
      <w:pPr>
        <w:ind w:firstLine="560"/>
      </w:pPr>
      <w:r>
        <w:rPr>
          <w:rFonts w:hint="eastAsia"/>
        </w:rPr>
        <w:t>操作人员必须了解掌握操作方法和保养规程，经考试合格后，领取机械设备操作证后方可单独操作。</w:t>
      </w:r>
    </w:p>
    <w:p w14:paraId="0BF12855">
      <w:pPr>
        <w:ind w:firstLine="560"/>
      </w:pPr>
      <w:r>
        <w:rPr>
          <w:rFonts w:hint="eastAsia"/>
        </w:rPr>
        <w:t>建立交接班制度，本班操作人员介绍机械运转情况和工作中发现的问题，接班操作人员要检查主要机械及附属工作装置等，交接完善后方可开始工作。</w:t>
      </w:r>
    </w:p>
    <w:p w14:paraId="3589274E">
      <w:pPr>
        <w:ind w:firstLine="560"/>
      </w:pPr>
      <w:r>
        <w:rPr>
          <w:rFonts w:hint="eastAsia"/>
        </w:rPr>
        <w:t>夜间工作时，工作现场及驾驶室内应有足够的照明设施，灯光应齐全完好。</w:t>
      </w:r>
    </w:p>
    <w:p w14:paraId="43448E3B">
      <w:pPr>
        <w:ind w:firstLine="560"/>
      </w:pPr>
      <w:r>
        <w:rPr>
          <w:rFonts w:hint="eastAsia"/>
        </w:rPr>
        <w:t>不得擅离职守，不得将机械交给非指定人员驾驶。</w:t>
      </w:r>
    </w:p>
    <w:p w14:paraId="5443CD39">
      <w:pPr>
        <w:ind w:firstLine="560"/>
      </w:pPr>
      <w:r>
        <w:rPr>
          <w:rFonts w:hint="eastAsia"/>
        </w:rPr>
        <w:t>配合机械作业辅助人员，应听从指挥，严禁随意转动机械。</w:t>
      </w:r>
    </w:p>
    <w:p w14:paraId="3FBAEFD0">
      <w:pPr>
        <w:ind w:firstLine="560"/>
      </w:pPr>
      <w:r>
        <w:rPr>
          <w:rFonts w:hint="eastAsia"/>
        </w:rPr>
        <w:t>3、责任分工</w:t>
      </w:r>
    </w:p>
    <w:p w14:paraId="74216042">
      <w:pPr>
        <w:ind w:firstLine="560"/>
      </w:pPr>
      <w:r>
        <w:rPr>
          <w:rFonts w:hint="eastAsia"/>
        </w:rPr>
        <w:t>使用后的机械设备交回时，由物资设备部维修车间检验员填写“机械设备入库验收单”，与使用方设备员共同签字认可，验证设备除正常磨损外，是否有总成及零配件，仪表、附件等缺损，以便分清责任。</w:t>
      </w:r>
    </w:p>
    <w:p w14:paraId="1F171E46">
      <w:pPr>
        <w:ind w:firstLine="560"/>
      </w:pPr>
      <w:r>
        <w:rPr>
          <w:rFonts w:hint="eastAsia"/>
        </w:rPr>
        <w:t>从工地交回的机械设备，由维修车间负责维修保养，保证设备再次投入使用时运转正常。</w:t>
      </w:r>
    </w:p>
    <w:p w14:paraId="1103EBD9">
      <w:pPr>
        <w:ind w:firstLine="560"/>
      </w:pPr>
      <w:r>
        <w:rPr>
          <w:rFonts w:hint="eastAsia"/>
        </w:rPr>
        <w:t>根据设备的技术状况，确定修理类别并填写《施工设备维修保养记录》，其正常费用摊入项目成本。由于违反设备维修保养规程，非正常使用而造成的机械设备损坏，其修理费用由使用方承担。</w:t>
      </w:r>
    </w:p>
    <w:p w14:paraId="2FCBC10B">
      <w:pPr>
        <w:ind w:firstLine="560"/>
      </w:pPr>
      <w:r>
        <w:rPr>
          <w:rFonts w:hint="eastAsia"/>
        </w:rPr>
        <w:t>凡是已出库投入工地使用的设备，日常维护保养由操作工负责，经常性修理由使用单位的设备员及机修班负责。</w:t>
      </w:r>
    </w:p>
    <w:p w14:paraId="57315B9C">
      <w:pPr>
        <w:ind w:firstLine="560"/>
      </w:pPr>
      <w:r>
        <w:rPr>
          <w:rFonts w:hint="eastAsia"/>
        </w:rPr>
        <w:t>维修后的设备出库时，由物资设备部与使用方共同签字认可，并填写《施工设备、机具器材需用表》，不合格设备不准出库使用。</w:t>
      </w:r>
    </w:p>
    <w:p w14:paraId="17B6ECDF">
      <w:pPr>
        <w:pStyle w:val="5"/>
        <w:spacing w:before="31" w:after="31"/>
        <w:ind w:firstLine="562"/>
      </w:pPr>
      <w:bookmarkStart w:id="10278" w:name="_Toc8791"/>
      <w:bookmarkStart w:id="10279" w:name="_Toc25088"/>
      <w:bookmarkStart w:id="10280" w:name="_Toc9710"/>
      <w:bookmarkStart w:id="10281" w:name="_Toc13094"/>
      <w:bookmarkStart w:id="10282" w:name="_Toc31477"/>
      <w:bookmarkStart w:id="10283" w:name="_Toc501"/>
      <w:bookmarkStart w:id="10284" w:name="_Toc3544"/>
      <w:bookmarkStart w:id="10285" w:name="_Toc12117"/>
      <w:bookmarkStart w:id="10286" w:name="_Toc3255"/>
      <w:bookmarkStart w:id="10287" w:name="_Toc19810"/>
      <w:bookmarkStart w:id="10288" w:name="_Toc26807"/>
      <w:bookmarkStart w:id="10289" w:name="_Toc24717"/>
      <w:bookmarkStart w:id="10290" w:name="_Toc5013"/>
      <w:bookmarkStart w:id="10291" w:name="_Toc5267"/>
      <w:bookmarkStart w:id="10292" w:name="_Toc30112"/>
      <w:bookmarkStart w:id="10293" w:name="_Toc21295"/>
      <w:bookmarkStart w:id="10294" w:name="_Toc25248"/>
      <w:bookmarkStart w:id="10295" w:name="_Toc17455"/>
      <w:bookmarkStart w:id="10296" w:name="_Toc9470"/>
      <w:bookmarkStart w:id="10297" w:name="_Toc18066"/>
      <w:bookmarkStart w:id="10298" w:name="_Toc27323"/>
      <w:bookmarkStart w:id="10299" w:name="_Toc3097"/>
      <w:bookmarkStart w:id="10300" w:name="_Toc16103"/>
      <w:bookmarkStart w:id="10301" w:name="_Toc26975"/>
      <w:bookmarkStart w:id="10302" w:name="_Toc22300"/>
      <w:bookmarkStart w:id="10303" w:name="_Toc12889"/>
      <w:bookmarkStart w:id="10304" w:name="_Toc29343"/>
      <w:bookmarkStart w:id="10305" w:name="_Toc12663"/>
      <w:bookmarkStart w:id="10306" w:name="_Toc24133"/>
      <w:bookmarkStart w:id="10307" w:name="_Toc8381"/>
      <w:bookmarkStart w:id="10308" w:name="_Toc30208"/>
      <w:bookmarkStart w:id="10309" w:name="_Toc23789"/>
      <w:bookmarkStart w:id="10310" w:name="_Toc10635"/>
      <w:bookmarkStart w:id="10311" w:name="_Toc5937"/>
      <w:bookmarkStart w:id="10312" w:name="_Toc25285"/>
      <w:bookmarkStart w:id="10313" w:name="_Toc25509"/>
      <w:bookmarkStart w:id="10314" w:name="_Toc25050"/>
      <w:bookmarkStart w:id="10315" w:name="_Toc6395"/>
      <w:bookmarkStart w:id="10316" w:name="_Toc4899"/>
      <w:bookmarkStart w:id="10317" w:name="_Toc4822"/>
      <w:bookmarkStart w:id="10318" w:name="_Toc30998"/>
      <w:bookmarkStart w:id="10319" w:name="_Toc18012"/>
      <w:bookmarkStart w:id="10320" w:name="_Toc19917"/>
      <w:bookmarkStart w:id="10321" w:name="_Toc5636"/>
      <w:bookmarkStart w:id="10322" w:name="_Toc1223"/>
      <w:bookmarkStart w:id="10323" w:name="_Toc21790"/>
      <w:bookmarkStart w:id="10324" w:name="_Toc11089"/>
      <w:bookmarkStart w:id="10325" w:name="_Toc26060"/>
      <w:bookmarkStart w:id="10326" w:name="_Toc5405"/>
      <w:bookmarkStart w:id="10327" w:name="_Toc10240"/>
      <w:bookmarkStart w:id="10328" w:name="_Toc28329"/>
      <w:r>
        <w:rPr>
          <w:rFonts w:hint="eastAsia"/>
        </w:rPr>
        <w:t>（二）主要施工机械设备使用计划保障措施</w:t>
      </w:r>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p>
    <w:p w14:paraId="74D69B49">
      <w:pPr>
        <w:ind w:firstLine="560"/>
      </w:pPr>
      <w:r>
        <w:rPr>
          <w:rFonts w:hint="eastAsia"/>
        </w:rPr>
        <w:t>（一）我公司将根据工程要求及现场条件，投入精良的机械设备，保证现场施工机械的正常运行和工程质量。</w:t>
      </w:r>
    </w:p>
    <w:p w14:paraId="16F12051">
      <w:pPr>
        <w:ind w:firstLine="560"/>
      </w:pPr>
      <w:r>
        <w:rPr>
          <w:rFonts w:hint="eastAsia"/>
        </w:rPr>
        <w:t>1．机械设备管理的基本任务是：合理装备、安全使用、服务生产，为保证工程质量，加快施工进度，提高生产效益，取良好经济效益创造条件。</w:t>
      </w:r>
    </w:p>
    <w:p w14:paraId="1AA0983E">
      <w:pPr>
        <w:ind w:firstLine="560"/>
      </w:pPr>
      <w:r>
        <w:rPr>
          <w:rFonts w:hint="eastAsia"/>
        </w:rPr>
        <w:t>2．搞好机械设备管理的基本原则是：尊重科学、规范管理、安全第一、预防为主。</w:t>
      </w:r>
    </w:p>
    <w:p w14:paraId="4F80472B">
      <w:pPr>
        <w:ind w:firstLine="560"/>
      </w:pPr>
      <w:r>
        <w:rPr>
          <w:rFonts w:hint="eastAsia"/>
        </w:rPr>
        <w:t>3.机械设备的投入时间，将由我公司调度人员统筹安排、调动、运输自有设备，及时参与工程施工，确保工程进度。</w:t>
      </w:r>
    </w:p>
    <w:p w14:paraId="11F77661">
      <w:pPr>
        <w:ind w:firstLine="560"/>
      </w:pPr>
      <w:r>
        <w:rPr>
          <w:rFonts w:hint="eastAsia"/>
        </w:rPr>
        <w:t>4.根据施工实际需要，项目经理将从信誉良好，设备齐全的专业施工机械租赁公司租赁所需设备，确保满足施工需要。</w:t>
      </w:r>
    </w:p>
    <w:p w14:paraId="7B664E02">
      <w:pPr>
        <w:ind w:firstLine="560"/>
      </w:pPr>
      <w:r>
        <w:rPr>
          <w:rFonts w:hint="eastAsia"/>
        </w:rPr>
        <w:t>（二）主要施工机具使用计划保证措施</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5B8B1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AE22791">
            <w:pPr>
              <w:pStyle w:val="18"/>
              <w:jc w:val="both"/>
            </w:pPr>
            <w:r>
              <w:rPr>
                <w:rFonts w:hint="eastAsia"/>
              </w:rPr>
              <w:t>一、主要机具投入使用保证措施</w:t>
            </w:r>
          </w:p>
        </w:tc>
      </w:tr>
      <w:tr w14:paraId="66EDB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6BED904">
            <w:pPr>
              <w:pStyle w:val="18"/>
              <w:jc w:val="both"/>
            </w:pPr>
            <w:r>
              <w:rPr>
                <w:rFonts w:hint="eastAsia"/>
              </w:rPr>
              <w:t>（一）对工程所需机械设备进行充足准备，根据工程需要随时进入现场。</w:t>
            </w:r>
          </w:p>
          <w:p w14:paraId="1E5B394B">
            <w:pPr>
              <w:pStyle w:val="18"/>
              <w:jc w:val="both"/>
              <w:rPr>
                <w:rFonts w:eastAsia="仿宋"/>
              </w:rPr>
            </w:pPr>
            <w:r>
              <w:rPr>
                <w:rFonts w:hint="eastAsia"/>
              </w:rPr>
              <w:t>（二）配置高效、环保性能好的机械设备，保证工程所需材料能及时加工并运输至施工面，同时减少对周边环境的影响。</w:t>
            </w:r>
          </w:p>
          <w:p w14:paraId="035ECDA5">
            <w:pPr>
              <w:pStyle w:val="18"/>
              <w:jc w:val="both"/>
              <w:rPr>
                <w:rFonts w:eastAsia="仿宋"/>
              </w:rPr>
            </w:pPr>
            <w:r>
              <w:rPr>
                <w:rFonts w:hint="eastAsia"/>
              </w:rPr>
              <w:t>（三）为保证施工机械在施工过程中运行的可靠性，项目加强对设备的维修保养，各种机械配件和易损件配备充足，落实定期检查制度，保证设备运行状态良好。</w:t>
            </w:r>
          </w:p>
          <w:p w14:paraId="3566D823">
            <w:pPr>
              <w:pStyle w:val="18"/>
              <w:jc w:val="both"/>
            </w:pPr>
            <w:r>
              <w:rPr>
                <w:rFonts w:hint="eastAsia"/>
              </w:rPr>
              <w:t>（四）配备柴油发电机备用，在现场施工用电断电时，能够保证施工</w:t>
            </w:r>
          </w:p>
        </w:tc>
      </w:tr>
      <w:tr w14:paraId="023C2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2D87202">
            <w:pPr>
              <w:pStyle w:val="18"/>
              <w:jc w:val="both"/>
            </w:pPr>
            <w:r>
              <w:rPr>
                <w:rFonts w:hint="eastAsia"/>
              </w:rPr>
              <w:t>二、机械设备检验及验收</w:t>
            </w:r>
          </w:p>
        </w:tc>
      </w:tr>
      <w:tr w14:paraId="69253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5D5AF35">
            <w:pPr>
              <w:pStyle w:val="18"/>
              <w:jc w:val="both"/>
            </w:pPr>
            <w:r>
              <w:rPr>
                <w:rFonts w:hint="eastAsia"/>
              </w:rPr>
              <w:t>（一）机械设备进场</w:t>
            </w:r>
          </w:p>
        </w:tc>
      </w:tr>
      <w:tr w14:paraId="6AEC6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6DB80CD">
            <w:pPr>
              <w:pStyle w:val="18"/>
              <w:ind w:firstLine="560" w:firstLineChars="200"/>
              <w:jc w:val="both"/>
              <w:rPr>
                <w:rFonts w:eastAsia="仿宋"/>
              </w:rPr>
            </w:pPr>
            <w:r>
              <w:rPr>
                <w:rFonts w:hint="eastAsia"/>
              </w:rPr>
              <w:t>1、根据拟投入本标段的主要施工设备表，会同项目设备工程师组织相关人员对其进行检查、验收。</w:t>
            </w:r>
          </w:p>
          <w:p w14:paraId="617C078E">
            <w:pPr>
              <w:pStyle w:val="18"/>
              <w:ind w:firstLine="560" w:firstLineChars="200"/>
              <w:jc w:val="both"/>
            </w:pPr>
            <w:r>
              <w:rPr>
                <w:rFonts w:hint="eastAsia"/>
              </w:rPr>
              <w:t>2、检查机械的完善情况，外部结构装置的装配质量，连接部位的紧固与可靠程度，润滑部位、液压系统的油质油量，电气系统的完整性等项内容，并填写《机械设备进场验收记录》。</w:t>
            </w:r>
          </w:p>
        </w:tc>
      </w:tr>
      <w:tr w14:paraId="4D8AB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ACB6083">
            <w:pPr>
              <w:pStyle w:val="18"/>
              <w:jc w:val="both"/>
            </w:pPr>
            <w:r>
              <w:rPr>
                <w:rFonts w:hint="eastAsia"/>
              </w:rPr>
              <w:t>（二）机械设备验收</w:t>
            </w:r>
          </w:p>
        </w:tc>
      </w:tr>
      <w:tr w14:paraId="17ACB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7222A56">
            <w:pPr>
              <w:pStyle w:val="18"/>
              <w:ind w:firstLine="560" w:firstLineChars="200"/>
              <w:jc w:val="both"/>
              <w:rPr>
                <w:rFonts w:eastAsia="仿宋"/>
              </w:rPr>
            </w:pPr>
            <w:r>
              <w:rPr>
                <w:rFonts w:hint="eastAsia"/>
              </w:rPr>
              <w:t>1、设备安装完毕后，由项目、安装单位进行验收，并按照质监部门的验收表格填写记录，合格后，原件交项目设备工程师、复印件交物资工程师进行备案。</w:t>
            </w:r>
          </w:p>
          <w:p w14:paraId="4ACB076A">
            <w:pPr>
              <w:pStyle w:val="18"/>
              <w:ind w:firstLine="560" w:firstLineChars="200"/>
              <w:jc w:val="both"/>
            </w:pPr>
            <w:r>
              <w:rPr>
                <w:rFonts w:hint="eastAsia"/>
              </w:rPr>
              <w:t>2、设备验收合格后，在进行施工生产前，由项目设备工程师检查操作人员的操作证（对外省市的应有省级劳动部门或其他主管部门颁发的中华人民共和国特种作业操作证）并预留其复印件存档，合格后，方能进入现场进行施工作业。</w:t>
            </w:r>
          </w:p>
        </w:tc>
      </w:tr>
      <w:tr w14:paraId="25CFA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EB5F404">
            <w:pPr>
              <w:pStyle w:val="18"/>
              <w:jc w:val="both"/>
            </w:pPr>
            <w:r>
              <w:rPr>
                <w:rFonts w:hint="eastAsia"/>
              </w:rPr>
              <w:t>三、机械设备日常管理</w:t>
            </w:r>
          </w:p>
        </w:tc>
      </w:tr>
      <w:tr w14:paraId="64FF7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4EC31BF">
            <w:pPr>
              <w:pStyle w:val="18"/>
              <w:jc w:val="both"/>
            </w:pPr>
            <w:r>
              <w:rPr>
                <w:rFonts w:hint="eastAsia"/>
              </w:rPr>
              <w:t>（一）建立机械设备管理台账</w:t>
            </w:r>
          </w:p>
        </w:tc>
      </w:tr>
      <w:tr w14:paraId="112B2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96FACB1">
            <w:pPr>
              <w:pStyle w:val="18"/>
              <w:ind w:firstLine="560" w:firstLineChars="200"/>
              <w:jc w:val="both"/>
            </w:pPr>
            <w:r>
              <w:rPr>
                <w:rFonts w:hint="eastAsia"/>
              </w:rPr>
              <w:t>机械设备经安装调试完毕，确认合格并投入使用后，由项目经理部设备工程师登记进入项目机械设备台帐备案。对台帐内的大型机械建立技术档案，档案中包括：原始技术资料和验收凭证、建委颁发的设备编号及经劳动局检验后出具的安全使用合格证、保养记录统计、历次大中修改造记录、运转时间记录、事故记录及履历资料等。</w:t>
            </w:r>
          </w:p>
        </w:tc>
      </w:tr>
      <w:tr w14:paraId="22E79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921370B">
            <w:pPr>
              <w:pStyle w:val="18"/>
              <w:jc w:val="both"/>
              <w:rPr>
                <w:rFonts w:eastAsia="仿宋"/>
              </w:rPr>
            </w:pPr>
            <w:r>
              <w:rPr>
                <w:rFonts w:hint="eastAsia"/>
              </w:rPr>
              <w:t>(二)“三定”制度</w:t>
            </w:r>
          </w:p>
        </w:tc>
      </w:tr>
      <w:tr w14:paraId="6C1DC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752B147">
            <w:pPr>
              <w:pStyle w:val="18"/>
              <w:ind w:firstLine="560" w:firstLineChars="200"/>
              <w:jc w:val="both"/>
              <w:rPr>
                <w:rFonts w:eastAsia="仿宋"/>
              </w:rPr>
            </w:pPr>
            <w:r>
              <w:rPr>
                <w:rFonts w:hint="eastAsia"/>
              </w:rPr>
              <w:t>由项目设备工程师负责贯彻落实机械设备的“定人、定机、定岗位”的“三定”制度。</w:t>
            </w:r>
          </w:p>
        </w:tc>
      </w:tr>
      <w:tr w14:paraId="246F7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4EF0B04">
            <w:pPr>
              <w:pStyle w:val="18"/>
              <w:jc w:val="both"/>
            </w:pPr>
            <w:r>
              <w:rPr>
                <w:rFonts w:hint="eastAsia"/>
              </w:rPr>
              <w:t>(三)安全技术交底</w:t>
            </w:r>
          </w:p>
        </w:tc>
      </w:tr>
      <w:tr w14:paraId="3426B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7149E26">
            <w:pPr>
              <w:pStyle w:val="18"/>
              <w:ind w:firstLine="560" w:firstLineChars="200"/>
              <w:jc w:val="both"/>
            </w:pPr>
            <w:r>
              <w:rPr>
                <w:rFonts w:hint="eastAsia"/>
              </w:rPr>
              <w:t>机械设备操作人员实施操作之前,由项目设备工程师/安全工程师对机械设备操作。</w:t>
            </w:r>
          </w:p>
        </w:tc>
      </w:tr>
    </w:tbl>
    <w:p w14:paraId="121D9F81">
      <w:pPr>
        <w:ind w:firstLine="560"/>
      </w:pPr>
      <w:r>
        <w:rPr>
          <w:rFonts w:hint="eastAsia"/>
        </w:rPr>
        <w:t>（三）机械设备组织项目</w:t>
      </w:r>
    </w:p>
    <w:p w14:paraId="5596BB06">
      <w:pPr>
        <w:ind w:firstLine="560"/>
      </w:pPr>
      <w:r>
        <w:rPr>
          <w:rFonts w:hint="eastAsia"/>
        </w:rPr>
        <w:t>1．凡属新开工工程，项目经理部应先根据该工程实际情况编写《施工设备组织计划》，并报生产科施工设备技术监督员审批、备案。</w:t>
      </w:r>
    </w:p>
    <w:p w14:paraId="1B42F089">
      <w:pPr>
        <w:ind w:firstLine="560"/>
      </w:pPr>
      <w:r>
        <w:rPr>
          <w:rFonts w:hint="eastAsia"/>
        </w:rPr>
        <w:t>2．项目经理部设备来源可分为“新购、调配、自有、租凭”。</w:t>
      </w:r>
    </w:p>
    <w:p w14:paraId="354AE73B">
      <w:pPr>
        <w:ind w:firstLine="560"/>
      </w:pPr>
      <w:r>
        <w:rPr>
          <w:rFonts w:hint="eastAsia"/>
        </w:rPr>
        <w:t>3．项目经理部需购置新的大、中型设备时，生产科施工设备技术监督员配合项目经理部设备员填写《设备购置申请表》，报项目经理部审批。</w:t>
      </w:r>
    </w:p>
    <w:p w14:paraId="3B13CB98">
      <w:pPr>
        <w:ind w:firstLine="560"/>
      </w:pPr>
      <w:r>
        <w:rPr>
          <w:rFonts w:hint="eastAsia"/>
        </w:rPr>
        <w:t>项目经理部需购置小型施工设备可根据施工生产需要自行购置。</w:t>
      </w:r>
    </w:p>
    <w:p w14:paraId="4A5BAD94">
      <w:pPr>
        <w:ind w:firstLine="560"/>
      </w:pPr>
      <w:r>
        <w:rPr>
          <w:rFonts w:hint="eastAsia"/>
        </w:rPr>
        <w:t>4．凡由项目经理部自行制作、改制的设备均要由生产科施工设备技术监督员组织进行评定审，评定合格才可投入使用，并由生产科施工设备技术监督员填写《自制简易设备技术评定表》。</w:t>
      </w:r>
    </w:p>
    <w:p w14:paraId="2CD11E00">
      <w:pPr>
        <w:ind w:firstLine="560"/>
      </w:pPr>
      <w:r>
        <w:rPr>
          <w:rFonts w:hint="eastAsia"/>
        </w:rPr>
        <w:t>（四）机械设备租凭</w:t>
      </w:r>
    </w:p>
    <w:p w14:paraId="610ADEC3">
      <w:pPr>
        <w:ind w:firstLine="560"/>
      </w:pPr>
      <w:r>
        <w:rPr>
          <w:rFonts w:hint="eastAsia"/>
        </w:rPr>
        <w:t>1．项目经理部租凭大、中型设备时，要签订《租凭合同》；并将《租凭合同》复印一份报生产科备案。</w:t>
      </w:r>
    </w:p>
    <w:p w14:paraId="4657F552">
      <w:pPr>
        <w:ind w:firstLine="560"/>
      </w:pPr>
      <w:r>
        <w:rPr>
          <w:rFonts w:hint="eastAsia"/>
        </w:rPr>
        <w:t>2．租凭设备进场使用前，由生产科施工设备监督员组织对其性能进行评定、验收，验收合格后，方可投入安装使用，并将验收结果填入《施工设备验收单》中。</w:t>
      </w:r>
    </w:p>
    <w:p w14:paraId="634982DB">
      <w:pPr>
        <w:ind w:firstLine="560"/>
      </w:pPr>
      <w:r>
        <w:rPr>
          <w:rFonts w:hint="eastAsia"/>
        </w:rPr>
        <w:t>3．租凭设备的管理应纳入项目经理部设备的统一管理中。</w:t>
      </w:r>
    </w:p>
    <w:p w14:paraId="337237EC">
      <w:pPr>
        <w:pStyle w:val="5"/>
        <w:spacing w:before="31" w:after="31"/>
        <w:ind w:firstLine="562"/>
      </w:pPr>
      <w:bookmarkStart w:id="10329" w:name="_Toc15583"/>
      <w:bookmarkStart w:id="10330" w:name="_Toc23112"/>
      <w:bookmarkStart w:id="10331" w:name="_Toc11571"/>
      <w:bookmarkStart w:id="10332" w:name="_Toc15872"/>
      <w:bookmarkStart w:id="10333" w:name="_Toc21577"/>
      <w:bookmarkStart w:id="10334" w:name="_Toc8377"/>
      <w:bookmarkStart w:id="10335" w:name="_Toc30975"/>
      <w:bookmarkStart w:id="10336" w:name="_Toc13763"/>
      <w:bookmarkStart w:id="10337" w:name="_Toc7284"/>
      <w:bookmarkStart w:id="10338" w:name="_Toc13739"/>
      <w:bookmarkStart w:id="10339" w:name="_Toc11476"/>
      <w:bookmarkStart w:id="10340" w:name="_Toc9807"/>
      <w:bookmarkStart w:id="10341" w:name="_Toc10319"/>
      <w:bookmarkStart w:id="10342" w:name="_Toc10394"/>
      <w:bookmarkStart w:id="10343" w:name="_Toc912"/>
      <w:bookmarkStart w:id="10344" w:name="_Toc10432"/>
      <w:bookmarkStart w:id="10345" w:name="_Toc12980"/>
      <w:bookmarkStart w:id="10346" w:name="_Toc15538"/>
      <w:bookmarkStart w:id="10347" w:name="_Toc7590"/>
      <w:bookmarkStart w:id="10348" w:name="_Toc8021"/>
      <w:bookmarkStart w:id="10349" w:name="_Toc31955"/>
      <w:bookmarkStart w:id="10350" w:name="_Toc22146"/>
      <w:bookmarkStart w:id="10351" w:name="_Toc2617"/>
      <w:bookmarkStart w:id="10352" w:name="_Toc16675"/>
      <w:bookmarkStart w:id="10353" w:name="_Toc12635"/>
      <w:bookmarkStart w:id="10354" w:name="_Toc14791"/>
      <w:bookmarkStart w:id="10355" w:name="_Toc21368"/>
      <w:bookmarkStart w:id="10356" w:name="_Toc14675"/>
      <w:bookmarkStart w:id="10357" w:name="_Toc29294"/>
      <w:bookmarkStart w:id="10358" w:name="_Toc12210"/>
      <w:bookmarkStart w:id="10359" w:name="_Toc959"/>
      <w:bookmarkStart w:id="10360" w:name="_Toc3183"/>
      <w:bookmarkStart w:id="10361" w:name="_Toc26230"/>
      <w:bookmarkStart w:id="10362" w:name="_Toc7195"/>
      <w:bookmarkStart w:id="10363" w:name="_Toc22608"/>
      <w:bookmarkStart w:id="10364" w:name="_Toc31124"/>
      <w:bookmarkStart w:id="10365" w:name="_Toc26176"/>
      <w:bookmarkStart w:id="10366" w:name="_Toc25755"/>
      <w:bookmarkStart w:id="10367" w:name="_Toc22938"/>
      <w:bookmarkStart w:id="10368" w:name="_Toc5973"/>
      <w:bookmarkStart w:id="10369" w:name="_Toc16175"/>
      <w:bookmarkStart w:id="10370" w:name="_Toc11430"/>
      <w:bookmarkStart w:id="10371" w:name="_Toc15237"/>
      <w:bookmarkStart w:id="10372" w:name="_Toc8839"/>
      <w:bookmarkStart w:id="10373" w:name="_Toc14394"/>
      <w:bookmarkStart w:id="10374" w:name="_Toc1966"/>
      <w:r>
        <w:rPr>
          <w:rFonts w:hint="eastAsia"/>
        </w:rPr>
        <w:t>（三）机械交付进度</w:t>
      </w:r>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p>
    <w:p w14:paraId="34B57C5E">
      <w:pPr>
        <w:ind w:firstLine="560"/>
      </w:pPr>
      <w:r>
        <w:rPr>
          <w:rFonts w:hint="eastAsia"/>
        </w:rPr>
        <w:t>为了保证工程在计划工期内完成,租赁的特种机械设备及司机按时到位，我公司需要提前组织采取相应的措施,才能确保机械设备交付进度的实现。</w:t>
      </w:r>
    </w:p>
    <w:p w14:paraId="508A4442">
      <w:pPr>
        <w:ind w:firstLine="560"/>
      </w:pPr>
      <w:r>
        <w:rPr>
          <w:rFonts w:hint="eastAsia"/>
        </w:rPr>
        <w:t>1、根据工程实际情况建立对应的项目部,选择一批业务素质好、技术水平高的特种司机,派专人指挥管理。从上到下、精明强干、职责分明、政令畅通。既保证管理人员的领导权威性,又发挥职能部门的主观能动性,齐心协力作好本机械设备交付的每一阶段的任务。</w:t>
      </w:r>
    </w:p>
    <w:p w14:paraId="27565A53">
      <w:pPr>
        <w:ind w:firstLine="560"/>
      </w:pPr>
      <w:r>
        <w:rPr>
          <w:rFonts w:hint="eastAsia"/>
        </w:rPr>
        <w:t>2为了打好每一仗,必须使整个机械设备租赁工作制度化、规范化,做到有章可循,有法可依,保证整个集体强大的战斗力。制定严格的岗位责任制度、质量和安全保证制度以及机械设备维修制度等等。</w:t>
      </w:r>
    </w:p>
    <w:p w14:paraId="652824EF">
      <w:pPr>
        <w:ind w:firstLine="560"/>
      </w:pPr>
      <w:r>
        <w:rPr>
          <w:rFonts w:hint="eastAsia"/>
        </w:rPr>
        <w:t>3、在工期紧张情况下,如遇到休息日连续作业时，应保证机械设备完好率达95%以上,及时更换和修复已坏机械,提高机械利用率,发挥机械化施工的优势，保证项目中的机械设备按时交付，为工程顺利完工保驾护航。</w:t>
      </w:r>
    </w:p>
    <w:p w14:paraId="0F5DD0E0">
      <w:pPr>
        <w:pStyle w:val="5"/>
        <w:spacing w:before="31" w:after="31"/>
        <w:ind w:firstLine="562"/>
      </w:pPr>
      <w:bookmarkStart w:id="10375" w:name="_Toc30371"/>
      <w:bookmarkStart w:id="10376" w:name="_Toc25828"/>
      <w:bookmarkStart w:id="10377" w:name="_Toc27458"/>
      <w:bookmarkStart w:id="10378" w:name="_Toc10657"/>
      <w:bookmarkStart w:id="10379" w:name="_Toc27890"/>
      <w:bookmarkStart w:id="10380" w:name="_Toc21766"/>
      <w:bookmarkStart w:id="10381" w:name="_Toc17376"/>
      <w:bookmarkStart w:id="10382" w:name="_Toc24774"/>
      <w:bookmarkStart w:id="10383" w:name="_Toc27764"/>
      <w:bookmarkStart w:id="10384" w:name="_Toc819"/>
      <w:bookmarkStart w:id="10385" w:name="_Toc9365"/>
      <w:bookmarkStart w:id="10386" w:name="_Toc21095"/>
      <w:bookmarkStart w:id="10387" w:name="_Toc25770"/>
      <w:bookmarkStart w:id="10388" w:name="_Toc10146"/>
      <w:bookmarkStart w:id="10389" w:name="_Toc15090"/>
      <w:bookmarkStart w:id="10390" w:name="_Toc9679"/>
      <w:bookmarkStart w:id="10391" w:name="_Toc28510"/>
      <w:bookmarkStart w:id="10392" w:name="_Toc14147"/>
      <w:bookmarkStart w:id="10393" w:name="_Toc7717"/>
      <w:bookmarkStart w:id="10394" w:name="_Toc17842"/>
      <w:bookmarkStart w:id="10395" w:name="_Toc108"/>
      <w:bookmarkStart w:id="10396" w:name="_Toc8236"/>
      <w:bookmarkStart w:id="10397" w:name="_Toc3353"/>
      <w:bookmarkStart w:id="10398" w:name="_Toc31179"/>
      <w:bookmarkStart w:id="10399" w:name="_Toc13067"/>
      <w:bookmarkStart w:id="10400" w:name="_Toc10309"/>
      <w:bookmarkStart w:id="10401" w:name="_Toc28112"/>
      <w:bookmarkStart w:id="10402" w:name="_Toc4593"/>
      <w:bookmarkStart w:id="10403" w:name="_Toc6812"/>
      <w:bookmarkStart w:id="10404" w:name="_Toc32054"/>
      <w:bookmarkStart w:id="10405" w:name="_Toc22119"/>
      <w:bookmarkStart w:id="10406" w:name="_Toc15171"/>
      <w:bookmarkStart w:id="10407" w:name="_Toc32596"/>
      <w:bookmarkStart w:id="10408" w:name="_Toc1642"/>
      <w:bookmarkStart w:id="10409" w:name="_Toc23399"/>
      <w:bookmarkStart w:id="10410" w:name="_Toc1207"/>
      <w:bookmarkStart w:id="10411" w:name="_Toc5831"/>
      <w:bookmarkStart w:id="10412" w:name="_Toc24037"/>
      <w:bookmarkStart w:id="10413" w:name="_Toc18728"/>
      <w:bookmarkStart w:id="10414" w:name="_Toc945"/>
      <w:bookmarkStart w:id="10415" w:name="_Toc5623"/>
      <w:bookmarkStart w:id="10416" w:name="_Toc16719"/>
      <w:bookmarkStart w:id="10417" w:name="_Toc11887"/>
      <w:bookmarkStart w:id="10418" w:name="_Toc22964"/>
      <w:bookmarkStart w:id="10419" w:name="_Toc17167"/>
      <w:bookmarkStart w:id="10420" w:name="_Toc9185"/>
      <w:bookmarkStart w:id="10421" w:name="_Toc13757"/>
      <w:bookmarkStart w:id="10422" w:name="_Toc30931"/>
      <w:r>
        <w:rPr>
          <w:rFonts w:hint="eastAsia"/>
        </w:rPr>
        <w:t>（四）服务方案及服务承诺</w:t>
      </w:r>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p>
    <w:p w14:paraId="5930EE81">
      <w:pPr>
        <w:ind w:firstLine="560"/>
      </w:pPr>
      <w:r>
        <w:rPr>
          <w:rFonts w:hint="eastAsia"/>
        </w:rPr>
        <w:t>（一）对采购项目的理解项目的理解，项目重点、难点概况</w:t>
      </w:r>
    </w:p>
    <w:p w14:paraId="53BD81BD">
      <w:pPr>
        <w:ind w:firstLine="560"/>
      </w:pPr>
      <w:r>
        <w:rPr>
          <w:rFonts w:hint="eastAsia"/>
        </w:rPr>
        <w:t>1．机械租赁：第一批项目施工用特种车辆租赁、电力工程设备租赁、工程机具租赁。机械租赁包含但不限于（起重机械、装卸机械、工程机械、电工机械）</w:t>
      </w:r>
    </w:p>
    <w:p w14:paraId="1F5CD415">
      <w:pPr>
        <w:ind w:firstLine="560"/>
      </w:pPr>
      <w:r>
        <w:rPr>
          <w:rFonts w:hint="eastAsia"/>
        </w:rPr>
        <w:t>2.运输服务：普通货物运输；大件货物运输；货物配送、装卸。</w:t>
      </w:r>
    </w:p>
    <w:p w14:paraId="1ECF03B3">
      <w:pPr>
        <w:ind w:firstLine="560"/>
      </w:pPr>
      <w:r>
        <w:rPr>
          <w:rFonts w:hint="eastAsia"/>
        </w:rPr>
        <w:t>（二）质量目标</w:t>
      </w:r>
    </w:p>
    <w:p w14:paraId="544441F3">
      <w:pPr>
        <w:ind w:firstLine="560"/>
      </w:pPr>
      <w:r>
        <w:rPr>
          <w:rFonts w:hint="eastAsia"/>
        </w:rPr>
        <w:t>1质量总体要求</w:t>
      </w:r>
    </w:p>
    <w:p w14:paraId="5A8766E5">
      <w:pPr>
        <w:ind w:firstLine="560"/>
      </w:pPr>
      <w:r>
        <w:rPr>
          <w:rFonts w:hint="eastAsia"/>
        </w:rPr>
        <w:t>严格执行国家及行业有关机械租赁、运输服务质量管理的标准、法律、法规和规章制度，具备与经营业务相匹配的信誉和能力，具有承担安全等风险的能力，满足财务管理要求，出租的机械设备、运输车辆必须是合法取得，法定检测合格，技术状态完好、性能良好的设备和车辆，有能力提供机械设备使用技术指导、设备及货物装卸，并保证货物完好。</w:t>
      </w:r>
    </w:p>
    <w:p w14:paraId="0D33800A">
      <w:pPr>
        <w:ind w:firstLine="560"/>
      </w:pPr>
      <w:r>
        <w:rPr>
          <w:rFonts w:hint="eastAsia"/>
        </w:rPr>
        <w:t>2专项目标要求</w:t>
      </w:r>
    </w:p>
    <w:p w14:paraId="753E6E43">
      <w:pPr>
        <w:ind w:firstLine="560"/>
      </w:pPr>
      <w:r>
        <w:rPr>
          <w:rFonts w:hint="eastAsia"/>
        </w:rPr>
        <w:t>机械租赁：租用机械设备合格率100%，安全性能合格率100%，工期保障率100%。</w:t>
      </w:r>
    </w:p>
    <w:p w14:paraId="610F5C47">
      <w:pPr>
        <w:ind w:firstLine="560"/>
      </w:pPr>
      <w:r>
        <w:rPr>
          <w:rFonts w:hint="eastAsia"/>
        </w:rPr>
        <w:t>2服务商承担项目的优势</w:t>
      </w:r>
    </w:p>
    <w:p w14:paraId="31148B96">
      <w:pPr>
        <w:ind w:firstLine="560"/>
      </w:pPr>
      <w:r>
        <w:rPr>
          <w:rFonts w:hint="eastAsia"/>
        </w:rPr>
        <w:t>随着市场的不断扩大公司逐步的发展，公司经营策略的转变，我公司逐渐形成规模化、正规化的高素质严要求团队，为业主提供更加高效、优质、可靠、安全的特种机械设备租赁服务，以市场发展为导向，以客户需求为焦点，服务质量创一流。</w:t>
      </w:r>
    </w:p>
    <w:p w14:paraId="7C81D641">
      <w:pPr>
        <w:ind w:firstLine="560"/>
      </w:pPr>
      <w:r>
        <w:rPr>
          <w:rFonts w:hint="eastAsia"/>
        </w:rPr>
        <w:t>公司从专业要求为切入点，聘用拥有专业技术技能的接待服务专员，统一着装，形成良好的形象。通过定期及不定期的专业培训，所有接待专员以饱满的热情，专业的技术解答，服务每一位客户。</w:t>
      </w:r>
    </w:p>
    <w:p w14:paraId="5F80CE3E">
      <w:pPr>
        <w:ind w:firstLine="560"/>
      </w:pPr>
      <w:r>
        <w:rPr>
          <w:rFonts w:hint="eastAsia"/>
        </w:rPr>
        <w:t>公司根据工程项目的特点以及市场需求，不断地更新起重、装卸、运输等施工机械设备，以适应客户的不同项目需求。</w:t>
      </w:r>
    </w:p>
    <w:p w14:paraId="1E94C15C">
      <w:pPr>
        <w:ind w:firstLine="560"/>
      </w:pPr>
      <w:r>
        <w:rPr>
          <w:rFonts w:hint="eastAsia"/>
        </w:rPr>
        <w:t>2.1租赁的机械设备的详细情况</w:t>
      </w:r>
    </w:p>
    <w:p w14:paraId="22C56204">
      <w:pPr>
        <w:ind w:firstLine="560"/>
      </w:pPr>
      <w:r>
        <w:rPr>
          <w:rFonts w:hint="eastAsia"/>
        </w:rPr>
        <w:t>我公司组织专家会议，认真仔细研究此次招标项目，根据本次招标采购技术规范书中的工程项目的相关信息，分析本次主要是特种车辆技术咨询服务、起重、装卸、施工等大、中、小型特种车辆的租赁。</w:t>
      </w:r>
    </w:p>
    <w:p w14:paraId="2595EAE0">
      <w:pPr>
        <w:ind w:firstLine="560"/>
      </w:pPr>
      <w:r>
        <w:rPr>
          <w:rFonts w:hint="eastAsia"/>
        </w:rPr>
        <w:t>按照采购人要求，我公司根据公司车辆储备情况及同行业合作单位车辆储备情况，科学合理配备特种车辆。</w:t>
      </w:r>
    </w:p>
    <w:p w14:paraId="49264278">
      <w:pPr>
        <w:ind w:firstLine="560"/>
      </w:pPr>
      <w:r>
        <w:rPr>
          <w:rFonts w:hint="eastAsia"/>
        </w:rPr>
        <w:t>2.2机械设备交付进度</w:t>
      </w:r>
    </w:p>
    <w:p w14:paraId="6DE1B2AA">
      <w:pPr>
        <w:ind w:firstLine="560"/>
      </w:pPr>
      <w:r>
        <w:rPr>
          <w:rFonts w:hint="eastAsia"/>
        </w:rPr>
        <w:t>为了保证工程在计划工期内完成,租赁的特种机械设备及司机按时到位，我公司需要提前组织采取相应的措施,才能确保机械设备交付进度的实现。</w:t>
      </w:r>
    </w:p>
    <w:p w14:paraId="430932C0">
      <w:pPr>
        <w:ind w:firstLine="560"/>
      </w:pPr>
      <w:r>
        <w:rPr>
          <w:rFonts w:hint="eastAsia"/>
        </w:rPr>
        <w:t>a、根据工程实际情况建立对应的项目部,选择一批业务素质好、技术水平高的特种司机,派专人指挥管理。从上到下、精明强干、职责分明、政令畅通。既保证管理人员的领导权威性,又发挥职能部门的主观能动性,齐心协力作好本机械设备交付的每一阶段的任务。</w:t>
      </w:r>
    </w:p>
    <w:p w14:paraId="6DA51406">
      <w:pPr>
        <w:ind w:firstLine="560"/>
      </w:pPr>
      <w:r>
        <w:rPr>
          <w:rFonts w:hint="eastAsia"/>
        </w:rPr>
        <w:t>b、为了打好每一仗,必须使整个机械设备租赁工作制度化、规范化,做到有章可循,有法可依,保证整个集体强大的战斗力。制定严格的岗位责任制度、质量和安全保证制度以及机械设备维修制度等等。</w:t>
      </w:r>
    </w:p>
    <w:p w14:paraId="4ADA7FFA">
      <w:pPr>
        <w:ind w:firstLine="560"/>
      </w:pPr>
      <w:r>
        <w:rPr>
          <w:rFonts w:hint="eastAsia"/>
        </w:rPr>
        <w:t>c、在工期紧张情况下,如遇到休息日连续作业时，应保证机械设备完好率达95%以上,及时更换和修复已坏机械,提高机械利用率,发挥机械化施工的优势，保证项目中的机械设备按时交付，为工程顺利完工保驾护航。</w:t>
      </w:r>
    </w:p>
    <w:p w14:paraId="0E78459E">
      <w:pPr>
        <w:ind w:firstLine="560"/>
        <w:rPr>
          <w:rFonts w:eastAsia="仿宋"/>
        </w:rPr>
      </w:pPr>
      <w:r>
        <w:rPr>
          <w:rFonts w:hint="eastAsia"/>
        </w:rPr>
        <w:t>3服务方案</w:t>
      </w:r>
    </w:p>
    <w:p w14:paraId="27BFBC92">
      <w:pPr>
        <w:ind w:firstLine="560"/>
      </w:pPr>
      <w:r>
        <w:rPr>
          <w:rFonts w:hint="eastAsia"/>
        </w:rPr>
        <w:t>3.1服务方案的目标落实</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78117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BB5760F">
            <w:pPr>
              <w:pStyle w:val="18"/>
              <w:jc w:val="both"/>
            </w:pPr>
            <w:r>
              <w:rPr>
                <w:rFonts w:hint="eastAsia"/>
              </w:rPr>
              <w:t>（一）机械设备安全保障能力方案</w:t>
            </w:r>
          </w:p>
        </w:tc>
      </w:tr>
      <w:tr w14:paraId="7C477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733376AA">
            <w:pPr>
              <w:pStyle w:val="18"/>
              <w:ind w:firstLine="560" w:firstLineChars="200"/>
              <w:jc w:val="both"/>
              <w:rPr>
                <w:rFonts w:eastAsia="仿宋"/>
              </w:rPr>
            </w:pPr>
            <w:r>
              <w:rPr>
                <w:rFonts w:hint="eastAsia"/>
              </w:rPr>
              <w:t>a.我公司承诺提供机械设备合法合规，车况良好，符合机械设备安全行驶条件；公司针对该项目成立机械设备自检小组，定期检查机械设备健康情况，并第一时间进行处理，保证供给机械设备数量满足用车需求。</w:t>
            </w:r>
          </w:p>
          <w:p w14:paraId="6F5BBD4C">
            <w:pPr>
              <w:pStyle w:val="18"/>
              <w:ind w:firstLine="560" w:firstLineChars="200"/>
              <w:jc w:val="both"/>
              <w:rPr>
                <w:rFonts w:eastAsia="仿宋"/>
              </w:rPr>
            </w:pPr>
            <w:r>
              <w:rPr>
                <w:rFonts w:hint="eastAsia"/>
              </w:rPr>
              <w:t>b.承诺机械设备按时年检，且按车型保养规定定期保养和维修，近3年均无重大维修记录；</w:t>
            </w:r>
          </w:p>
          <w:p w14:paraId="2C829007">
            <w:pPr>
              <w:pStyle w:val="18"/>
              <w:ind w:firstLine="560" w:firstLineChars="200"/>
              <w:jc w:val="both"/>
              <w:rPr>
                <w:rFonts w:eastAsia="仿宋"/>
              </w:rPr>
            </w:pPr>
            <w:r>
              <w:rPr>
                <w:rFonts w:hint="eastAsia"/>
              </w:rPr>
              <w:t>c按通行标准及租用机械设备实际行驶公里数对租用机械设备进行定期维修和保养，以保证租用机械设备在甲方使用期间始终保持良好适用的外在及内在状态；实施对租用机械设备的保管、维修及保养不应影响甲方使用租用机械设备；所有供给机械设备完全按照国家规定进行年检，并按相应品牌型号说明书及时进行保养维修，对于出现重大维修的机械设备予以淘汰，保证供给机械设备车况优良，满足用车需求。</w:t>
            </w:r>
          </w:p>
          <w:p w14:paraId="745BDA83">
            <w:pPr>
              <w:pStyle w:val="18"/>
              <w:ind w:firstLine="560" w:firstLineChars="200"/>
              <w:jc w:val="both"/>
            </w:pPr>
            <w:r>
              <w:rPr>
                <w:rFonts w:hint="eastAsia"/>
              </w:rPr>
              <w:t>d.承诺机械设备按国家要求按时投保相应的机械设备保险种类，同时投保机动机械设备司乘人员人身意外伤害保险，赔付费用标准不低于2万元/座。</w:t>
            </w:r>
          </w:p>
        </w:tc>
      </w:tr>
      <w:tr w14:paraId="4CEB8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BE442C8">
            <w:pPr>
              <w:pStyle w:val="18"/>
              <w:jc w:val="both"/>
            </w:pPr>
            <w:r>
              <w:rPr>
                <w:rFonts w:hint="eastAsia"/>
              </w:rPr>
              <w:t>（二）驾驶员配置服务方案</w:t>
            </w:r>
          </w:p>
        </w:tc>
      </w:tr>
      <w:tr w14:paraId="55EEC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B266289">
            <w:pPr>
              <w:pStyle w:val="18"/>
              <w:ind w:firstLine="560" w:firstLineChars="200"/>
              <w:jc w:val="both"/>
              <w:rPr>
                <w:rFonts w:eastAsia="仿宋"/>
              </w:rPr>
            </w:pPr>
            <w:r>
              <w:rPr>
                <w:rFonts w:hint="eastAsia"/>
              </w:rPr>
              <w:t>a.驾驶员准入资格必须符合相应机械设备技术性能相关标准，并有极强的责任感与工作能力，勤奋负责，热爱本职工作。</w:t>
            </w:r>
          </w:p>
          <w:p w14:paraId="4C5D732F">
            <w:pPr>
              <w:pStyle w:val="18"/>
              <w:ind w:firstLine="560" w:firstLineChars="200"/>
              <w:jc w:val="both"/>
            </w:pPr>
            <w:r>
              <w:rPr>
                <w:rFonts w:hint="eastAsia"/>
              </w:rPr>
              <w:t>b.严格检查驾驶员的任职资格，严把准入关，加强职业道德教育，定期召开安全生产例会，利用多种形式将知识传授给驾驶人员，杜绝人为事故发生。</w:t>
            </w:r>
          </w:p>
          <w:p w14:paraId="00FEA284">
            <w:pPr>
              <w:pStyle w:val="18"/>
              <w:ind w:firstLine="560" w:firstLineChars="200"/>
              <w:jc w:val="both"/>
              <w:rPr>
                <w:rFonts w:eastAsia="仿宋"/>
              </w:rPr>
            </w:pPr>
            <w:r>
              <w:rPr>
                <w:rFonts w:hint="eastAsia"/>
              </w:rPr>
              <w:t>c.安全管理人员在管理机械设备中要严格检查、不徇私情，要有高度的责任感，对待机械设备人员要一视同仁，坚决不使用过激的语言与应急保障车队人员讲话，办事不推诿、不扯皮，做到文明规范服务。</w:t>
            </w:r>
          </w:p>
          <w:p w14:paraId="4E220944">
            <w:pPr>
              <w:pStyle w:val="18"/>
              <w:ind w:firstLine="560" w:firstLineChars="200"/>
              <w:jc w:val="both"/>
              <w:rPr>
                <w:rFonts w:eastAsia="仿宋"/>
              </w:rPr>
            </w:pPr>
            <w:r>
              <w:rPr>
                <w:rFonts w:hint="eastAsia"/>
              </w:rPr>
              <w:t>d对现有驾驶员按照驾龄及无事故经历进行资历排行，安排驾驶年限长且无任何重大安全事故的驾驶员进行驾驶。</w:t>
            </w:r>
          </w:p>
          <w:p w14:paraId="507B644F">
            <w:pPr>
              <w:pStyle w:val="18"/>
              <w:ind w:firstLine="560" w:firstLineChars="200"/>
              <w:jc w:val="both"/>
              <w:rPr>
                <w:rFonts w:eastAsia="仿宋"/>
              </w:rPr>
            </w:pPr>
            <w:r>
              <w:rPr>
                <w:rFonts w:hint="eastAsia"/>
              </w:rPr>
              <w:t>e.合理安排驾驶员，做到驾驶员年龄结构合理，保证工作经验丰富，也要保证适应不定期高强度驾驶工作。</w:t>
            </w:r>
          </w:p>
          <w:p w14:paraId="5C1A3A4E">
            <w:pPr>
              <w:pStyle w:val="18"/>
              <w:ind w:firstLine="560" w:firstLineChars="200"/>
              <w:jc w:val="both"/>
              <w:rPr>
                <w:rFonts w:eastAsia="仿宋"/>
              </w:rPr>
            </w:pPr>
            <w:r>
              <w:rPr>
                <w:rFonts w:hint="eastAsia"/>
              </w:rPr>
              <w:t>f.在协议期内，若驾驶员驾龄、年龄等因素达到协议要求的上限，自到达之日起，我方不再提供该驾驶员供甲方使用。</w:t>
            </w:r>
          </w:p>
          <w:p w14:paraId="5A6DF925">
            <w:pPr>
              <w:pStyle w:val="18"/>
              <w:ind w:firstLine="560" w:firstLineChars="200"/>
              <w:jc w:val="both"/>
              <w:rPr>
                <w:rFonts w:eastAsia="仿宋"/>
              </w:rPr>
            </w:pPr>
            <w:r>
              <w:rPr>
                <w:rFonts w:hint="eastAsia"/>
              </w:rPr>
              <w:t>g.提供的驾驶员具有良好的专业素养及丰富的行车经验，足以胜任根据甲方要求驾驶租用机械设备的工作的专业驾驶员，提供有效必要证件供甲方进行核查；有五年以上的驾龄，3年内无重大交通事故，持有公安机关交通管理部门核发的机动车驾驶证，持有体检证明，年龄在55岁以下。</w:t>
            </w:r>
          </w:p>
          <w:p w14:paraId="2DAB9473">
            <w:pPr>
              <w:pStyle w:val="18"/>
              <w:ind w:firstLine="560" w:firstLineChars="200"/>
              <w:jc w:val="both"/>
            </w:pPr>
            <w:r>
              <w:rPr>
                <w:rFonts w:hint="eastAsia"/>
              </w:rPr>
              <w:t>h.确保驾驶员做到文明驾驶，上车之前做好对驾驶员的检查，确保不出现酒驾，开情绪车等现象。</w:t>
            </w:r>
          </w:p>
        </w:tc>
      </w:tr>
      <w:tr w14:paraId="6342D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77AD691">
            <w:pPr>
              <w:pStyle w:val="18"/>
              <w:jc w:val="both"/>
            </w:pPr>
            <w:r>
              <w:rPr>
                <w:rFonts w:hint="eastAsia"/>
              </w:rPr>
              <w:t>（三）驾驶员培训学习方案</w:t>
            </w:r>
          </w:p>
        </w:tc>
      </w:tr>
      <w:tr w14:paraId="3E2FD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8F78672">
            <w:pPr>
              <w:pStyle w:val="18"/>
              <w:ind w:firstLine="560" w:firstLineChars="200"/>
              <w:jc w:val="both"/>
              <w:rPr>
                <w:rFonts w:eastAsia="仿宋"/>
              </w:rPr>
            </w:pPr>
            <w:r>
              <w:rPr>
                <w:rFonts w:hint="eastAsia"/>
              </w:rPr>
              <w:t>a.每月组织对驾驶员进行安全教育，及时传达交通管理部门的精神内容；督促驾驶员严格遵守交通法规，确保安全行车，杜绝事故发生。</w:t>
            </w:r>
          </w:p>
          <w:p w14:paraId="04FC4109">
            <w:pPr>
              <w:pStyle w:val="18"/>
              <w:ind w:firstLine="560" w:firstLineChars="200"/>
              <w:jc w:val="both"/>
              <w:rPr>
                <w:rFonts w:eastAsia="仿宋"/>
              </w:rPr>
            </w:pPr>
            <w:r>
              <w:rPr>
                <w:rFonts w:hint="eastAsia"/>
              </w:rPr>
              <w:t>b.每月对驾驶员进行检查考核，严把检查考核关，确保驾驶员知识及技能及时更新。</w:t>
            </w:r>
          </w:p>
          <w:p w14:paraId="65AE03BC">
            <w:pPr>
              <w:pStyle w:val="18"/>
              <w:ind w:firstLine="560" w:firstLineChars="200"/>
              <w:jc w:val="both"/>
              <w:rPr>
                <w:rFonts w:eastAsia="仿宋"/>
              </w:rPr>
            </w:pPr>
            <w:r>
              <w:rPr>
                <w:rFonts w:hint="eastAsia"/>
              </w:rPr>
              <w:t>c.对违章、违规的驾驶员要做好登记，并进行登记，作为驾驶员年终考核的一个重要因素。</w:t>
            </w:r>
          </w:p>
          <w:p w14:paraId="04100BCD">
            <w:pPr>
              <w:pStyle w:val="18"/>
              <w:ind w:firstLine="560" w:firstLineChars="200"/>
              <w:jc w:val="both"/>
            </w:pPr>
            <w:r>
              <w:rPr>
                <w:rFonts w:hint="eastAsia"/>
              </w:rPr>
              <w:t>d．加强职业道德培训，通过视频案例总结经验教训，使驾驶员充分认识到文明驾驶的重要性，培养驾驶员的职业道德。</w:t>
            </w:r>
          </w:p>
          <w:p w14:paraId="48358CC9">
            <w:pPr>
              <w:pStyle w:val="18"/>
              <w:ind w:firstLine="560" w:firstLineChars="200"/>
              <w:jc w:val="both"/>
            </w:pPr>
            <w:r>
              <w:rPr>
                <w:rFonts w:hint="eastAsia"/>
              </w:rPr>
              <w:t>e.在甲方使用租用机械设备期间负责对驾驶员的管理，并按国家或当地有关规定定期对驾驶员进行安全服务的教育，确保驾驶员驾驶资质、经验丰富且能够向甲方提供安全优质的服务。</w:t>
            </w:r>
          </w:p>
        </w:tc>
      </w:tr>
    </w:tbl>
    <w:p w14:paraId="69BB3611">
      <w:pPr>
        <w:ind w:firstLine="560"/>
      </w:pPr>
      <w:r>
        <w:rPr>
          <w:rFonts w:hint="eastAsia"/>
        </w:rPr>
        <w:t>3.2服务方案的专项优越性</w:t>
      </w:r>
    </w:p>
    <w:p w14:paraId="5BF15CCD">
      <w:pPr>
        <w:ind w:firstLine="560"/>
      </w:pPr>
      <w:r>
        <w:rPr>
          <w:rFonts w:hint="eastAsia"/>
        </w:rPr>
        <w:t>a.针对该项目选派公司组织协调能力强，驾驶经验丰富的驾驶管理人员两名，担任专属客户经理及助理。</w:t>
      </w:r>
    </w:p>
    <w:p w14:paraId="63911DE7">
      <w:pPr>
        <w:ind w:firstLine="560"/>
      </w:pPr>
      <w:r>
        <w:rPr>
          <w:rFonts w:hint="eastAsia"/>
        </w:rPr>
        <w:t>b.专属客户经理职责</w:t>
      </w:r>
    </w:p>
    <w:p w14:paraId="3E326359">
      <w:pPr>
        <w:ind w:firstLine="560"/>
      </w:pPr>
      <w:r>
        <w:rPr>
          <w:rFonts w:hint="eastAsia"/>
        </w:rPr>
        <w:t>了解客户需求、解决客户问题；</w:t>
      </w:r>
    </w:p>
    <w:p w14:paraId="7B7EE95D">
      <w:pPr>
        <w:ind w:firstLine="560"/>
      </w:pPr>
      <w:r>
        <w:rPr>
          <w:rFonts w:hint="eastAsia"/>
        </w:rPr>
        <w:t>为专属客户传达公司相关活动通知；</w:t>
      </w:r>
    </w:p>
    <w:p w14:paraId="741A56C9">
      <w:pPr>
        <w:ind w:firstLine="560"/>
      </w:pPr>
      <w:r>
        <w:rPr>
          <w:rFonts w:hint="eastAsia"/>
        </w:rPr>
        <w:t>组织驾驶员专业技能培训活动；</w:t>
      </w:r>
    </w:p>
    <w:p w14:paraId="288E707C">
      <w:pPr>
        <w:ind w:firstLine="560"/>
      </w:pPr>
      <w:r>
        <w:rPr>
          <w:rFonts w:hint="eastAsia"/>
        </w:rPr>
        <w:t>记录客户意见和建议，及时反馈客户的意见和建议。</w:t>
      </w:r>
    </w:p>
    <w:p w14:paraId="48A2193C">
      <w:pPr>
        <w:ind w:firstLine="560"/>
      </w:pPr>
      <w:r>
        <w:rPr>
          <w:rFonts w:hint="eastAsia"/>
        </w:rPr>
        <w:t>c.客户经理助理职责</w:t>
      </w:r>
    </w:p>
    <w:p w14:paraId="262E6802">
      <w:pPr>
        <w:ind w:firstLine="560"/>
      </w:pPr>
      <w:r>
        <w:rPr>
          <w:rFonts w:hint="eastAsia"/>
        </w:rPr>
        <w:t>协助客户经理筛选处理客户重要问题；</w:t>
      </w:r>
    </w:p>
    <w:p w14:paraId="65F44CED">
      <w:pPr>
        <w:ind w:firstLine="560"/>
      </w:pPr>
      <w:r>
        <w:rPr>
          <w:rFonts w:hint="eastAsia"/>
        </w:rPr>
        <w:t>协助客户经理及客户做好相关活动的实施工作；</w:t>
      </w:r>
    </w:p>
    <w:p w14:paraId="3D59FCFA">
      <w:pPr>
        <w:ind w:firstLine="560"/>
      </w:pPr>
      <w:r>
        <w:rPr>
          <w:rFonts w:hint="eastAsia"/>
        </w:rPr>
        <w:t>协助客户经理做好驾驶员专业技能培训活动；</w:t>
      </w:r>
    </w:p>
    <w:p w14:paraId="53B92D3B">
      <w:pPr>
        <w:ind w:firstLine="560"/>
      </w:pPr>
      <w:r>
        <w:rPr>
          <w:rFonts w:hint="eastAsia"/>
        </w:rPr>
        <w:t>协助客户经理及时处理客户的意见和建议。</w:t>
      </w:r>
    </w:p>
    <w:p w14:paraId="69D578DB">
      <w:pPr>
        <w:ind w:firstLine="560"/>
      </w:pPr>
      <w:r>
        <w:rPr>
          <w:rFonts w:hint="eastAsia"/>
        </w:rPr>
        <w:t>d.对甲方在用车期间提出的合理意见和建议应及时做出整改，接受甲方对机械设备及驾驶人员的考核并整改至甲方满意为止。</w:t>
      </w:r>
    </w:p>
    <w:p w14:paraId="6C703994">
      <w:pPr>
        <w:ind w:firstLine="560"/>
      </w:pPr>
      <w:r>
        <w:rPr>
          <w:rFonts w:hint="eastAsia"/>
        </w:rPr>
        <w:t>e.在租车期间，按甲方要求在有高速道路的路段必须行驶高速道路。</w:t>
      </w:r>
    </w:p>
    <w:p w14:paraId="7C6A35D4">
      <w:pPr>
        <w:ind w:firstLine="560"/>
      </w:pPr>
      <w:r>
        <w:rPr>
          <w:rFonts w:hint="eastAsia"/>
        </w:rPr>
        <w:t>f.租用机械设备应按甲方的要求进行使用，驾驶员应按甲方的要求驾驶租用机械设备，驾驶员驾驶机械设备时应遵守国家或当地及其他地区的交通法规；</w:t>
      </w:r>
    </w:p>
    <w:p w14:paraId="510949F7">
      <w:pPr>
        <w:ind w:firstLine="560"/>
      </w:pPr>
      <w:r>
        <w:rPr>
          <w:rFonts w:hint="eastAsia"/>
        </w:rPr>
        <w:t>g.在甲方使用租用机械设备期间，驾驶员应负责租用机械设备的机械设备合理停放。租用机械设备应停放于合适的安全的地点，包括但不限于属于乙方使用的停车地点、属于甲方使用的停车地点、合适的公共停车场等场所；租用机械设备具体停放地点由乙方或乙方提供的驾驶员根据自己的判断选择，但在甲方认为必要的情形下，乙方应当根据甲方的要求与甲方协商确定具体的停车地点；</w:t>
      </w:r>
    </w:p>
    <w:p w14:paraId="43C49E7F">
      <w:pPr>
        <w:ind w:firstLine="560"/>
      </w:pPr>
      <w:r>
        <w:rPr>
          <w:rFonts w:hint="eastAsia"/>
        </w:rPr>
        <w:t>h.机械设备有效证件配备齐全，包括驾驶证、行驶证及国家或当地公安机关机械设备管理部门要求随车配备的证件等。</w:t>
      </w:r>
    </w:p>
    <w:p w14:paraId="6D652D9A">
      <w:pPr>
        <w:ind w:firstLine="560"/>
      </w:pPr>
      <w:r>
        <w:rPr>
          <w:rFonts w:hint="eastAsia"/>
        </w:rPr>
        <w:t>服务承诺</w:t>
      </w:r>
    </w:p>
    <w:p w14:paraId="2B6E3F84">
      <w:pPr>
        <w:ind w:firstLine="560"/>
      </w:pPr>
      <w:r>
        <w:rPr>
          <w:rFonts w:hint="eastAsia"/>
        </w:rPr>
        <w:t>我公司对本次投标承诺如下：</w:t>
      </w:r>
    </w:p>
    <w:p w14:paraId="5B89AB10">
      <w:pPr>
        <w:ind w:firstLine="560"/>
      </w:pPr>
      <w:r>
        <w:rPr>
          <w:rFonts w:hint="eastAsia"/>
        </w:rPr>
        <w:t>1、对设备质量、供应时间承诺：我公司将严格按照采购人的要求提供工程所需规格型号的特种机械设备。</w:t>
      </w:r>
    </w:p>
    <w:p w14:paraId="4472B32E">
      <w:pPr>
        <w:ind w:firstLine="560"/>
      </w:pPr>
      <w:r>
        <w:rPr>
          <w:rFonts w:hint="eastAsia"/>
        </w:rPr>
        <w:t>2、在供货过程中出现设备故障问题我公司将及时组织维修，一般问题在2两小时内解决，较大问题4小时内解决。最多不超过8小时，如因设备故障问题而造成工期延误，我公司承诺接受每延误一天以人民币300元的罚款，该罚款直接从租赁款中扣除。</w:t>
      </w:r>
    </w:p>
    <w:p w14:paraId="41F5288A">
      <w:pPr>
        <w:ind w:firstLine="560"/>
      </w:pPr>
      <w:r>
        <w:rPr>
          <w:rFonts w:hint="eastAsia"/>
        </w:rPr>
        <w:t>在设备使用过程中保证：</w:t>
      </w:r>
    </w:p>
    <w:p w14:paraId="0D874C06">
      <w:pPr>
        <w:ind w:firstLine="560"/>
      </w:pPr>
      <w:r>
        <w:rPr>
          <w:rFonts w:hint="eastAsia"/>
        </w:rPr>
        <w:t>1、服务承诺：我公司将以良好的服务态度、饱满的工作热情和遵纪守法的工作作风做好对采购人的服务，让项目部和采购人满意。</w:t>
      </w:r>
    </w:p>
    <w:p w14:paraId="1F7EED89">
      <w:pPr>
        <w:ind w:firstLine="560"/>
      </w:pPr>
      <w:r>
        <w:rPr>
          <w:rFonts w:hint="eastAsia"/>
        </w:rPr>
        <w:t>2、租赁款支付方面的承诺：我公司对采购文件的合同协议条款完全接受和遵守。</w:t>
      </w:r>
    </w:p>
    <w:p w14:paraId="6830E8DB">
      <w:pPr>
        <w:ind w:firstLine="560"/>
      </w:pPr>
      <w:r>
        <w:rPr>
          <w:rFonts w:hint="eastAsia"/>
        </w:rPr>
        <w:t>3、对招标文件的合同协议条款承诺：我公司承诺，由于采购人原因造成的10天内的不能按合同约定付款表示理解并与采购人协商解决，不诉诸法律解决。</w:t>
      </w:r>
    </w:p>
    <w:p w14:paraId="73DADB5E">
      <w:pPr>
        <w:ind w:firstLine="560"/>
      </w:pPr>
      <w:r>
        <w:rPr>
          <w:rFonts w:hint="eastAsia"/>
        </w:rPr>
        <w:t>我公司将严格遵守上述各项承诺。</w:t>
      </w:r>
    </w:p>
    <w:p w14:paraId="66573567">
      <w:pPr>
        <w:pStyle w:val="5"/>
        <w:spacing w:before="31" w:after="31"/>
        <w:ind w:firstLine="562"/>
      </w:pPr>
      <w:bookmarkStart w:id="10423" w:name="_Toc32552"/>
      <w:bookmarkStart w:id="10424" w:name="_Toc29368"/>
      <w:bookmarkStart w:id="10425" w:name="_Toc1670"/>
      <w:bookmarkStart w:id="10426" w:name="_Toc22031"/>
      <w:bookmarkStart w:id="10427" w:name="_Toc11991"/>
      <w:bookmarkStart w:id="10428" w:name="_Toc18859"/>
      <w:bookmarkStart w:id="10429" w:name="_Toc8113"/>
      <w:bookmarkStart w:id="10430" w:name="_Toc29830"/>
      <w:bookmarkStart w:id="10431" w:name="_Toc2118"/>
      <w:bookmarkStart w:id="10432" w:name="_Toc24594"/>
      <w:bookmarkStart w:id="10433" w:name="_Toc3678"/>
      <w:bookmarkStart w:id="10434" w:name="_Toc7215"/>
      <w:bookmarkStart w:id="10435" w:name="_Toc23331"/>
      <w:bookmarkStart w:id="10436" w:name="_Toc20493"/>
      <w:bookmarkStart w:id="10437" w:name="_Toc3723"/>
      <w:bookmarkStart w:id="10438" w:name="_Toc23764"/>
      <w:bookmarkStart w:id="10439" w:name="_Toc16717"/>
      <w:bookmarkStart w:id="10440" w:name="_Toc27164"/>
      <w:bookmarkStart w:id="10441" w:name="_Toc22712"/>
      <w:bookmarkStart w:id="10442" w:name="_Toc595"/>
      <w:bookmarkStart w:id="10443" w:name="_Toc657"/>
      <w:bookmarkStart w:id="10444" w:name="_Toc17902"/>
      <w:bookmarkStart w:id="10445" w:name="_Toc14768"/>
      <w:bookmarkStart w:id="10446" w:name="_Toc2986"/>
      <w:bookmarkStart w:id="10447" w:name="_Toc21416"/>
      <w:bookmarkStart w:id="10448" w:name="_Toc12767"/>
      <w:bookmarkStart w:id="10449" w:name="_Toc5815"/>
      <w:bookmarkStart w:id="10450" w:name="_Toc27296"/>
      <w:bookmarkStart w:id="10451" w:name="_Toc20970"/>
      <w:bookmarkStart w:id="10452" w:name="_Toc21244"/>
      <w:bookmarkStart w:id="10453" w:name="_Toc20620"/>
      <w:bookmarkStart w:id="10454" w:name="_Toc3806"/>
      <w:bookmarkStart w:id="10455" w:name="_Toc32627"/>
      <w:bookmarkStart w:id="10456" w:name="_Toc2660"/>
      <w:bookmarkStart w:id="10457" w:name="_Toc18157"/>
      <w:bookmarkStart w:id="10458" w:name="_Toc29467"/>
      <w:bookmarkStart w:id="10459" w:name="_Toc21207"/>
      <w:bookmarkStart w:id="10460" w:name="_Toc21074"/>
      <w:bookmarkStart w:id="10461" w:name="_Toc4047"/>
      <w:bookmarkStart w:id="10462" w:name="_Toc22851"/>
      <w:bookmarkStart w:id="10463" w:name="_Toc9709"/>
      <w:bookmarkStart w:id="10464" w:name="_Toc5580"/>
      <w:bookmarkStart w:id="10465" w:name="_Toc31813"/>
      <w:bookmarkStart w:id="10466" w:name="_Toc23980"/>
      <w:bookmarkStart w:id="10467" w:name="_Toc14690"/>
      <w:bookmarkStart w:id="10468" w:name="_Toc7902"/>
      <w:bookmarkStart w:id="10469" w:name="_Toc1822"/>
      <w:r>
        <w:rPr>
          <w:rFonts w:hint="eastAsia"/>
        </w:rPr>
        <w:t>（五）机械设备的使用管理</w:t>
      </w:r>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p>
    <w:p w14:paraId="5003746F">
      <w:pPr>
        <w:ind w:firstLine="560"/>
      </w:pPr>
      <w:r>
        <w:rPr>
          <w:rFonts w:hint="eastAsia"/>
        </w:rPr>
        <w:t>（一）为了我项目部施工生产任务的顺利完成,必须加强机械设备的使用管理工作,特制定以下制度:</w:t>
      </w:r>
    </w:p>
    <w:p w14:paraId="60A119E2">
      <w:pPr>
        <w:ind w:firstLine="560"/>
      </w:pPr>
      <w:r>
        <w:rPr>
          <w:rFonts w:hint="eastAsia"/>
        </w:rPr>
        <w:t>1、机械设备安装后，必须进行安全自检，挂安全合格检验牌，操作规程牌，方可投入使用。</w:t>
      </w:r>
    </w:p>
    <w:p w14:paraId="3620AA35">
      <w:pPr>
        <w:ind w:firstLine="560"/>
      </w:pPr>
      <w:r>
        <w:rPr>
          <w:rFonts w:hint="eastAsia"/>
        </w:rPr>
        <w:t>2、机械操作工，必须经过专业技术培训，持有市局级以上的特种操作证，方可持证上岗，非操作人员严禁上岗。</w:t>
      </w:r>
    </w:p>
    <w:p w14:paraId="4671372A">
      <w:pPr>
        <w:ind w:firstLine="560"/>
      </w:pPr>
      <w:r>
        <w:rPr>
          <w:rFonts w:hint="eastAsia"/>
        </w:rPr>
        <w:t>3、强化机械维修和日常保养工作，管好、用好、改造好现有的机械设备和报废再用设备。</w:t>
      </w:r>
    </w:p>
    <w:p w14:paraId="16BAAF0B">
      <w:pPr>
        <w:ind w:firstLine="560"/>
      </w:pPr>
      <w:r>
        <w:rPr>
          <w:rFonts w:hint="eastAsia"/>
        </w:rPr>
        <w:t>4、机械操作人员必须按十字作业法做到：</w:t>
      </w:r>
    </w:p>
    <w:p w14:paraId="5FD6A800">
      <w:pPr>
        <w:ind w:firstLine="560"/>
      </w:pPr>
      <w:r>
        <w:rPr>
          <w:rFonts w:hint="eastAsia"/>
        </w:rPr>
        <w:t>1）清洁机械油垢、工作环境、电器装置，电闸箱整洁，不渗油滴油，保持机貌整洁。</w:t>
      </w:r>
    </w:p>
    <w:p w14:paraId="5D8E0ACB">
      <w:pPr>
        <w:ind w:firstLine="560"/>
      </w:pPr>
      <w:r>
        <w:rPr>
          <w:rFonts w:hint="eastAsia"/>
        </w:rPr>
        <w:t>2）随时检查规定的注油点和润滑点是否润滑适当和油路是否畅通。</w:t>
      </w:r>
    </w:p>
    <w:p w14:paraId="7C98BBE3">
      <w:pPr>
        <w:ind w:firstLine="560"/>
      </w:pPr>
      <w:r>
        <w:rPr>
          <w:rFonts w:hint="eastAsia"/>
        </w:rPr>
        <w:t>3）检查各连接螺栓紧固程度是否良好，不得松旷、缺少和捆绑现象。</w:t>
      </w:r>
    </w:p>
    <w:p w14:paraId="591651DB">
      <w:pPr>
        <w:ind w:firstLine="560"/>
      </w:pPr>
      <w:r>
        <w:rPr>
          <w:rFonts w:hint="eastAsia"/>
        </w:rPr>
        <w:t>4）调整各部间隙，确保各制动装置灵敏可靠。</w:t>
      </w:r>
    </w:p>
    <w:p w14:paraId="61A25B2E">
      <w:pPr>
        <w:ind w:firstLine="560"/>
      </w:pPr>
      <w:r>
        <w:rPr>
          <w:rFonts w:hint="eastAsia"/>
        </w:rPr>
        <w:t>5）做好防腐工作，机身不得锈蚀，有漆见漆，无漆见铁。</w:t>
      </w:r>
    </w:p>
    <w:p w14:paraId="20137131">
      <w:pPr>
        <w:ind w:firstLine="560"/>
      </w:pPr>
      <w:r>
        <w:rPr>
          <w:rFonts w:hint="eastAsia"/>
        </w:rPr>
        <w:t>5、保持机械各种装置齐全、完整、良好，电器线路接地、接零完整齐全，安全可靠。</w:t>
      </w:r>
    </w:p>
    <w:p w14:paraId="0EC58317">
      <w:pPr>
        <w:ind w:firstLine="560"/>
      </w:pPr>
      <w:r>
        <w:rPr>
          <w:rFonts w:hint="eastAsia"/>
        </w:rPr>
        <w:t>6、定人、定机，专人专机负责制，专人维护保养。</w:t>
      </w:r>
    </w:p>
    <w:p w14:paraId="07264579">
      <w:pPr>
        <w:ind w:firstLine="560"/>
      </w:pPr>
      <w:r>
        <w:rPr>
          <w:rFonts w:hint="eastAsia"/>
        </w:rPr>
        <w:t>7、保持各种开关，信号、标牌、制动器、安全防护装置安全可靠。</w:t>
      </w:r>
    </w:p>
    <w:p w14:paraId="0CF3B69E">
      <w:pPr>
        <w:ind w:firstLine="560"/>
      </w:pPr>
      <w:r>
        <w:rPr>
          <w:rFonts w:hint="eastAsia"/>
        </w:rPr>
        <w:t>8、机械操作人员必须不断地学习专业技术，熟悉机械的性能、构造及操作规程，尽心尽职地使用好、保养好、维修好所操作的机械设备，为企业忠于职守，多做贡献。</w:t>
      </w:r>
    </w:p>
    <w:p w14:paraId="2B147CF7">
      <w:pPr>
        <w:ind w:firstLine="560"/>
      </w:pPr>
      <w:r>
        <w:rPr>
          <w:rFonts w:hint="eastAsia"/>
        </w:rPr>
        <w:t>9、机械操作人员必须按相关要求填写相应的机械履历表。</w:t>
      </w:r>
    </w:p>
    <w:p w14:paraId="2EB04A91">
      <w:pPr>
        <w:ind w:firstLine="560"/>
      </w:pPr>
      <w:r>
        <w:rPr>
          <w:rFonts w:hint="eastAsia"/>
        </w:rPr>
        <w:t>（二）大型机械设备是企业的财富，是完成施工生产任务的重要物资手段，是企业重要的生产要素之首，对大型机械设备的使用和管理是企业的重要内容。因此特制定以下使用制度：</w:t>
      </w:r>
    </w:p>
    <w:p w14:paraId="5963BD0A">
      <w:pPr>
        <w:ind w:firstLine="560"/>
      </w:pPr>
      <w:r>
        <w:rPr>
          <w:rFonts w:hint="eastAsia"/>
        </w:rPr>
        <w:t>1、大型机械设备应有生产许可证、出厂合格证、安全检测合格牌，并经本市检测取得安全使用合格证，并挂操作规程牌，方可投入使用。</w:t>
      </w:r>
    </w:p>
    <w:p w14:paraId="0CBE5173">
      <w:pPr>
        <w:ind w:firstLine="560"/>
      </w:pPr>
      <w:r>
        <w:rPr>
          <w:rFonts w:hint="eastAsia"/>
        </w:rPr>
        <w:t>2、大型机械操作工，必须经过专业技术培训，了解机械的构造和性能，熟悉机械的保养和安全操作规程，持有市局级以上操作证，方可上岗操作。</w:t>
      </w:r>
    </w:p>
    <w:p w14:paraId="3A289CE8">
      <w:pPr>
        <w:ind w:firstLine="560"/>
      </w:pPr>
      <w:r>
        <w:rPr>
          <w:rFonts w:hint="eastAsia"/>
        </w:rPr>
        <w:t>3、大型机械必须定人、定机、定岗位，专人专机负责制，右面机组人员不得擅自操作，维修时必须2人以上。</w:t>
      </w:r>
    </w:p>
    <w:p w14:paraId="58F2C1AB">
      <w:pPr>
        <w:ind w:firstLine="560"/>
      </w:pPr>
      <w:r>
        <w:rPr>
          <w:rFonts w:hint="eastAsia"/>
        </w:rPr>
        <w:t>4、大型机械必须有灵敏限位、保险装置、缓冲装置，严禁使用超标准、报废、锈蚀钢丝绳和作业用的吊装带钢丝。</w:t>
      </w:r>
    </w:p>
    <w:p w14:paraId="305AE5FD">
      <w:pPr>
        <w:ind w:firstLine="560"/>
      </w:pPr>
      <w:r>
        <w:rPr>
          <w:rFonts w:hint="eastAsia"/>
        </w:rPr>
        <w:t>5、司机必须严格按机械起重性能表中规定的幅度和起重进行操作，严禁超载使用和违章作业。</w:t>
      </w:r>
    </w:p>
    <w:p w14:paraId="2E285518">
      <w:pPr>
        <w:ind w:firstLine="560"/>
      </w:pPr>
      <w:r>
        <w:rPr>
          <w:rFonts w:hint="eastAsia"/>
        </w:rPr>
        <w:t>6、夜间工作时，施工现场必须具有充分的照明。</w:t>
      </w:r>
    </w:p>
    <w:p w14:paraId="39C31531">
      <w:pPr>
        <w:ind w:firstLine="560"/>
      </w:pPr>
      <w:r>
        <w:rPr>
          <w:rFonts w:hint="eastAsia"/>
        </w:rPr>
        <w:t>7、大型机械的维护和保养，必须经常进行检查，保证传动部分应有足够的润滑油。对易损件必须经常检查、维修和更换；对机械的紧固螺栓，特别是经常振动的零件，应经常进行检查是否松动，必须及时拧紧；各机构的制动器，必须经常进行检查和调整，保证随时灵敏可靠。</w:t>
      </w:r>
    </w:p>
    <w:p w14:paraId="54ECA8DA">
      <w:pPr>
        <w:ind w:firstLine="560"/>
      </w:pPr>
      <w:r>
        <w:rPr>
          <w:rFonts w:hint="eastAsia"/>
        </w:rPr>
        <w:t>8、冬季使用时，必须摸冬季润滑油，待油温上升和控制阀动作灵活后，再正式使用。</w:t>
      </w:r>
    </w:p>
    <w:p w14:paraId="740A07F5">
      <w:pPr>
        <w:ind w:firstLine="560"/>
      </w:pPr>
      <w:r>
        <w:rPr>
          <w:rFonts w:hint="eastAsia"/>
        </w:rPr>
        <w:t>9、经常检查电缆、电线有无损伤；安全保护器是否灵敏；电动机是否有过热现象；电刷接触面是否清洁平整（接触面不小于50%）；交流接触器、行程开关的触点，开关是否灵活，不得有弧坑；电闸控制箱、配电箱经常保持清洁，机坑不得有集水，排水良好，接地电阻不得大于4Ω。</w:t>
      </w:r>
    </w:p>
    <w:p w14:paraId="664ECC28">
      <w:pPr>
        <w:ind w:firstLine="560"/>
      </w:pPr>
      <w:r>
        <w:rPr>
          <w:rFonts w:hint="eastAsia"/>
        </w:rPr>
        <w:t>10、所有大型机械作业人员必须热爱本职工作，忠于职守，保证工作质量。对技术精益求精、同心同德、团结协作，对国家负责、对集体负责、对自己负责，尽职尽责地安全地使用好、保养好、爱护好大型机械，为企业多做贡献。</w:t>
      </w:r>
    </w:p>
    <w:p w14:paraId="01A7E736">
      <w:pPr>
        <w:ind w:firstLine="560"/>
      </w:pPr>
      <w:r>
        <w:rPr>
          <w:rFonts w:hint="eastAsia"/>
        </w:rPr>
        <w:t>11．机械设备使用的日常管理由项目经理部负责，即贯彻“谁使用，谁管理”的原则。生产科负责技术指导和监督检察工作。</w:t>
      </w:r>
    </w:p>
    <w:p w14:paraId="1253B0DC">
      <w:pPr>
        <w:ind w:firstLine="560"/>
      </w:pPr>
      <w:r>
        <w:rPr>
          <w:rFonts w:hint="eastAsia"/>
        </w:rPr>
        <w:t>12．各项目经理部应聘任设备员，该设备员应具备机械设备基础知识和一定的设备管理经验。</w:t>
      </w:r>
    </w:p>
    <w:p w14:paraId="31FD402D">
      <w:pPr>
        <w:ind w:firstLine="560"/>
      </w:pPr>
      <w:r>
        <w:rPr>
          <w:rFonts w:hint="eastAsia"/>
        </w:rPr>
        <w:t>13．机械设备使用应按规定配备足够的工作人员（操作人员、指挥人员及维修人员）。操作人员必须按规定持证上岗。</w:t>
      </w:r>
    </w:p>
    <w:p w14:paraId="41A24691">
      <w:pPr>
        <w:ind w:firstLine="560"/>
      </w:pPr>
      <w:r>
        <w:rPr>
          <w:rFonts w:hint="eastAsia"/>
        </w:rPr>
        <w:t>14．机械设备使用的工作人员应能胜任所担任的工作，熟悉所使用的设备性能特点和维护、保养要求。</w:t>
      </w:r>
    </w:p>
    <w:p w14:paraId="4A6AC5D0">
      <w:pPr>
        <w:ind w:firstLine="560"/>
      </w:pPr>
      <w:r>
        <w:rPr>
          <w:rFonts w:hint="eastAsia"/>
        </w:rPr>
        <w:t>15．所有机械设备的使用应按照使用说明书的规定要求进行，严禁超负荷运转。</w:t>
      </w:r>
    </w:p>
    <w:p w14:paraId="44FF099F">
      <w:pPr>
        <w:ind w:firstLine="560"/>
      </w:pPr>
      <w:r>
        <w:rPr>
          <w:rFonts w:hint="eastAsia"/>
        </w:rPr>
        <w:t>16．所有机械设备在使用期间要按《设备保养规程》的规定做好日常保养、小修、中修等维护保养工作，严禁带病运转。</w:t>
      </w:r>
    </w:p>
    <w:p w14:paraId="4E983DB6">
      <w:pPr>
        <w:ind w:firstLine="560"/>
      </w:pPr>
      <w:r>
        <w:rPr>
          <w:rFonts w:hint="eastAsia"/>
        </w:rPr>
        <w:t>17．机械设备的操作、维修人员应认真做好《设备运转当班记录》及《设备维修记录》。各项目经理部的设备员应经常检查《设备运转当班记录》的填写情况，并做好收集归档工作。</w:t>
      </w:r>
    </w:p>
    <w:p w14:paraId="5EF71B2B">
      <w:pPr>
        <w:pStyle w:val="5"/>
        <w:spacing w:before="31" w:after="31"/>
        <w:ind w:firstLine="562"/>
      </w:pPr>
      <w:bookmarkStart w:id="10470" w:name="_Toc17942"/>
      <w:bookmarkStart w:id="10471" w:name="_Toc13680"/>
      <w:bookmarkStart w:id="10472" w:name="_Toc13610"/>
      <w:bookmarkStart w:id="10473" w:name="_Toc31265"/>
      <w:bookmarkStart w:id="10474" w:name="_Toc23040"/>
      <w:bookmarkStart w:id="10475" w:name="_Toc8637"/>
      <w:bookmarkStart w:id="10476" w:name="_Toc8090"/>
      <w:bookmarkStart w:id="10477" w:name="_Toc20743"/>
      <w:bookmarkStart w:id="10478" w:name="_Toc260"/>
      <w:bookmarkStart w:id="10479" w:name="_Toc11249"/>
      <w:bookmarkStart w:id="10480" w:name="_Toc24912"/>
      <w:bookmarkStart w:id="10481" w:name="_Toc18153"/>
      <w:bookmarkStart w:id="10482" w:name="_Toc24148"/>
      <w:bookmarkStart w:id="10483" w:name="_Toc2857"/>
      <w:bookmarkStart w:id="10484" w:name="_Toc9087"/>
      <w:bookmarkStart w:id="10485" w:name="_Toc25227"/>
      <w:bookmarkStart w:id="10486" w:name="_Toc17348"/>
      <w:bookmarkStart w:id="10487" w:name="_Toc3638"/>
      <w:bookmarkStart w:id="10488" w:name="_Toc11655"/>
      <w:bookmarkStart w:id="10489" w:name="_Toc1320"/>
      <w:bookmarkStart w:id="10490" w:name="_Toc25125"/>
      <w:bookmarkStart w:id="10491" w:name="_Toc7037"/>
      <w:bookmarkStart w:id="10492" w:name="_Toc17966"/>
      <w:bookmarkStart w:id="10493" w:name="_Toc9220"/>
      <w:bookmarkStart w:id="10494" w:name="_Toc22599"/>
      <w:bookmarkStart w:id="10495" w:name="_Toc27982"/>
      <w:bookmarkStart w:id="10496" w:name="_Toc16345"/>
      <w:bookmarkStart w:id="10497" w:name="_Toc19260"/>
      <w:bookmarkStart w:id="10498" w:name="_Toc16282"/>
      <w:bookmarkStart w:id="10499" w:name="_Toc21304"/>
      <w:bookmarkStart w:id="10500" w:name="_Toc24064"/>
      <w:bookmarkStart w:id="10501" w:name="_Toc17556"/>
      <w:bookmarkStart w:id="10502" w:name="_Toc12721"/>
      <w:bookmarkStart w:id="10503" w:name="_Toc8507"/>
      <w:bookmarkStart w:id="10504" w:name="_Toc27898"/>
      <w:bookmarkStart w:id="10505" w:name="_Toc1386"/>
      <w:bookmarkStart w:id="10506" w:name="_Toc7159"/>
      <w:bookmarkStart w:id="10507" w:name="_Toc29084"/>
      <w:bookmarkStart w:id="10508" w:name="_Toc22"/>
      <w:bookmarkStart w:id="10509" w:name="_Toc28444"/>
      <w:bookmarkStart w:id="10510" w:name="_Toc32115"/>
      <w:bookmarkStart w:id="10511" w:name="_Toc9173"/>
      <w:bookmarkStart w:id="10512" w:name="_Toc26964"/>
      <w:bookmarkStart w:id="10513" w:name="_Toc19494"/>
      <w:bookmarkStart w:id="10514" w:name="_Toc13048"/>
      <w:bookmarkStart w:id="10515" w:name="_Toc17235"/>
      <w:bookmarkStart w:id="10516" w:name="_Toc17148"/>
      <w:bookmarkStart w:id="10517" w:name="_Toc15381"/>
      <w:r>
        <w:rPr>
          <w:rFonts w:hint="eastAsia"/>
        </w:rPr>
        <w:t>（六）施工设备的保养、维修</w:t>
      </w:r>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p>
    <w:p w14:paraId="5637D6C6">
      <w:pPr>
        <w:ind w:firstLine="560"/>
      </w:pPr>
      <w:r>
        <w:rPr>
          <w:rFonts w:hint="eastAsia"/>
        </w:rPr>
        <w:t>1．施工设备的保养由项目经理部设备员组织操作人员、维修人员按各类《机械设备保养规程》进行，并由操作人和设备员分别填入《设备运转当班记录》和《设备维修记录》中。</w:t>
      </w:r>
    </w:p>
    <w:p w14:paraId="21860EC8">
      <w:pPr>
        <w:ind w:firstLine="560"/>
      </w:pPr>
      <w:r>
        <w:rPr>
          <w:rFonts w:hint="eastAsia"/>
        </w:rPr>
        <w:t>2．《施工设备检修计划》由项目经理设备员部根据《各类机械设备保养规程》编制，并报生产科施工设备技术监督员审核、备案。</w:t>
      </w:r>
    </w:p>
    <w:p w14:paraId="10F9989F">
      <w:pPr>
        <w:ind w:firstLine="560"/>
      </w:pPr>
      <w:r>
        <w:rPr>
          <w:rFonts w:hint="eastAsia"/>
        </w:rPr>
        <w:t>3．施工设备的检修，由工地结合实际情况，按《施工设备检修计划》进行，日常维修工作由设备员组织进行，所有维修工作，设备员均要填写《设备维修记录》</w:t>
      </w:r>
    </w:p>
    <w:p w14:paraId="4960870C">
      <w:pPr>
        <w:ind w:firstLine="560"/>
      </w:pPr>
      <w:r>
        <w:rPr>
          <w:rFonts w:hint="eastAsia"/>
        </w:rPr>
        <w:t>一、机械设备使用管理规定</w:t>
      </w:r>
    </w:p>
    <w:p w14:paraId="4C3FB0EE">
      <w:pPr>
        <w:ind w:firstLine="560"/>
      </w:pPr>
      <w:r>
        <w:rPr>
          <w:rFonts w:hint="eastAsia"/>
        </w:rPr>
        <w:t>为了正确合理使用机械设备，防止设备事故的发生，更好的完成企业施工任务，特制定本制度。</w:t>
      </w:r>
    </w:p>
    <w:p w14:paraId="26C55479">
      <w:pPr>
        <w:ind w:firstLine="560"/>
      </w:pPr>
      <w:r>
        <w:rPr>
          <w:rFonts w:hint="eastAsia"/>
        </w:rPr>
        <w:t>（1）必须严格按照厂家说明书规定的要求和操作规程使用机械。</w:t>
      </w:r>
    </w:p>
    <w:p w14:paraId="025E0586">
      <w:pPr>
        <w:ind w:firstLine="560"/>
      </w:pPr>
      <w:r>
        <w:rPr>
          <w:rFonts w:hint="eastAsia"/>
        </w:rPr>
        <w:t>（2）配备熟练的操作人员，操作人员必须身体健康，经过专门训练，方可上岗操作。</w:t>
      </w:r>
    </w:p>
    <w:p w14:paraId="23773188">
      <w:pPr>
        <w:ind w:firstLine="560"/>
      </w:pPr>
      <w:r>
        <w:rPr>
          <w:rFonts w:hint="eastAsia"/>
        </w:rPr>
        <w:t>（3）特种作业人员（起重机械、挂钩作业人员等）必须按国家和省、市安全生产监察局的要求培训和考试，取得省、市安全生产监察局颁发的“特种作业人员安全操作证”后，方可上岗操作，并按归家规定的要求和期限进行审证。</w:t>
      </w:r>
    </w:p>
    <w:p w14:paraId="3830F46F">
      <w:pPr>
        <w:ind w:firstLine="560"/>
      </w:pPr>
      <w:r>
        <w:rPr>
          <w:rFonts w:hint="eastAsia"/>
        </w:rPr>
        <w:t>（4）实习操作人员必须有实习证，在师傅的指挥下，才能操作机械设备。</w:t>
      </w:r>
    </w:p>
    <w:p w14:paraId="527BE48A">
      <w:pPr>
        <w:ind w:firstLine="560"/>
      </w:pPr>
      <w:r>
        <w:rPr>
          <w:rFonts w:hint="eastAsia"/>
        </w:rPr>
        <w:t>（5）在非生产时间内，未经主管部门批准，任何人不得私自动用设备。</w:t>
      </w:r>
    </w:p>
    <w:p w14:paraId="6BBC1F31">
      <w:pPr>
        <w:ind w:firstLine="560"/>
      </w:pPr>
      <w:r>
        <w:rPr>
          <w:rFonts w:hint="eastAsia"/>
        </w:rPr>
        <w:t>（6）新购或改装的大型施工设备应有公司设备科验收合格后方可投入运作，现场使用的机械设备都必须做标志、挂牌。</w:t>
      </w:r>
    </w:p>
    <w:p w14:paraId="3FD85295">
      <w:pPr>
        <w:ind w:firstLine="560"/>
      </w:pPr>
      <w:r>
        <w:rPr>
          <w:rFonts w:hint="eastAsia"/>
        </w:rPr>
        <w:t>（7）经过打修理的设备，应该由有关部门验收发给使用证后方可使用。</w:t>
      </w:r>
    </w:p>
    <w:p w14:paraId="522DEE8A">
      <w:pPr>
        <w:ind w:firstLine="560"/>
      </w:pPr>
      <w:r>
        <w:rPr>
          <w:rFonts w:hint="eastAsia"/>
        </w:rPr>
        <w:t>（8）机械使用必须贯彻“管用结合”、“人机固定”的原则，实行定人、定机、定岗位的岗位责任制。</w:t>
      </w:r>
    </w:p>
    <w:p w14:paraId="38D67481">
      <w:pPr>
        <w:ind w:firstLine="560"/>
      </w:pPr>
      <w:r>
        <w:rPr>
          <w:rFonts w:hint="eastAsia"/>
        </w:rPr>
        <w:t>（9）有单独机械操作者，改人员为机械使用负责人。</w:t>
      </w:r>
    </w:p>
    <w:p w14:paraId="3EE02504">
      <w:pPr>
        <w:ind w:firstLine="560"/>
      </w:pPr>
      <w:r>
        <w:rPr>
          <w:rFonts w:hint="eastAsia"/>
        </w:rPr>
        <w:t>（10）多班作业或多人操作的机械，应任命一名为机长，其余为组员。</w:t>
      </w:r>
    </w:p>
    <w:p w14:paraId="05791496">
      <w:pPr>
        <w:ind w:firstLine="560"/>
      </w:pPr>
      <w:r>
        <w:rPr>
          <w:rFonts w:hint="eastAsia"/>
        </w:rPr>
        <w:t>（11）班组共同使用的机械以及一些不宜固定操作人员的机械设备，应将这类设备编为一组，任命一名为机组长，对机组内所有设备负责。</w:t>
      </w:r>
    </w:p>
    <w:p w14:paraId="19C86C71">
      <w:pPr>
        <w:ind w:firstLine="560"/>
      </w:pPr>
      <w:r>
        <w:rPr>
          <w:rFonts w:hint="eastAsia"/>
        </w:rPr>
        <w:t>（12）机长及机组长是机组的领导者和组织者，负责本机组设备的所有活动。</w:t>
      </w:r>
    </w:p>
    <w:p w14:paraId="381B4BB8">
      <w:pPr>
        <w:ind w:firstLine="560"/>
      </w:pPr>
      <w:r>
        <w:rPr>
          <w:rFonts w:hint="eastAsia"/>
        </w:rPr>
        <w:t>（13）在交班时，机组负责人应及时、认真的填写机械设备运行记录。</w:t>
      </w:r>
    </w:p>
    <w:p w14:paraId="0A7DA428">
      <w:pPr>
        <w:ind w:firstLine="560"/>
      </w:pPr>
      <w:r>
        <w:rPr>
          <w:rFonts w:hint="eastAsia"/>
        </w:rPr>
        <w:t>（14）所有施工现场的机管员、机修员和操作人员必须严格执行机械设备的保养规程，应按机械设备的技术性能进行操作，必须严格执行定期保养制度，做好操作前、操作中、操作后的清洁、润滑、紧固、调整和防腐工作。</w:t>
      </w:r>
    </w:p>
    <w:p w14:paraId="5A7689F1">
      <w:pPr>
        <w:ind w:firstLine="560"/>
      </w:pPr>
      <w:r>
        <w:rPr>
          <w:rFonts w:hint="eastAsia"/>
        </w:rPr>
        <w:t>（15）起重机械必须严格执行“十不吊”的规定，遇六级（含六级）以上的大风或大雨、大雪、打雷等恶劣天气，应停止使用。</w:t>
      </w:r>
    </w:p>
    <w:p w14:paraId="12BABE36">
      <w:pPr>
        <w:ind w:firstLine="560"/>
      </w:pPr>
      <w:r>
        <w:rPr>
          <w:rFonts w:hint="eastAsia"/>
        </w:rPr>
        <w:t>（16）机械设备转运过程中，一定要进行中修、保养，更换已坏损的部件，紧固螺钉，加润滑油，脱漆严重的要重新油漆。</w:t>
      </w:r>
    </w:p>
    <w:p w14:paraId="789A8132">
      <w:pPr>
        <w:ind w:firstLine="560"/>
      </w:pPr>
      <w:r>
        <w:rPr>
          <w:rFonts w:hint="eastAsia"/>
        </w:rPr>
        <w:t>二、机械设备走合期制定</w:t>
      </w:r>
    </w:p>
    <w:p w14:paraId="6FD94E08">
      <w:pPr>
        <w:ind w:firstLine="560"/>
      </w:pPr>
      <w:r>
        <w:rPr>
          <w:rFonts w:hint="eastAsia"/>
        </w:rPr>
        <w:t>（1）一般机械的走合工作，由使用单位派修理工配合主管司机进行，特种和大型机械，由公司业务主管部门组织实施。</w:t>
      </w:r>
    </w:p>
    <w:p w14:paraId="699A108D">
      <w:pPr>
        <w:ind w:firstLine="560"/>
      </w:pPr>
      <w:r>
        <w:rPr>
          <w:rFonts w:hint="eastAsia"/>
        </w:rPr>
        <w:t>（2）机械（车辆）的走合期必须按说明书进行，要逐步加载，平稳操作，避免突然加速或加载。</w:t>
      </w:r>
    </w:p>
    <w:p w14:paraId="1F77F730">
      <w:pPr>
        <w:ind w:firstLine="560"/>
      </w:pPr>
      <w:r>
        <w:rPr>
          <w:rFonts w:hint="eastAsia"/>
        </w:rPr>
        <w:t>（3）走合期内出现问题或异常现象时应及时停机，待找出原因，处理后方可继续进行。</w:t>
      </w:r>
    </w:p>
    <w:p w14:paraId="27E60C9A">
      <w:pPr>
        <w:ind w:firstLine="560"/>
      </w:pPr>
      <w:r>
        <w:rPr>
          <w:rFonts w:hint="eastAsia"/>
        </w:rPr>
        <w:t>（4）重点设备的走合期，必须在供方和公司有关部门技术人员的指导下进行。</w:t>
      </w:r>
    </w:p>
    <w:p w14:paraId="0BA60885">
      <w:pPr>
        <w:ind w:firstLine="560"/>
      </w:pPr>
      <w:r>
        <w:rPr>
          <w:rFonts w:hint="eastAsia"/>
        </w:rPr>
        <w:t>（5）走合期结束后，应进行一次全面的检查保养，更换润滑油脂，并由机械技术负责人在记录表上签章，交付正常使用。、</w:t>
      </w:r>
    </w:p>
    <w:p w14:paraId="788D860D">
      <w:pPr>
        <w:ind w:firstLine="560"/>
      </w:pPr>
      <w:r>
        <w:rPr>
          <w:rFonts w:hint="eastAsia"/>
        </w:rPr>
        <w:t>三、机械设备交接班制度</w:t>
      </w:r>
    </w:p>
    <w:p w14:paraId="3A906B4A">
      <w:pPr>
        <w:ind w:firstLine="560"/>
      </w:pPr>
      <w:r>
        <w:rPr>
          <w:rFonts w:hint="eastAsia"/>
        </w:rPr>
        <w:t>（1）所有多班作业设备的操作人员必须严格执行交接班制度。</w:t>
      </w:r>
    </w:p>
    <w:p w14:paraId="195E76C4">
      <w:pPr>
        <w:ind w:firstLine="560"/>
      </w:pPr>
      <w:r>
        <w:rPr>
          <w:rFonts w:hint="eastAsia"/>
        </w:rPr>
        <w:t>（2）交接班内容。</w:t>
      </w:r>
    </w:p>
    <w:p w14:paraId="449FEFBE">
      <w:pPr>
        <w:ind w:firstLine="560"/>
      </w:pPr>
      <w:r>
        <w:rPr>
          <w:rFonts w:hint="eastAsia"/>
        </w:rPr>
        <w:t>1)本班完成任务情况，生产要求及其他注意事项。</w:t>
      </w:r>
    </w:p>
    <w:p w14:paraId="4E40C160">
      <w:pPr>
        <w:ind w:firstLine="560"/>
      </w:pPr>
      <w:r>
        <w:rPr>
          <w:rFonts w:hint="eastAsia"/>
        </w:rPr>
        <w:t>2)本班机械运转情况，、燃油、润滑油的消耗和准备情况。</w:t>
      </w:r>
    </w:p>
    <w:p w14:paraId="07EA93C3">
      <w:pPr>
        <w:ind w:firstLine="560"/>
      </w:pPr>
      <w:r>
        <w:rPr>
          <w:rFonts w:hint="eastAsia"/>
        </w:rPr>
        <w:t>3)本班保养情况、存在问题及注意事项。</w:t>
      </w:r>
    </w:p>
    <w:p w14:paraId="5AC5E14B">
      <w:pPr>
        <w:ind w:firstLine="560"/>
      </w:pPr>
      <w:r>
        <w:rPr>
          <w:rFonts w:hint="eastAsia"/>
        </w:rPr>
        <w:t>（3）由交班人负责填写本班报表及交接班记录，接班人核实后交班人方可下班。</w:t>
      </w:r>
    </w:p>
    <w:p w14:paraId="58C959AB">
      <w:pPr>
        <w:ind w:firstLine="560"/>
      </w:pPr>
      <w:r>
        <w:rPr>
          <w:rFonts w:hint="eastAsia"/>
        </w:rPr>
        <w:t>（4）严禁交班人故意隐瞒机械故障或存在问题。</w:t>
      </w:r>
    </w:p>
    <w:p w14:paraId="5B41D347">
      <w:pPr>
        <w:ind w:firstLine="560"/>
      </w:pPr>
      <w:r>
        <w:rPr>
          <w:rFonts w:hint="eastAsia"/>
        </w:rPr>
        <w:t>（5）如因交接不清，设备在交班后发生问题，由接班人负责。</w:t>
      </w:r>
    </w:p>
    <w:p w14:paraId="6389E7A4">
      <w:pPr>
        <w:ind w:firstLine="560"/>
      </w:pPr>
      <w:r>
        <w:rPr>
          <w:rFonts w:hint="eastAsia"/>
        </w:rPr>
        <w:t>（6）设备管理人员应经常检查交接班情况，查看交接班记录。</w:t>
      </w:r>
    </w:p>
    <w:p w14:paraId="71544FD3">
      <w:pPr>
        <w:ind w:firstLine="560"/>
      </w:pPr>
      <w:r>
        <w:rPr>
          <w:rFonts w:hint="eastAsia"/>
        </w:rPr>
        <w:t>四、机械设备使用“三定”制度</w:t>
      </w:r>
    </w:p>
    <w:p w14:paraId="73DEE545">
      <w:pPr>
        <w:ind w:firstLine="560"/>
      </w:pPr>
      <w:r>
        <w:rPr>
          <w:rFonts w:hint="eastAsia"/>
        </w:rPr>
        <w:t>（1）凡需持证操作的设备必须执行定人、定机、定岗位的“三定”制度。</w:t>
      </w:r>
    </w:p>
    <w:p w14:paraId="3A4C3C53">
      <w:pPr>
        <w:ind w:firstLine="560"/>
      </w:pPr>
      <w:r>
        <w:rPr>
          <w:rFonts w:hint="eastAsia"/>
        </w:rPr>
        <w:t>（2）中型机械一班制时，采用一人一机此人称机长或操作负责人。</w:t>
      </w:r>
    </w:p>
    <w:p w14:paraId="1715A611">
      <w:pPr>
        <w:ind w:firstLine="560"/>
      </w:pPr>
      <w:r>
        <w:rPr>
          <w:rFonts w:hint="eastAsia"/>
        </w:rPr>
        <w:t>（3）大型多班多人作业的机械，由机长主管，其余为操作保管人。</w:t>
      </w:r>
    </w:p>
    <w:p w14:paraId="6C026615">
      <w:pPr>
        <w:ind w:firstLine="560"/>
      </w:pPr>
      <w:r>
        <w:rPr>
          <w:rFonts w:hint="eastAsia"/>
        </w:rPr>
        <w:t>（4）中小型机械采用一人多机，要挂牌以示管理范围，无法固定人员的多用途及附属性机械应由班组长或指定具体负责人员进行管理。</w:t>
      </w:r>
    </w:p>
    <w:p w14:paraId="2486CB75">
      <w:pPr>
        <w:ind w:firstLine="560"/>
      </w:pPr>
      <w:r>
        <w:rPr>
          <w:rFonts w:hint="eastAsia"/>
        </w:rPr>
        <w:t>（5）为保证机长和操作人员的相对稳定，以及机械设备的合理使用和保养，要做到：</w:t>
      </w:r>
    </w:p>
    <w:p w14:paraId="393E8AA5">
      <w:pPr>
        <w:ind w:firstLine="560"/>
      </w:pPr>
      <w:r>
        <w:rPr>
          <w:rFonts w:hint="eastAsia"/>
        </w:rPr>
        <w:t>1）一般机械的主管司机（负责人）由项目经理部任命。</w:t>
      </w:r>
    </w:p>
    <w:p w14:paraId="6BE4946B">
      <w:pPr>
        <w:ind w:firstLine="560"/>
      </w:pPr>
      <w:r>
        <w:rPr>
          <w:rFonts w:hint="eastAsia"/>
        </w:rPr>
        <w:t>2）重点设备的司机长由由使用单位提出人选，报公司审批后正式任命，并报上一级主管部门备案。</w:t>
      </w:r>
    </w:p>
    <w:p w14:paraId="1D44EAB8">
      <w:pPr>
        <w:ind w:firstLine="560"/>
      </w:pPr>
      <w:r>
        <w:rPr>
          <w:rFonts w:hint="eastAsia"/>
        </w:rPr>
        <w:t>3）负责人一经任命不能轻易调动，如需调动须经原审批单位批准。</w:t>
      </w:r>
    </w:p>
    <w:p w14:paraId="3BAE626C">
      <w:pPr>
        <w:ind w:firstLine="560"/>
      </w:pPr>
      <w:r>
        <w:rPr>
          <w:rFonts w:hint="eastAsia"/>
        </w:rPr>
        <w:t>五、机械设备安全管理制度</w:t>
      </w:r>
    </w:p>
    <w:p w14:paraId="2B18B78F">
      <w:pPr>
        <w:ind w:firstLine="560"/>
      </w:pPr>
      <w:r>
        <w:rPr>
          <w:rFonts w:hint="eastAsia"/>
        </w:rPr>
        <w:t>（1）必须认真贯彻执行ISO9002质量保证体系中机械设备管理职能要素，建立机械设备管理台帐，健全管理机构和各项管理职责。</w:t>
      </w:r>
    </w:p>
    <w:p w14:paraId="55B9840D">
      <w:pPr>
        <w:ind w:firstLine="560"/>
      </w:pPr>
      <w:r>
        <w:rPr>
          <w:rFonts w:hint="eastAsia"/>
        </w:rPr>
        <w:t>（2）新购机械设备必须由项目部申请，工程处安全设备科审核，工程处主任审批后方可购置，新购的设备必须具有制造商的生产和经销许可证，并附有检验报告和相关资料，经工程处安全设备科验收确认后方可购进使用，并及时建立新的台帐。</w:t>
      </w:r>
    </w:p>
    <w:p w14:paraId="293BAFD6">
      <w:pPr>
        <w:ind w:firstLine="560"/>
      </w:pPr>
      <w:r>
        <w:rPr>
          <w:rFonts w:hint="eastAsia"/>
        </w:rPr>
        <w:t>（3）项目部之间调配的机械设备必须完好，附件配件齐全，由项目安全设备管理员到现场验收确认后方可调进，并办理交接手续。</w:t>
      </w:r>
    </w:p>
    <w:p w14:paraId="256C07BB">
      <w:pPr>
        <w:ind w:firstLine="560"/>
      </w:pPr>
      <w:r>
        <w:rPr>
          <w:rFonts w:hint="eastAsia"/>
        </w:rPr>
        <w:t>（4）大型机械设备的安装拆卸，必须先编制施工方案，经公司审批后方可进行。装拆工作由公司大型机械安装队进行。大型机械设备安装调试完毕后，必须组织自检，并报公司验收，由公司安全设备科报检测部门检测，在取得合格证后方可正式启动使用。大型设备的安装拆卸资料必须报公司和当地安监部门备案。</w:t>
      </w:r>
    </w:p>
    <w:p w14:paraId="721511BE">
      <w:pPr>
        <w:ind w:firstLine="560"/>
      </w:pPr>
      <w:r>
        <w:rPr>
          <w:rFonts w:hint="eastAsia"/>
        </w:rPr>
        <w:t>（5）中小型机械设备的安装拆卸工作由项目部组织进行，安装完毕后进行自检，并做好相关验收检查记录，部分验收检查资料报上级部门存档。</w:t>
      </w:r>
    </w:p>
    <w:p w14:paraId="27B22C44">
      <w:pPr>
        <w:ind w:firstLine="560"/>
      </w:pPr>
      <w:r>
        <w:rPr>
          <w:rFonts w:hint="eastAsia"/>
        </w:rPr>
        <w:t>（6）必须根据工地现场的具体情况和特点合理配备相应的机械设备，并配备技术水平较高的操作人员和维修保养人员。</w:t>
      </w:r>
    </w:p>
    <w:p w14:paraId="55B621B3">
      <w:pPr>
        <w:ind w:firstLine="560"/>
      </w:pPr>
      <w:r>
        <w:rPr>
          <w:rFonts w:hint="eastAsia"/>
        </w:rPr>
        <w:t>（7）大型机械操作人员必须经本市有关部门培训，经考试合格取得操作证后方可独立作业，并按时验证复证。中小型机械设备操作人员必须经公司指定的培训部门培训合格取证后方可持证上岗。</w:t>
      </w:r>
    </w:p>
    <w:p w14:paraId="0B0D27B8">
      <w:pPr>
        <w:ind w:firstLine="560"/>
      </w:pPr>
      <w:r>
        <w:rPr>
          <w:rFonts w:hint="eastAsia"/>
        </w:rPr>
        <w:t>（8）进一步提高操作人员的高度责任心和操作技术本领，作业人员必须遵守操作规程，做到“精心操作、杜绝违章”，能有效的掌握机械设备性能特点并具有一定的设备维修保养经验和能力。机械设备使用中一定要做到“勤检查、勤保养、勤联系”，保养必须遵守“清洁、润滑、紧固、调整、防腐”的十字作业方针，禁止设备带病运转。</w:t>
      </w:r>
    </w:p>
    <w:p w14:paraId="456D5601">
      <w:pPr>
        <w:ind w:firstLine="560"/>
      </w:pPr>
      <w:r>
        <w:rPr>
          <w:rFonts w:hint="eastAsia"/>
        </w:rPr>
        <w:t>（9）项目部安全设备管理人员必须定期对操作人员进行安全技术交底和操作规程交底，并根据不同的作业特点及时进行针对性的安全交底。操作人员必须进行例行检查和保养，并做好机械台班运行例保记录。严禁违章指挥和违章作业，在遇到所作业内容和设备状态危机设别和人生安全时，操作人员有权拒接作业，现场管理人员必须立即予以制止并采取有效措施进行控制处理。</w:t>
      </w:r>
    </w:p>
    <w:p w14:paraId="0EBDCDFE">
      <w:pPr>
        <w:ind w:firstLine="560"/>
      </w:pPr>
      <w:r>
        <w:rPr>
          <w:rFonts w:hint="eastAsia"/>
        </w:rPr>
        <w:t>（10）现场施工机械实行“定人、定机、定岗位”的责任制，禁止无证作业。</w:t>
      </w:r>
    </w:p>
    <w:p w14:paraId="507D81E0">
      <w:pPr>
        <w:ind w:firstLine="560"/>
      </w:pPr>
      <w:r>
        <w:rPr>
          <w:rFonts w:hint="eastAsia"/>
        </w:rPr>
        <w:t>（11）项目部必须组织对机械设备进行定期检查和专项检查，对危险作业内容进行监控，发现问题及时排除，并建立机械设备管理台帐，及时反馈机械设备使用情况和性能状况，以保证机械设备的使用安全，防止设备事故的发生。</w:t>
      </w:r>
    </w:p>
    <w:p w14:paraId="62ECEC66">
      <w:pPr>
        <w:ind w:firstLine="560"/>
      </w:pPr>
      <w:r>
        <w:rPr>
          <w:rFonts w:hint="eastAsia"/>
        </w:rPr>
        <w:t>六、机械设备检查制度</w:t>
      </w:r>
    </w:p>
    <w:p w14:paraId="4119C6FD">
      <w:pPr>
        <w:ind w:firstLine="560"/>
      </w:pPr>
      <w:r>
        <w:rPr>
          <w:rFonts w:hint="eastAsia"/>
        </w:rPr>
        <w:t>（1）总则</w:t>
      </w:r>
    </w:p>
    <w:p w14:paraId="582E93F1">
      <w:pPr>
        <w:ind w:firstLine="560"/>
      </w:pPr>
      <w:r>
        <w:rPr>
          <w:rFonts w:hint="eastAsia"/>
        </w:rPr>
        <w:t>为了确保现场机械设备在施工中正常运转，搞好机械设备的平时维修、保养和合理使用，提高机械设备完好、使用率，杜绝重大机械事故，避免一般机械事故，延长机械使用寿命，做到安全生产，文明施工，特制定本制度。</w:t>
      </w:r>
    </w:p>
    <w:p w14:paraId="340D2E69">
      <w:pPr>
        <w:ind w:firstLine="560"/>
      </w:pPr>
      <w:r>
        <w:rPr>
          <w:rFonts w:hint="eastAsia"/>
        </w:rPr>
        <w:t>（2）机械设备检查方法</w:t>
      </w:r>
    </w:p>
    <w:p w14:paraId="7117F046">
      <w:pPr>
        <w:ind w:firstLine="560"/>
      </w:pPr>
      <w:r>
        <w:rPr>
          <w:rFonts w:hint="eastAsia"/>
        </w:rPr>
        <w:t>项目部机管员每月定期对本项目部的机械设备进行一次检查，并将检查资料整理归档后备查。</w:t>
      </w:r>
    </w:p>
    <w:p w14:paraId="6A7F5711">
      <w:pPr>
        <w:ind w:firstLine="560"/>
      </w:pPr>
      <w:r>
        <w:rPr>
          <w:rFonts w:hint="eastAsia"/>
        </w:rPr>
        <w:t>（3）机械设备检查内容</w:t>
      </w:r>
    </w:p>
    <w:p w14:paraId="41D0467B">
      <w:pPr>
        <w:ind w:firstLine="560"/>
      </w:pPr>
      <w:r>
        <w:rPr>
          <w:rFonts w:hint="eastAsia"/>
        </w:rPr>
        <w:t>1）各类机械设备安全装置是否齐全，限位开关是否可靠有效，设备接地线是否符合有关规定。</w:t>
      </w:r>
    </w:p>
    <w:p w14:paraId="1F11E7D5">
      <w:pPr>
        <w:ind w:firstLine="560"/>
      </w:pPr>
      <w:r>
        <w:rPr>
          <w:rFonts w:hint="eastAsia"/>
        </w:rPr>
        <w:t>2）设备钢丝绳、吊索具是否符合安全要求。</w:t>
      </w:r>
    </w:p>
    <w:p w14:paraId="3605C0BD">
      <w:pPr>
        <w:ind w:firstLine="560"/>
      </w:pPr>
      <w:r>
        <w:rPr>
          <w:rFonts w:hint="eastAsia"/>
        </w:rPr>
        <w:t>3）各类设备制动装置性能是否灵敏可靠。</w:t>
      </w:r>
    </w:p>
    <w:p w14:paraId="0D405221">
      <w:pPr>
        <w:ind w:firstLine="560"/>
      </w:pPr>
      <w:r>
        <w:rPr>
          <w:rFonts w:hint="eastAsia"/>
        </w:rPr>
        <w:t>4）固定使用设备的布局搭设是否符合有管规定。</w:t>
      </w:r>
    </w:p>
    <w:p w14:paraId="651832B4">
      <w:pPr>
        <w:ind w:firstLine="560"/>
      </w:pPr>
      <w:r>
        <w:rPr>
          <w:rFonts w:hint="eastAsia"/>
        </w:rPr>
        <w:t>5）防护棚、加工棚是否符合有关规定。</w:t>
      </w:r>
    </w:p>
    <w:p w14:paraId="25F75AFE">
      <w:pPr>
        <w:ind w:firstLine="560"/>
      </w:pPr>
      <w:r>
        <w:rPr>
          <w:rFonts w:hint="eastAsia"/>
        </w:rPr>
        <w:t>6）机械设备重要部位螺钉是否紧固，各类减速箱和滑轮等需要润滑部位的润滑是否符合有关规定。</w:t>
      </w:r>
    </w:p>
    <w:p w14:paraId="39953484">
      <w:pPr>
        <w:ind w:firstLine="560"/>
      </w:pPr>
      <w:r>
        <w:rPr>
          <w:rFonts w:hint="eastAsia"/>
        </w:rPr>
        <w:t>（七）设备的安装、拆卸、运输</w:t>
      </w:r>
    </w:p>
    <w:p w14:paraId="00C228B4">
      <w:pPr>
        <w:ind w:firstLine="560"/>
      </w:pPr>
      <w:r>
        <w:rPr>
          <w:rFonts w:hint="eastAsia"/>
        </w:rPr>
        <w:t>1．小型施工设备的安装、拆卸、运输，由项目经理部按设备使用说明书的要求标明行；项目经理部设备员应做好相应记录。</w:t>
      </w:r>
    </w:p>
    <w:p w14:paraId="7810A876">
      <w:pPr>
        <w:ind w:firstLine="560"/>
      </w:pPr>
      <w:r>
        <w:rPr>
          <w:rFonts w:hint="eastAsia"/>
        </w:rPr>
        <w:t>2．大、中型设备进场后由生产科施工设备技术监督员组织验收，验收合格后，方可投入；安装、使用，并由施工设备技术监督员将验收结果填入《施工设备验收单》中。</w:t>
      </w:r>
    </w:p>
    <w:p w14:paraId="08CDAADD">
      <w:pPr>
        <w:ind w:firstLine="560"/>
      </w:pPr>
      <w:r>
        <w:rPr>
          <w:rFonts w:hint="eastAsia"/>
        </w:rPr>
        <w:t>3．大、中型施工设备、工程设备的安装、拆卸工作应由专业队伍来完成，并事先由选定的专业队伍制定安装、拆卸方案，报生产科设备技术负责人审批。若拆装工作由非本公司队伍来承担，应先由生产科进行评审，评审通过后，方可承担拆装工作。</w:t>
      </w:r>
    </w:p>
    <w:p w14:paraId="165A6551">
      <w:pPr>
        <w:ind w:firstLine="560"/>
      </w:pPr>
      <w:r>
        <w:rPr>
          <w:rFonts w:hint="eastAsia"/>
        </w:rPr>
        <w:t>4．大、中型施工设备的运输，按《物资搬运操作规程》执行。</w:t>
      </w:r>
    </w:p>
    <w:p w14:paraId="1B5D735D">
      <w:pPr>
        <w:ind w:firstLine="560"/>
      </w:pPr>
      <w:r>
        <w:rPr>
          <w:rFonts w:hint="eastAsia"/>
        </w:rPr>
        <w:t>5．大、中型施工设备、工程设备安装完毕后，应由生产科施工设备技术监督员组织，按有关标准对安装质量进行验收，并由施工设备技术监督员填写相应的《安装验收记录表》，验收合格后方可投入使用。</w:t>
      </w:r>
    </w:p>
    <w:p w14:paraId="4B30D67C">
      <w:pPr>
        <w:ind w:firstLine="560"/>
      </w:pPr>
      <w:r>
        <w:rPr>
          <w:rFonts w:hint="eastAsia"/>
        </w:rPr>
        <w:t>（八）机械设备的停用管理</w:t>
      </w:r>
    </w:p>
    <w:p w14:paraId="08494334">
      <w:pPr>
        <w:ind w:firstLine="560"/>
      </w:pPr>
      <w:r>
        <w:rPr>
          <w:rFonts w:hint="eastAsia"/>
        </w:rPr>
        <w:t>一、目的：为加强停用设备管理，延长停用设备使用寿命，确保停用设备始终处于良好状态，减少和避免设备在停用期间造成非正常损坏和丢失，节约公司生产成本，保证后续正常生产，特制定本管理办法。</w:t>
      </w:r>
    </w:p>
    <w:p w14:paraId="121B384F">
      <w:pPr>
        <w:ind w:firstLine="560"/>
      </w:pPr>
      <w:r>
        <w:rPr>
          <w:rFonts w:hint="eastAsia"/>
        </w:rPr>
        <w:t>二、范围本办法适用于本公司范围内的所有停用设备。</w:t>
      </w:r>
    </w:p>
    <w:p w14:paraId="3C204E0E">
      <w:pPr>
        <w:ind w:firstLine="560"/>
      </w:pPr>
      <w:r>
        <w:rPr>
          <w:rFonts w:hint="eastAsia"/>
        </w:rPr>
        <w:t>三、定义停用设备：由于公司经营、生产节奏、成本消耗等原因，根据需要暂停或停止运行时间≥6个月且功能正常的设备总称。</w:t>
      </w:r>
    </w:p>
    <w:p w14:paraId="148CFD32">
      <w:pPr>
        <w:ind w:firstLine="560"/>
      </w:pPr>
      <w:r>
        <w:rPr>
          <w:rFonts w:hint="eastAsia"/>
        </w:rPr>
        <w:t>四、职责</w:t>
      </w:r>
    </w:p>
    <w:p w14:paraId="09BB3AA3">
      <w:pPr>
        <w:ind w:firstLine="560"/>
      </w:pPr>
      <w:r>
        <w:rPr>
          <w:rFonts w:hint="eastAsia"/>
        </w:rPr>
        <w:t>1、使用单位：按属地管理原则，使用单位负责设备停用前的全面清洁、检查、停用申报工作，并负责停用设备启用前的接收检查。</w:t>
      </w:r>
    </w:p>
    <w:p w14:paraId="37C6D760">
      <w:pPr>
        <w:ind w:firstLine="560"/>
      </w:pPr>
      <w:r>
        <w:rPr>
          <w:rFonts w:hint="eastAsia"/>
        </w:rPr>
        <w:t>2、设备管理部门：设备管理部门负责停用设备的初审，对停用情况及原因进行调查核实，监督指导使用单位做好停用前的清理、清洁等工作，负责停用设备的维护、保养、防冻、防腐工作，负责每月对设备进行检查。</w:t>
      </w:r>
    </w:p>
    <w:p w14:paraId="61B30A8E">
      <w:pPr>
        <w:ind w:firstLine="560"/>
      </w:pPr>
      <w:r>
        <w:rPr>
          <w:rFonts w:hint="eastAsia"/>
        </w:rPr>
        <w:t>负责停用设备再次使用前的检查、功能恢复，试车测试等工作。</w:t>
      </w:r>
    </w:p>
    <w:p w14:paraId="1BC75DBC">
      <w:pPr>
        <w:ind w:firstLine="560"/>
      </w:pPr>
      <w:r>
        <w:rPr>
          <w:rFonts w:hint="eastAsia"/>
        </w:rPr>
        <w:t>3、企业管理部：负责对停用设备的相关信息、初审情况进行调查、核定，并提出停用或启用意见，负责对设备停用、启用移交工作中相关部门履职情况评价并提出考核意见。</w:t>
      </w:r>
    </w:p>
    <w:p w14:paraId="7F5D7CAD">
      <w:pPr>
        <w:ind w:firstLine="560"/>
      </w:pPr>
      <w:r>
        <w:rPr>
          <w:rFonts w:hint="eastAsia"/>
        </w:rPr>
        <w:t>五、设备停用程序</w:t>
      </w:r>
    </w:p>
    <w:p w14:paraId="5EFAAC37">
      <w:pPr>
        <w:ind w:firstLine="560"/>
      </w:pPr>
      <w:r>
        <w:rPr>
          <w:rFonts w:hint="eastAsia"/>
        </w:rPr>
        <w:t>1、有停用需求的设备，由使用部门提出申请，填写《设备停用申请表》，注明设备名称、型号、安装地点，详细写明停用的原因及停用时长，报设备管理部门初审。</w:t>
      </w:r>
    </w:p>
    <w:p w14:paraId="5900F1FD">
      <w:pPr>
        <w:ind w:firstLine="560"/>
      </w:pPr>
      <w:r>
        <w:rPr>
          <w:rFonts w:hint="eastAsia"/>
        </w:rPr>
        <w:t>2、设备管理部门对申请信息进行调查、核实，提出初步意见，应明确是否建议停用，部室主要负责人签字确认后报企业管理部审核。</w:t>
      </w:r>
    </w:p>
    <w:p w14:paraId="56EFC317">
      <w:pPr>
        <w:ind w:firstLine="560"/>
      </w:pPr>
      <w:r>
        <w:rPr>
          <w:rFonts w:hint="eastAsia"/>
        </w:rPr>
        <w:t>3、企业管理部对停用意见进行调查、核实和确认，提出复审意见，报公司分管领导及公司领导审核。</w:t>
      </w:r>
    </w:p>
    <w:p w14:paraId="7D16755A">
      <w:pPr>
        <w:ind w:firstLine="560"/>
      </w:pPr>
      <w:r>
        <w:rPr>
          <w:rFonts w:hint="eastAsia"/>
        </w:rPr>
        <w:t>4、公司分管领导组织专题会议对设备是否停用讨论研究，审定同意停用后，由使用部门负责完成设备整体清洁、润滑、关键部位封闭等工作，填写《停用设备移交表》（含设备设施清单）经企管部审核，设备管理部门签字接收，办理移交手续。</w:t>
      </w:r>
    </w:p>
    <w:p w14:paraId="7A91068A">
      <w:pPr>
        <w:ind w:firstLine="560"/>
      </w:pPr>
      <w:r>
        <w:rPr>
          <w:rFonts w:hint="eastAsia"/>
        </w:rPr>
        <w:t>六.主要工作内容</w:t>
      </w:r>
    </w:p>
    <w:p w14:paraId="03397D42">
      <w:pPr>
        <w:ind w:firstLine="560"/>
      </w:pPr>
      <w:r>
        <w:rPr>
          <w:rFonts w:hint="eastAsia"/>
        </w:rPr>
        <w:t>1、使用部门负责移交设备前做好设备清洁工作，确保设备完整及所属设施的完好。</w:t>
      </w:r>
    </w:p>
    <w:p w14:paraId="0C2FB149">
      <w:pPr>
        <w:ind w:firstLine="560"/>
      </w:pPr>
      <w:r>
        <w:rPr>
          <w:rFonts w:hint="eastAsia"/>
        </w:rPr>
        <w:t>2、设备管理部门做好设备档案管理，详细记录停用的设备的设备停用状态与功能，明确设备存在的缺陷，问题，建立档案记录在案。</w:t>
      </w:r>
    </w:p>
    <w:p w14:paraId="0670134F">
      <w:pPr>
        <w:ind w:firstLine="560"/>
      </w:pPr>
      <w:r>
        <w:rPr>
          <w:rFonts w:hint="eastAsia"/>
        </w:rPr>
        <w:t>3、设备批准停用后，设备管理部门负责对停用设备要进行彻底除锈防腐工作，涂防锈漆，再涂两层相应颜色的面漆，并保持设备的整体清洁、明亮，对设备运动部位进行防锈处理，仪器仪表部位进行防尘处理并遮盖。</w:t>
      </w:r>
    </w:p>
    <w:p w14:paraId="30043A0F">
      <w:pPr>
        <w:ind w:firstLine="560"/>
      </w:pPr>
      <w:r>
        <w:rPr>
          <w:rFonts w:hint="eastAsia"/>
        </w:rPr>
        <w:t>4、对设备的进行停电断电处理，电控箱需要保持干燥，做防潮处理，并用塑料薄膜包裹封存，防止电气元件受潮损坏。</w:t>
      </w:r>
    </w:p>
    <w:p w14:paraId="7CF577DA">
      <w:pPr>
        <w:ind w:firstLine="560"/>
      </w:pPr>
      <w:r>
        <w:rPr>
          <w:rFonts w:hint="eastAsia"/>
        </w:rPr>
        <w:t>4、负责停用设备水、电、风、气管阀的切断，并做好设备停用标识。</w:t>
      </w:r>
    </w:p>
    <w:p w14:paraId="1F3E35E5">
      <w:pPr>
        <w:ind w:firstLine="560"/>
      </w:pPr>
      <w:r>
        <w:rPr>
          <w:rFonts w:hint="eastAsia"/>
        </w:rPr>
        <w:t>5、每月对停用设备定期检查，重点检查管阀是否漏气漏水，电源箱除尘、检查等，每日对设备场所进行巡检。</w:t>
      </w:r>
    </w:p>
    <w:p w14:paraId="044B6FED">
      <w:pPr>
        <w:ind w:firstLine="560"/>
      </w:pPr>
      <w:r>
        <w:rPr>
          <w:rFonts w:hint="eastAsia"/>
        </w:rPr>
        <w:t>6、检查设备部件是否丢失、损坏。</w:t>
      </w:r>
    </w:p>
    <w:p w14:paraId="393D87B7">
      <w:pPr>
        <w:ind w:firstLine="560"/>
      </w:pPr>
      <w:r>
        <w:rPr>
          <w:rFonts w:hint="eastAsia"/>
        </w:rPr>
        <w:t>七、停用设备的异动、调拨、调剂、处理、报废按公司《固定资产管理办法》进行管理。</w:t>
      </w:r>
    </w:p>
    <w:p w14:paraId="30E8634F">
      <w:pPr>
        <w:ind w:firstLine="560"/>
      </w:pPr>
      <w:r>
        <w:rPr>
          <w:rFonts w:hint="eastAsia"/>
        </w:rPr>
        <w:t>八、原则上不允许拆卸停用设备的零部件，如遇急需，必须办理相关审批手续方能实施，并在规定的时间内恢复。审批手续为作业区申请，企业管理部门核实，设备管理部门审核备案，报分管领导批准。</w:t>
      </w:r>
    </w:p>
    <w:p w14:paraId="39F935E7">
      <w:pPr>
        <w:ind w:firstLine="560"/>
      </w:pPr>
      <w:r>
        <w:rPr>
          <w:rFonts w:hint="eastAsia"/>
        </w:rPr>
        <w:t>九、停用设备启用程序</w:t>
      </w:r>
    </w:p>
    <w:p w14:paraId="6CF3D8E5">
      <w:pPr>
        <w:ind w:firstLine="560"/>
      </w:pPr>
      <w:r>
        <w:rPr>
          <w:rFonts w:hint="eastAsia"/>
        </w:rPr>
        <w:t>1、停用设备再次使用前，应由使用部门填写《设备启用申请表》，报企业管理部、设备管理部门审核，经公司批准后，将申请表交设备管理部门。</w:t>
      </w:r>
    </w:p>
    <w:p w14:paraId="204B8B7F">
      <w:pPr>
        <w:ind w:firstLine="560"/>
      </w:pPr>
      <w:r>
        <w:rPr>
          <w:rFonts w:hint="eastAsia"/>
        </w:rPr>
        <w:t>2、设备管理部门接到批准的《设备启用申请表》后，对停用设备开始启用程序；</w:t>
      </w:r>
    </w:p>
    <w:p w14:paraId="257D4A07">
      <w:pPr>
        <w:ind w:firstLine="560"/>
      </w:pPr>
      <w:r>
        <w:rPr>
          <w:rFonts w:hint="eastAsia"/>
        </w:rPr>
        <w:t>3、设备管理部门制定设备调试大纲，按照调试大纲内容，对停用设备进行开机调试工作，并记录好调试数据；</w:t>
      </w:r>
    </w:p>
    <w:p w14:paraId="1DDB53B3">
      <w:pPr>
        <w:ind w:firstLine="560"/>
      </w:pPr>
      <w:r>
        <w:rPr>
          <w:rFonts w:hint="eastAsia"/>
        </w:rPr>
        <w:t>4、使用部门参与设备部门的调试工作，并对分项调试结果签字确认，当设备调试达到生产使用部门需求效果，设备整体性能恢复后，填写《设备启用移交表》经企管部审核，安环部门确认，使用部门接受签字，办理完移交手续，设备纳入生产运行设备管理程序。</w:t>
      </w:r>
    </w:p>
    <w:p w14:paraId="55AEA174">
      <w:pPr>
        <w:ind w:firstLine="560"/>
      </w:pPr>
      <w:r>
        <w:rPr>
          <w:rFonts w:hint="eastAsia"/>
        </w:rPr>
        <w:t>十、考核评价</w:t>
      </w:r>
    </w:p>
    <w:p w14:paraId="58AB335B">
      <w:pPr>
        <w:ind w:firstLine="560"/>
      </w:pPr>
      <w:r>
        <w:rPr>
          <w:rFonts w:hint="eastAsia"/>
        </w:rPr>
        <w:t>1、未按规定要求对设备进行清洁、维护、保养、防冻、防腐工作的，每项考核责任单位200元/次。</w:t>
      </w:r>
    </w:p>
    <w:p w14:paraId="3C0A8E41">
      <w:pPr>
        <w:ind w:firstLine="560"/>
      </w:pPr>
      <w:r>
        <w:rPr>
          <w:rFonts w:hint="eastAsia"/>
        </w:rPr>
        <w:t>2、设备在停用期间出现备件丢失、损坏现象的每次扣罚责任单位1000元，并依据损失程度追究责任。</w:t>
      </w:r>
    </w:p>
    <w:p w14:paraId="482E67D2">
      <w:pPr>
        <w:ind w:firstLine="560"/>
      </w:pPr>
      <w:r>
        <w:rPr>
          <w:rFonts w:hint="eastAsia"/>
        </w:rPr>
        <w:t>3、未经审批擅自拆卸、调拨、调剂、处理、报废停用设备，依据公司相关制度严肃追责问责。</w:t>
      </w:r>
    </w:p>
    <w:p w14:paraId="69247F40">
      <w:pPr>
        <w:ind w:firstLine="560"/>
      </w:pPr>
      <w:r>
        <w:rPr>
          <w:rFonts w:hint="eastAsia"/>
        </w:rPr>
        <w:t>4、停用设备重新启用后，不能正常开机运行按《设备事故管理规定》进行考核。</w:t>
      </w:r>
    </w:p>
    <w:p w14:paraId="6EB0BE7A">
      <w:pPr>
        <w:ind w:firstLine="560"/>
      </w:pPr>
      <w:r>
        <w:rPr>
          <w:rFonts w:hint="eastAsia"/>
        </w:rPr>
        <w:t>（九）机械设备报废及处置管理办法</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203BD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6A21A29">
            <w:pPr>
              <w:pStyle w:val="18"/>
              <w:jc w:val="both"/>
              <w:rPr>
                <w:lang w:val="en-US"/>
              </w:rPr>
            </w:pPr>
            <w:r>
              <w:rPr>
                <w:rFonts w:hint="eastAsia"/>
                <w:lang w:val="en-US"/>
              </w:rPr>
              <w:t>总则</w:t>
            </w:r>
          </w:p>
        </w:tc>
      </w:tr>
      <w:tr w14:paraId="6B868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97128C8">
            <w:pPr>
              <w:pStyle w:val="18"/>
              <w:ind w:firstLine="560" w:firstLineChars="200"/>
              <w:jc w:val="both"/>
              <w:rPr>
                <w:lang w:val="en-US"/>
              </w:rPr>
            </w:pPr>
            <w:r>
              <w:rPr>
                <w:rFonts w:hint="eastAsia"/>
                <w:lang w:val="en-US"/>
              </w:rPr>
              <w:t>第一条、为了加强固定资产的管理工作,防止国有资产的无形流失,特制定本办法。</w:t>
            </w:r>
          </w:p>
          <w:p w14:paraId="2EC22F62">
            <w:pPr>
              <w:pStyle w:val="18"/>
              <w:ind w:firstLine="560" w:firstLineChars="200"/>
              <w:jc w:val="both"/>
              <w:rPr>
                <w:lang w:val="en-US"/>
              </w:rPr>
            </w:pPr>
            <w:r>
              <w:rPr>
                <w:rFonts w:hint="eastAsia"/>
                <w:lang w:val="en-US"/>
              </w:rPr>
              <w:t>第二条、设备报废工作属设备基础管理工作的一部分,纳入年终设备管理工作考评范畴。</w:t>
            </w:r>
          </w:p>
        </w:tc>
      </w:tr>
      <w:tr w14:paraId="5187C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A235A1D">
            <w:pPr>
              <w:pStyle w:val="18"/>
              <w:jc w:val="both"/>
              <w:rPr>
                <w:lang w:val="en-US"/>
              </w:rPr>
            </w:pPr>
            <w:r>
              <w:rPr>
                <w:rFonts w:hint="eastAsia"/>
                <w:lang w:val="en-US"/>
              </w:rPr>
              <w:t>一、设备报废标准</w:t>
            </w:r>
          </w:p>
        </w:tc>
      </w:tr>
      <w:tr w14:paraId="05A25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7B8B0124">
            <w:pPr>
              <w:pStyle w:val="18"/>
              <w:ind w:firstLine="560" w:firstLineChars="200"/>
              <w:jc w:val="both"/>
              <w:rPr>
                <w:lang w:val="en-US"/>
              </w:rPr>
            </w:pPr>
            <w:r>
              <w:rPr>
                <w:rFonts w:hint="eastAsia"/>
                <w:lang w:val="en-US"/>
              </w:rPr>
              <w:t>第三条、凡是运输设备使用10年,施工机械使用14年,无继续使用价值,并且提足折旧,可以申请报废。设备报废后不准继续使用。</w:t>
            </w:r>
          </w:p>
          <w:p w14:paraId="23614BC2">
            <w:pPr>
              <w:pStyle w:val="18"/>
              <w:ind w:firstLine="560" w:firstLineChars="200"/>
              <w:jc w:val="both"/>
              <w:rPr>
                <w:lang w:val="en-US"/>
              </w:rPr>
            </w:pPr>
            <w:r>
              <w:rPr>
                <w:rFonts w:hint="eastAsia"/>
                <w:lang w:val="en-US"/>
              </w:rPr>
              <w:t>第四条、对于未达到使用年限,而属于下列情况之一的设备,可以申请报废。</w:t>
            </w:r>
          </w:p>
          <w:p w14:paraId="28871F98">
            <w:pPr>
              <w:pStyle w:val="18"/>
              <w:ind w:firstLine="560" w:firstLineChars="200"/>
              <w:jc w:val="both"/>
              <w:rPr>
                <w:lang w:val="en-US"/>
              </w:rPr>
            </w:pPr>
            <w:r>
              <w:rPr>
                <w:rFonts w:hint="eastAsia"/>
                <w:lang w:val="en-US"/>
              </w:rPr>
              <w:t>(一)经有资质部门检测,大修后技术性能不能满足生产要求。</w:t>
            </w:r>
          </w:p>
          <w:p w14:paraId="039C3A78">
            <w:pPr>
              <w:pStyle w:val="18"/>
              <w:ind w:firstLine="560" w:firstLineChars="200"/>
              <w:jc w:val="both"/>
              <w:rPr>
                <w:lang w:val="en-US"/>
              </w:rPr>
            </w:pPr>
            <w:r>
              <w:rPr>
                <w:rFonts w:hint="eastAsia"/>
                <w:lang w:val="en-US"/>
              </w:rPr>
              <w:t>(二)设备老化,技术性能落后,耗能高,效率低,经济效益差。</w:t>
            </w:r>
          </w:p>
          <w:p w14:paraId="3E67C779">
            <w:pPr>
              <w:pStyle w:val="18"/>
              <w:ind w:firstLine="560" w:firstLineChars="200"/>
              <w:jc w:val="both"/>
              <w:rPr>
                <w:lang w:val="en-US"/>
              </w:rPr>
            </w:pPr>
            <w:r>
              <w:rPr>
                <w:rFonts w:hint="eastAsia"/>
                <w:lang w:val="en-US"/>
              </w:rPr>
              <w:t>(三)大修后虽可恢复精度,但不如更新经济。</w:t>
            </w:r>
          </w:p>
          <w:p w14:paraId="1794D9A2">
            <w:pPr>
              <w:pStyle w:val="18"/>
              <w:ind w:firstLine="560" w:firstLineChars="200"/>
              <w:jc w:val="both"/>
              <w:rPr>
                <w:lang w:val="en-US"/>
              </w:rPr>
            </w:pPr>
            <w:r>
              <w:rPr>
                <w:rFonts w:hint="eastAsia"/>
                <w:lang w:val="en-US"/>
              </w:rPr>
              <w:t>(四)严重污染环境,危害人身安全与健康,进行改造又不经济。</w:t>
            </w:r>
          </w:p>
          <w:p w14:paraId="5ABA5086">
            <w:pPr>
              <w:pStyle w:val="18"/>
              <w:ind w:firstLine="560" w:firstLineChars="200"/>
              <w:jc w:val="both"/>
              <w:rPr>
                <w:lang w:val="en-US"/>
              </w:rPr>
            </w:pPr>
            <w:r>
              <w:rPr>
                <w:rFonts w:hint="eastAsia"/>
                <w:lang w:val="en-US"/>
              </w:rPr>
              <w:t>(五)因灾害、事故、生产任务变更、本单位不适用其它单位也不需要,及其它原因应当淘汰的设备。</w:t>
            </w:r>
          </w:p>
          <w:p w14:paraId="7FC9BC7C">
            <w:pPr>
              <w:pStyle w:val="18"/>
              <w:ind w:firstLine="560" w:firstLineChars="200"/>
              <w:jc w:val="both"/>
              <w:rPr>
                <w:lang w:val="en-US"/>
              </w:rPr>
            </w:pPr>
            <w:r>
              <w:rPr>
                <w:rFonts w:hint="eastAsia"/>
                <w:lang w:val="en-US"/>
              </w:rPr>
              <w:t>第五条、凡属报废设备,未提足折旧的,应一次性提清。</w:t>
            </w:r>
          </w:p>
          <w:p w14:paraId="4D0139E8">
            <w:pPr>
              <w:pStyle w:val="18"/>
              <w:ind w:firstLine="560" w:firstLineChars="200"/>
              <w:jc w:val="both"/>
              <w:rPr>
                <w:lang w:val="en-US"/>
              </w:rPr>
            </w:pPr>
            <w:r>
              <w:rPr>
                <w:rFonts w:hint="eastAsia"/>
                <w:lang w:val="en-US"/>
              </w:rPr>
              <w:t>第六条、A类、B类设备要有完备的技术档案,无档案或档案主要内容不全,不予报废,无实物的设备不予报废</w:t>
            </w:r>
          </w:p>
        </w:tc>
      </w:tr>
      <w:tr w14:paraId="10E4C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1633DBDE">
            <w:pPr>
              <w:pStyle w:val="18"/>
              <w:jc w:val="both"/>
              <w:rPr>
                <w:lang w:val="en-US"/>
              </w:rPr>
            </w:pPr>
            <w:r>
              <w:rPr>
                <w:rFonts w:hint="eastAsia"/>
                <w:lang w:val="en-US"/>
              </w:rPr>
              <w:t>二、设备报废程序</w:t>
            </w:r>
          </w:p>
        </w:tc>
      </w:tr>
      <w:tr w14:paraId="70831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689CF6F">
            <w:pPr>
              <w:pStyle w:val="18"/>
              <w:ind w:firstLine="560" w:firstLineChars="200"/>
              <w:jc w:val="both"/>
              <w:rPr>
                <w:lang w:val="en-US"/>
              </w:rPr>
            </w:pPr>
            <w:r>
              <w:rPr>
                <w:rFonts w:hint="eastAsia"/>
                <w:lang w:val="en-US"/>
              </w:rPr>
              <w:t>第七条、设备报废工作一般在每年十月进行。</w:t>
            </w:r>
          </w:p>
          <w:p w14:paraId="124EFC19">
            <w:pPr>
              <w:pStyle w:val="18"/>
              <w:ind w:firstLine="560" w:firstLineChars="200"/>
              <w:jc w:val="both"/>
              <w:rPr>
                <w:lang w:val="en-US"/>
              </w:rPr>
            </w:pPr>
            <w:r>
              <w:rPr>
                <w:rFonts w:hint="eastAsia"/>
                <w:lang w:val="en-US"/>
              </w:rPr>
              <w:t>第八条、设备使用单位在每年九月份对拟报废设备进行技术普查,初步确定报废对象。</w:t>
            </w:r>
          </w:p>
          <w:p w14:paraId="7AFBA1FD">
            <w:pPr>
              <w:pStyle w:val="18"/>
              <w:ind w:firstLine="560" w:firstLineChars="200"/>
              <w:jc w:val="both"/>
              <w:rPr>
                <w:lang w:val="en-US"/>
              </w:rPr>
            </w:pPr>
            <w:r>
              <w:rPr>
                <w:rFonts w:hint="eastAsia"/>
                <w:lang w:val="en-US"/>
              </w:rPr>
              <w:t>第九条、初步确定报废设备对象后,在九月底前报本单位机械管理部门填写“固定资产报废申请表”和“固定资产报废明细表”,上报总公司资产部。</w:t>
            </w:r>
          </w:p>
          <w:p w14:paraId="68074ADD">
            <w:pPr>
              <w:pStyle w:val="18"/>
              <w:ind w:firstLine="560" w:firstLineChars="200"/>
              <w:jc w:val="both"/>
              <w:rPr>
                <w:lang w:val="en-US"/>
              </w:rPr>
            </w:pPr>
            <w:r>
              <w:rPr>
                <w:rFonts w:hint="eastAsia"/>
                <w:lang w:val="en-US"/>
              </w:rPr>
              <w:t>第十条、总公司资产部、财务部门和基层有经验的人员组成三结合鉴定小组,现场对拟报废设备进行鉴定,填写鉴定意见。提交总公司经理办公会讨论。</w:t>
            </w:r>
          </w:p>
          <w:p w14:paraId="16525D8B">
            <w:pPr>
              <w:pStyle w:val="18"/>
              <w:ind w:firstLine="560" w:firstLineChars="200"/>
              <w:jc w:val="both"/>
              <w:rPr>
                <w:lang w:val="en-US"/>
              </w:rPr>
            </w:pPr>
            <w:r>
              <w:rPr>
                <w:rFonts w:hint="eastAsia"/>
                <w:lang w:val="en-US"/>
              </w:rPr>
              <w:t>第十一条、总公司经理办公会讨论同意报废的设备,由总公司资产部形成“总公司年度设备报废申请”上报上级主管部门。</w:t>
            </w:r>
          </w:p>
          <w:p w14:paraId="4B49C8C6">
            <w:pPr>
              <w:pStyle w:val="18"/>
              <w:ind w:firstLine="560" w:firstLineChars="200"/>
              <w:jc w:val="both"/>
              <w:rPr>
                <w:lang w:val="en-US"/>
              </w:rPr>
            </w:pPr>
            <w:r>
              <w:rPr>
                <w:rFonts w:hint="eastAsia"/>
                <w:lang w:val="en-US"/>
              </w:rPr>
              <w:t>第十二条、上级主管部门批复同意报废后,凭总公司批准的《固定资产报废申请表》设备方可报废消帐。</w:t>
            </w:r>
          </w:p>
        </w:tc>
      </w:tr>
      <w:tr w14:paraId="57C40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FF66679">
            <w:pPr>
              <w:pStyle w:val="18"/>
              <w:jc w:val="both"/>
              <w:rPr>
                <w:lang w:val="en-US"/>
              </w:rPr>
            </w:pPr>
            <w:r>
              <w:rPr>
                <w:rFonts w:hint="eastAsia"/>
                <w:lang w:val="en-US"/>
              </w:rPr>
              <w:t>三、报废设备的处置</w:t>
            </w:r>
          </w:p>
        </w:tc>
      </w:tr>
      <w:tr w14:paraId="4AE20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941C18A">
            <w:pPr>
              <w:pStyle w:val="18"/>
              <w:ind w:firstLine="560" w:firstLineChars="200"/>
              <w:jc w:val="both"/>
              <w:rPr>
                <w:lang w:val="en-US"/>
              </w:rPr>
            </w:pPr>
            <w:r>
              <w:rPr>
                <w:rFonts w:hint="eastAsia"/>
                <w:lang w:val="en-US"/>
              </w:rPr>
              <w:t>第十四条、报废设备除尚可利用的部件外,一律交国营物资回收部门回收。</w:t>
            </w:r>
          </w:p>
          <w:p w14:paraId="42F47675">
            <w:pPr>
              <w:pStyle w:val="18"/>
              <w:ind w:firstLine="560" w:firstLineChars="200"/>
              <w:jc w:val="both"/>
              <w:rPr>
                <w:lang w:val="en-US"/>
              </w:rPr>
            </w:pPr>
            <w:r>
              <w:rPr>
                <w:rFonts w:hint="eastAsia"/>
                <w:lang w:val="en-US"/>
              </w:rPr>
              <w:t>第十五条、设备的报废处置,由总公司资产部归口承办,基层单位无权私自处置批准报废的设备。货款按财务规定入总公司财务,各单位自购设备报废处置后的残值,由总公司财务足额返还设备所属单位。</w:t>
            </w:r>
          </w:p>
        </w:tc>
      </w:tr>
    </w:tbl>
    <w:p w14:paraId="103F2053">
      <w:pPr>
        <w:pStyle w:val="4"/>
        <w:spacing w:before="93" w:after="31"/>
      </w:pPr>
      <w:bookmarkStart w:id="10518" w:name="_Toc30242"/>
      <w:bookmarkStart w:id="10519" w:name="_Toc19574"/>
      <w:bookmarkStart w:id="10520" w:name="_Toc6949"/>
      <w:bookmarkStart w:id="10521" w:name="_Toc19003"/>
      <w:bookmarkStart w:id="10522" w:name="_Toc14220"/>
      <w:bookmarkStart w:id="10523" w:name="_Toc17318"/>
      <w:bookmarkStart w:id="10524" w:name="_Toc134"/>
      <w:bookmarkStart w:id="10525" w:name="_Toc19929"/>
      <w:bookmarkStart w:id="10526" w:name="_Toc15124"/>
      <w:bookmarkStart w:id="10527" w:name="_Toc18874"/>
      <w:bookmarkStart w:id="10528" w:name="_Toc23738"/>
      <w:bookmarkStart w:id="10529" w:name="_Toc10782"/>
      <w:bookmarkStart w:id="10530" w:name="_Toc8395"/>
      <w:bookmarkStart w:id="10531" w:name="_Toc19408"/>
      <w:bookmarkStart w:id="10532" w:name="_Toc23552"/>
      <w:bookmarkStart w:id="10533" w:name="_Toc16881"/>
      <w:bookmarkStart w:id="10534" w:name="_Toc31647"/>
      <w:bookmarkStart w:id="10535" w:name="_Toc15663"/>
      <w:bookmarkStart w:id="10536" w:name="_Toc14154"/>
      <w:bookmarkStart w:id="10537" w:name="_Toc23556"/>
      <w:bookmarkStart w:id="10538" w:name="_Toc6261"/>
      <w:r>
        <w:rPr>
          <w:rFonts w:hint="eastAsia"/>
        </w:rPr>
        <w:t>三、主要机具使用安排内容</w:t>
      </w:r>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p>
    <w:p w14:paraId="5A8D5965">
      <w:pPr>
        <w:pStyle w:val="5"/>
        <w:spacing w:before="31" w:after="31"/>
        <w:ind w:firstLine="562"/>
      </w:pPr>
      <w:bookmarkStart w:id="10539" w:name="_Toc6336"/>
      <w:bookmarkStart w:id="10540" w:name="_Toc22685"/>
      <w:bookmarkStart w:id="10541" w:name="_Toc25961"/>
      <w:bookmarkStart w:id="10542" w:name="_Toc22785"/>
      <w:bookmarkStart w:id="10543" w:name="_Toc3288"/>
      <w:bookmarkStart w:id="10544" w:name="_Toc7992"/>
      <w:bookmarkStart w:id="10545" w:name="_Toc11617"/>
      <w:bookmarkStart w:id="10546" w:name="_Toc20896"/>
      <w:bookmarkStart w:id="10547" w:name="_Toc23481"/>
      <w:bookmarkStart w:id="10548" w:name="_Toc30014"/>
      <w:bookmarkStart w:id="10549" w:name="_Toc5156"/>
      <w:bookmarkStart w:id="10550" w:name="_Toc16593"/>
      <w:bookmarkStart w:id="10551" w:name="_Toc22169"/>
      <w:bookmarkStart w:id="10552" w:name="_Toc26366"/>
      <w:bookmarkStart w:id="10553" w:name="_Toc32058"/>
      <w:bookmarkStart w:id="10554" w:name="_Toc29522"/>
      <w:r>
        <w:rPr>
          <w:rFonts w:hint="eastAsia"/>
        </w:rPr>
        <w:t>（一）施工机械设备组织配置及原则</w:t>
      </w:r>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p>
    <w:p w14:paraId="7480C7D1">
      <w:pPr>
        <w:ind w:firstLine="560"/>
      </w:pPr>
      <w:r>
        <w:rPr>
          <w:rFonts w:hint="eastAsia"/>
        </w:rPr>
        <w:t>要满足招标文件对质量、工期和安全的要求，各种测量检测仪器与施工机具的配置就须满足下面的条件：</w:t>
      </w:r>
    </w:p>
    <w:p w14:paraId="4EAFAF55">
      <w:pPr>
        <w:ind w:firstLine="560"/>
      </w:pPr>
      <w:r>
        <w:rPr>
          <w:rFonts w:hint="eastAsia"/>
        </w:rPr>
        <w:t>1、各种施工用仪器和机具要功能齐备，新旧程度必须满足施工的需求。</w:t>
      </w:r>
    </w:p>
    <w:p w14:paraId="71C8220A">
      <w:pPr>
        <w:ind w:firstLine="560"/>
      </w:pPr>
      <w:r>
        <w:rPr>
          <w:rFonts w:hint="eastAsia"/>
        </w:rPr>
        <w:t>2、在数量上要充足，不同种类的仪器和机具要配置合理。</w:t>
      </w:r>
    </w:p>
    <w:p w14:paraId="41F5DEBE">
      <w:pPr>
        <w:ind w:firstLine="560"/>
      </w:pPr>
      <w:r>
        <w:rPr>
          <w:rFonts w:hint="eastAsia"/>
        </w:rPr>
        <w:t>3、在施工高峰期，一方面要考虑满足数量的因素，另一方面要考虑有效的周转使用。</w:t>
      </w:r>
    </w:p>
    <w:p w14:paraId="205423F2">
      <w:pPr>
        <w:ind w:firstLine="560"/>
      </w:pPr>
      <w:r>
        <w:rPr>
          <w:rFonts w:hint="eastAsia"/>
        </w:rPr>
        <w:t>4、要保证重要工序和重要部位的施工用仪器和机具。如各种测量仪器不仅要求功能先进，还要求准确有效。“没有规矩不成方圆”，若对轴线、标高控制线等没有准确的测量数据，精品工程是无从谈起的。</w:t>
      </w:r>
    </w:p>
    <w:p w14:paraId="294B8317">
      <w:pPr>
        <w:ind w:firstLine="560"/>
      </w:pPr>
      <w:r>
        <w:rPr>
          <w:rFonts w:hint="eastAsia"/>
        </w:rPr>
        <w:t>5、配置必要的维修工具，在施工期间对各种仪器和设备进行合理的保养和维修。</w:t>
      </w:r>
    </w:p>
    <w:p w14:paraId="03BA7916">
      <w:pPr>
        <w:ind w:firstLine="560"/>
      </w:pPr>
      <w:r>
        <w:rPr>
          <w:rFonts w:hint="eastAsia"/>
        </w:rPr>
        <w:t>6、配备机械设备适应考虑以下因素：</w:t>
      </w:r>
    </w:p>
    <w:p w14:paraId="30051B96">
      <w:pPr>
        <w:ind w:firstLine="560"/>
      </w:pPr>
      <w:r>
        <w:rPr>
          <w:rFonts w:hint="eastAsia"/>
        </w:rPr>
        <w:t>(1)技术先进性：机具设备技术性能优越，生产率高。</w:t>
      </w:r>
    </w:p>
    <w:p w14:paraId="6A34BBF9">
      <w:pPr>
        <w:ind w:firstLine="560"/>
      </w:pPr>
      <w:r>
        <w:rPr>
          <w:rFonts w:hint="eastAsia"/>
        </w:rPr>
        <w:t>(2)使用可靠性：机械设备在使用过程中能稳定地保持其应有的技术性能，安全可靠的运行。</w:t>
      </w:r>
    </w:p>
    <w:p w14:paraId="3B9864F6">
      <w:pPr>
        <w:ind w:firstLine="560"/>
      </w:pPr>
      <w:r>
        <w:rPr>
          <w:rFonts w:hint="eastAsia"/>
        </w:rPr>
        <w:t>(3)便于维修性：机械设备要便于检查、维修和修理。</w:t>
      </w:r>
    </w:p>
    <w:p w14:paraId="0D337DE1">
      <w:pPr>
        <w:ind w:firstLine="560"/>
      </w:pPr>
      <w:r>
        <w:rPr>
          <w:rFonts w:hint="eastAsia"/>
        </w:rPr>
        <w:t>(4)运行安全性：机械设备在使用过程中有对施工安全的保障性能。</w:t>
      </w:r>
    </w:p>
    <w:p w14:paraId="76DDD941">
      <w:pPr>
        <w:ind w:firstLine="560"/>
      </w:pPr>
      <w:r>
        <w:rPr>
          <w:rFonts w:hint="eastAsia"/>
        </w:rPr>
        <w:t>(5)经济实惠性：机具设备在满足技术要求和生产要求的基础上应达到最低费用，可进一步降低工程成本。</w:t>
      </w:r>
    </w:p>
    <w:p w14:paraId="69E2E4D7">
      <w:pPr>
        <w:ind w:firstLine="560"/>
      </w:pPr>
      <w:r>
        <w:rPr>
          <w:rFonts w:hint="eastAsia"/>
          <w:color w:val="000000"/>
          <w:kern w:val="0"/>
          <w:lang w:bidi="ar"/>
        </w:rPr>
        <w:t>(6)</w:t>
      </w:r>
      <w:r>
        <w:rPr>
          <w:rFonts w:hint="eastAsia"/>
        </w:rPr>
        <w:t>适应性：一种机械设备可适应不同工作条件及工作内容。</w:t>
      </w:r>
    </w:p>
    <w:p w14:paraId="108BFBA3">
      <w:pPr>
        <w:ind w:firstLine="560"/>
      </w:pPr>
      <w:r>
        <w:rPr>
          <w:rFonts w:hint="eastAsia"/>
        </w:rPr>
        <w:t>(7)此外应满足成套性、节能性、环保性、灵活性等要求。</w:t>
      </w:r>
    </w:p>
    <w:p w14:paraId="29610AE0">
      <w:pPr>
        <w:pStyle w:val="5"/>
        <w:spacing w:before="31" w:after="31"/>
        <w:ind w:firstLine="562"/>
      </w:pPr>
      <w:bookmarkStart w:id="10555" w:name="_Toc32161"/>
      <w:bookmarkStart w:id="10556" w:name="_Toc15386"/>
      <w:bookmarkStart w:id="10557" w:name="_Toc24520"/>
      <w:bookmarkStart w:id="10558" w:name="_Toc16775"/>
      <w:bookmarkStart w:id="10559" w:name="_Toc21228"/>
      <w:bookmarkStart w:id="10560" w:name="_Toc28021"/>
      <w:bookmarkStart w:id="10561" w:name="_Toc19980"/>
      <w:bookmarkStart w:id="10562" w:name="_Toc16570"/>
      <w:bookmarkStart w:id="10563" w:name="_Toc19531"/>
      <w:bookmarkStart w:id="10564" w:name="_Toc10610"/>
      <w:bookmarkStart w:id="10565" w:name="_Toc2297"/>
      <w:bookmarkStart w:id="10566" w:name="_Toc4167"/>
      <w:bookmarkStart w:id="10567" w:name="_Toc9649"/>
      <w:bookmarkStart w:id="10568" w:name="_Toc18607"/>
      <w:bookmarkStart w:id="10569" w:name="_Toc28685"/>
      <w:bookmarkStart w:id="10570" w:name="_Toc26337"/>
      <w:bookmarkStart w:id="10571" w:name="_Toc22313"/>
      <w:bookmarkStart w:id="10572" w:name="_Toc8566"/>
      <w:bookmarkStart w:id="10573" w:name="_Toc3077"/>
      <w:r>
        <w:rPr>
          <w:rFonts w:hint="eastAsia"/>
        </w:rPr>
        <w:t>（二）机械设备管理措施</w:t>
      </w:r>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p>
    <w:p w14:paraId="7299D91A">
      <w:pPr>
        <w:ind w:firstLine="560"/>
      </w:pPr>
      <w:r>
        <w:rPr>
          <w:rFonts w:hint="eastAsia"/>
        </w:rPr>
        <w:t>1、正确的选用机械设备。根据“技术上先进，经济上合理，施工上适用，安全可靠”的原则，考虑机械产品的特点，正确选用配置设备。</w:t>
      </w:r>
    </w:p>
    <w:p w14:paraId="547D58CF">
      <w:pPr>
        <w:ind w:firstLine="560"/>
      </w:pPr>
      <w:r>
        <w:rPr>
          <w:rFonts w:hint="eastAsia"/>
        </w:rPr>
        <w:t>2、保证机械设备始终处于良好的技术状态。</w:t>
      </w:r>
    </w:p>
    <w:p w14:paraId="32096650">
      <w:pPr>
        <w:ind w:firstLine="560"/>
      </w:pPr>
      <w:r>
        <w:rPr>
          <w:rFonts w:hint="eastAsia"/>
        </w:rPr>
        <w:t>2.1根据机械设备的性能用途和效率等，制定完整的操作规程，以求合理使用。</w:t>
      </w:r>
    </w:p>
    <w:p w14:paraId="7BAAD469">
      <w:pPr>
        <w:ind w:firstLine="560"/>
      </w:pPr>
      <w:r>
        <w:rPr>
          <w:rFonts w:hint="eastAsia"/>
        </w:rPr>
        <w:t>2.2研究机械设备的故障，磨损规律，根据设备的寿命周期和生产状况，确定维护保养制度及方式，制定检修计划。</w:t>
      </w:r>
    </w:p>
    <w:p w14:paraId="66B2E0C5">
      <w:pPr>
        <w:ind w:firstLine="560"/>
      </w:pPr>
      <w:r>
        <w:rPr>
          <w:rFonts w:hint="eastAsia"/>
        </w:rPr>
        <w:t>2.3运用先进的检测，维修手段和方法，减少磨损，恢复精度，延长寿命周期。</w:t>
      </w:r>
    </w:p>
    <w:p w14:paraId="2D551F7A">
      <w:pPr>
        <w:ind w:firstLine="560"/>
      </w:pPr>
      <w:r>
        <w:rPr>
          <w:rFonts w:hint="eastAsia"/>
        </w:rPr>
        <w:t>3、加强设备的日常管理工作</w:t>
      </w:r>
    </w:p>
    <w:p w14:paraId="4E4A44B4">
      <w:pPr>
        <w:ind w:firstLine="560"/>
      </w:pPr>
      <w:r>
        <w:rPr>
          <w:rFonts w:hint="eastAsia"/>
        </w:rPr>
        <w:t>3.1采取行政与经济手段相结合的方法，加强设备的日常管理工作。</w:t>
      </w:r>
    </w:p>
    <w:p w14:paraId="656BB30C">
      <w:pPr>
        <w:ind w:firstLine="560"/>
      </w:pPr>
      <w:r>
        <w:rPr>
          <w:rFonts w:hint="eastAsia"/>
        </w:rPr>
        <w:t>3.2主要包括：</w:t>
      </w:r>
    </w:p>
    <w:p w14:paraId="1D7CF4C3">
      <w:pPr>
        <w:ind w:firstLine="560"/>
      </w:pPr>
      <w:r>
        <w:rPr>
          <w:rFonts w:hint="eastAsia"/>
        </w:rPr>
        <w:t>降低能源消耗费，维修费的支出。</w:t>
      </w:r>
    </w:p>
    <w:p w14:paraId="53D368BC">
      <w:pPr>
        <w:ind w:firstLine="560"/>
      </w:pPr>
      <w:r>
        <w:rPr>
          <w:rFonts w:hint="eastAsia"/>
        </w:rPr>
        <w:t>降低机械设备的寿命周期费用。</w:t>
      </w:r>
    </w:p>
    <w:p w14:paraId="3AF772CE">
      <w:pPr>
        <w:ind w:firstLine="560"/>
      </w:pPr>
      <w:r>
        <w:rPr>
          <w:rFonts w:hint="eastAsia"/>
        </w:rPr>
        <w:t>作好设备的验收登记、保管、事故处理等工作。</w:t>
      </w:r>
    </w:p>
    <w:p w14:paraId="239E64B0">
      <w:pPr>
        <w:ind w:firstLine="560"/>
      </w:pPr>
      <w:r>
        <w:rPr>
          <w:rFonts w:hint="eastAsia"/>
        </w:rPr>
        <w:t>作好机械设备的经济核算工作。</w:t>
      </w:r>
    </w:p>
    <w:p w14:paraId="57F4E9E4">
      <w:pPr>
        <w:pStyle w:val="5"/>
        <w:spacing w:before="31" w:after="31"/>
        <w:ind w:firstLine="562"/>
      </w:pPr>
      <w:bookmarkStart w:id="10574" w:name="_Toc19940"/>
      <w:bookmarkStart w:id="10575" w:name="_Toc12036"/>
      <w:bookmarkStart w:id="10576" w:name="_Toc20327"/>
      <w:bookmarkStart w:id="10577" w:name="_Toc5841"/>
      <w:bookmarkStart w:id="10578" w:name="_Toc32280"/>
      <w:bookmarkStart w:id="10579" w:name="_Toc13875"/>
      <w:bookmarkStart w:id="10580" w:name="_Toc13358"/>
      <w:bookmarkStart w:id="10581" w:name="_Toc27227"/>
      <w:bookmarkStart w:id="10582" w:name="_Toc17508"/>
      <w:bookmarkStart w:id="10583" w:name="_Toc5473"/>
      <w:bookmarkStart w:id="10584" w:name="_Toc4178"/>
      <w:bookmarkStart w:id="10585" w:name="_Toc28240"/>
      <w:bookmarkStart w:id="10586" w:name="_Toc3505"/>
      <w:bookmarkStart w:id="10587" w:name="_Toc6391"/>
      <w:bookmarkStart w:id="10588" w:name="_Toc31307"/>
      <w:bookmarkStart w:id="10589" w:name="_Toc1960"/>
      <w:r>
        <w:rPr>
          <w:rFonts w:hint="eastAsia"/>
        </w:rPr>
        <w:t>（三）主要施工机械、设备使用的保证措施</w:t>
      </w:r>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p>
    <w:p w14:paraId="585333A0">
      <w:pPr>
        <w:ind w:firstLine="560"/>
      </w:pPr>
      <w:r>
        <w:rPr>
          <w:rFonts w:hint="eastAsia"/>
        </w:rPr>
        <w:t>施工机械及设备的提供并保证其正常使用将涉及到整个工程施工质量及施工进度。因此为保证本项工程可顺利进行并保证施工质量，我公司在完成本工程中将采取以下措施：</w:t>
      </w:r>
    </w:p>
    <w:p w14:paraId="029C715A">
      <w:pPr>
        <w:ind w:firstLine="560"/>
      </w:pPr>
      <w:r>
        <w:rPr>
          <w:rFonts w:hint="eastAsia"/>
        </w:rPr>
        <w:t>1、贯彻机械化、半机械化及改良机械化相结合的方针，重点配备中小型机械设备和手动机械设备，以便于施工操作方便提高工作速度。</w:t>
      </w:r>
    </w:p>
    <w:p w14:paraId="691EEB9E">
      <w:pPr>
        <w:ind w:firstLine="560"/>
      </w:pPr>
      <w:r>
        <w:rPr>
          <w:rFonts w:hint="eastAsia"/>
        </w:rPr>
        <w:t>2、充分发挥现场所有机械设备的能力，根据现场具体进度变化的需求，合力调配机械及设备结构。</w:t>
      </w:r>
    </w:p>
    <w:p w14:paraId="28D7CA5C">
      <w:pPr>
        <w:ind w:firstLine="560"/>
      </w:pPr>
      <w:r>
        <w:rPr>
          <w:rFonts w:hint="eastAsia"/>
        </w:rPr>
        <w:t>3、有限配备本工程施工需要的、为保证施工质量与进度的、可代替大劳动强度的、作业条件差的和配套的机械设备。</w:t>
      </w:r>
    </w:p>
    <w:p w14:paraId="28807F9D">
      <w:pPr>
        <w:ind w:firstLine="560"/>
      </w:pPr>
      <w:r>
        <w:rPr>
          <w:rFonts w:hint="eastAsia"/>
        </w:rPr>
        <w:t>4、我方将根据工程建设的总体要求合理配备施工机具，保证满足质量、工期、安全生产的要求。当监理方提出、甲方认定施工单位配备的施工机具不能满足要求时，我方会在5日内调整机具到位。一次不能及时调增机具到位，我方将接受甲方的经济处罚。</w:t>
      </w:r>
    </w:p>
    <w:p w14:paraId="36495D13">
      <w:pPr>
        <w:pStyle w:val="3"/>
      </w:pPr>
      <w:bookmarkStart w:id="10590" w:name="_Toc8729"/>
      <w:bookmarkStart w:id="10591" w:name="_Toc28040"/>
      <w:bookmarkStart w:id="10592" w:name="_Toc26079"/>
      <w:bookmarkStart w:id="10593" w:name="_Toc6683"/>
      <w:r>
        <w:rPr>
          <w:rFonts w:hint="eastAsia"/>
        </w:rPr>
        <w:t>第六节、</w:t>
      </w:r>
      <w:r>
        <w:t>用户服务</w:t>
      </w:r>
      <w:bookmarkEnd w:id="10590"/>
      <w:bookmarkEnd w:id="10591"/>
      <w:bookmarkEnd w:id="10592"/>
      <w:bookmarkEnd w:id="10593"/>
    </w:p>
    <w:p w14:paraId="0EEC2F95">
      <w:pPr>
        <w:pStyle w:val="4"/>
        <w:spacing w:before="93" w:after="31"/>
      </w:pPr>
      <w:bookmarkStart w:id="10594" w:name="_Toc30286"/>
      <w:bookmarkStart w:id="10595" w:name="_Toc19070"/>
      <w:bookmarkStart w:id="10596" w:name="_Toc26058"/>
      <w:bookmarkStart w:id="10597" w:name="_Toc29338"/>
      <w:r>
        <w:rPr>
          <w:rFonts w:hint="eastAsia"/>
        </w:rPr>
        <w:t>一、水质水压标准</w:t>
      </w:r>
      <w:bookmarkEnd w:id="10594"/>
      <w:bookmarkEnd w:id="10595"/>
      <w:bookmarkEnd w:id="10596"/>
      <w:bookmarkEnd w:id="10597"/>
    </w:p>
    <w:p w14:paraId="47EDB21A">
      <w:pPr>
        <w:pStyle w:val="5"/>
        <w:spacing w:before="31" w:after="31"/>
        <w:ind w:firstLine="562"/>
      </w:pPr>
      <w:r>
        <w:rPr>
          <w:rFonts w:hint="eastAsia"/>
        </w:rPr>
        <w:t>（一）</w:t>
      </w:r>
      <w:r>
        <w:t>供水水质</w:t>
      </w:r>
    </w:p>
    <w:p w14:paraId="5F757CBF">
      <w:pPr>
        <w:ind w:firstLine="560"/>
      </w:pPr>
      <w:r>
        <w:rPr>
          <w:rFonts w:hint="eastAsia"/>
        </w:rPr>
        <w:t>1.</w:t>
      </w:r>
      <w:r>
        <w:t>供水水质应符合GB5749－20</w:t>
      </w:r>
      <w:r>
        <w:rPr>
          <w:rFonts w:hint="eastAsia"/>
        </w:rPr>
        <w:t>1</w:t>
      </w:r>
      <w:r>
        <w:t>6《生活饮用水卫生标准》以及CJ/T206－20</w:t>
      </w:r>
      <w:r>
        <w:rPr>
          <w:rFonts w:hint="eastAsia"/>
        </w:rPr>
        <w:t>1</w:t>
      </w:r>
      <w:r>
        <w:t>5《城市供水水质标准》。</w:t>
      </w:r>
    </w:p>
    <w:p w14:paraId="62C1DDCE">
      <w:pPr>
        <w:ind w:firstLine="560"/>
      </w:pPr>
      <w:r>
        <w:rPr>
          <w:rFonts w:hint="eastAsia"/>
        </w:rPr>
        <w:t>2.</w:t>
      </w:r>
      <w:r>
        <w:t>当水源水质不符合要求时，应启动《供水安全应急预案》，积极采取有效措施，经净化处理后，出厂水日检九项指标（浑浊度、色度、臭和味、肉眼可见物、余氯、菌落总数、总大肠菌群、耐热大肠菌群、耗氧量）及pH值、氨氮指标必须达到规定标准。</w:t>
      </w:r>
    </w:p>
    <w:p w14:paraId="59572F72">
      <w:pPr>
        <w:ind w:firstLine="560"/>
      </w:pPr>
      <w:r>
        <w:rPr>
          <w:rFonts w:hint="eastAsia"/>
        </w:rPr>
        <w:t>3.</w:t>
      </w:r>
      <w:r>
        <w:t>新建水厂、新建供水管网、旧供水管网改造后及复用的供水设施，在并入供水管网运行前，必须冲洗、消毒，符合水质标准后方可并网供水。</w:t>
      </w:r>
    </w:p>
    <w:p w14:paraId="2B571075">
      <w:pPr>
        <w:ind w:firstLine="560"/>
      </w:pPr>
      <w:r>
        <w:rPr>
          <w:rFonts w:hint="eastAsia"/>
        </w:rPr>
        <w:t>4.</w:t>
      </w:r>
      <w:r>
        <w:t>清水库顶部种植植物的，严禁施用各种肥料和农药。严禁在顶部堆放污染水质的各种物品和杂物。新建供水构筑物或重新启用的构筑物必须经消毒检测合格后方可投入使用。</w:t>
      </w:r>
    </w:p>
    <w:p w14:paraId="4CDA2D4F">
      <w:pPr>
        <w:ind w:firstLine="560"/>
      </w:pPr>
      <w:r>
        <w:rPr>
          <w:rFonts w:hint="eastAsia"/>
        </w:rPr>
        <w:t>5.</w:t>
      </w:r>
      <w:r>
        <w:t>供水水质应接受社会监督，水质检测结果应每周在网站或媒体公布。</w:t>
      </w:r>
    </w:p>
    <w:p w14:paraId="15C81891">
      <w:pPr>
        <w:ind w:firstLine="560"/>
      </w:pPr>
      <w:r>
        <w:rPr>
          <w:rFonts w:hint="eastAsia"/>
        </w:rPr>
        <w:t>6.</w:t>
      </w:r>
      <w:r>
        <w:t>供水水质不能达标时，应迅速按规定程序告知用户，并启动应急预案，尽快恢复正常供水。</w:t>
      </w:r>
    </w:p>
    <w:p w14:paraId="6A059592">
      <w:pPr>
        <w:pStyle w:val="5"/>
        <w:spacing w:before="31" w:after="31"/>
        <w:ind w:firstLine="562"/>
      </w:pPr>
      <w:r>
        <w:rPr>
          <w:rFonts w:hint="eastAsia"/>
        </w:rPr>
        <w:t>（二）</w:t>
      </w:r>
      <w:r>
        <w:t>供水压力</w:t>
      </w:r>
    </w:p>
    <w:p w14:paraId="526E1BE4">
      <w:pPr>
        <w:ind w:firstLine="560"/>
      </w:pPr>
      <w:r>
        <w:rPr>
          <w:rFonts w:hint="eastAsia"/>
        </w:rPr>
        <w:t>1.</w:t>
      </w:r>
      <w:r>
        <w:t>供水管网干线末梢的服务压力不得低于0.14Mpa。</w:t>
      </w:r>
    </w:p>
    <w:p w14:paraId="55780D47">
      <w:pPr>
        <w:ind w:firstLine="560"/>
      </w:pPr>
      <w:r>
        <w:rPr>
          <w:rFonts w:hint="eastAsia"/>
        </w:rPr>
        <w:t>2.</w:t>
      </w:r>
      <w:r>
        <w:t>供水管网压力合格率应达到98％以上(不含因水源短缺或不可抗力引起突然爆管造成局部地区出现降压断水的情况)。</w:t>
      </w:r>
    </w:p>
    <w:p w14:paraId="390E5475">
      <w:pPr>
        <w:ind w:firstLine="560"/>
      </w:pPr>
      <w:r>
        <w:t>供水管网应按供水面积每3平方公里设置一处测压点，各检测点均应连续测定并记录压力值。</w:t>
      </w:r>
    </w:p>
    <w:p w14:paraId="42275504">
      <w:pPr>
        <w:pStyle w:val="4"/>
        <w:spacing w:before="93" w:after="31"/>
      </w:pPr>
      <w:bookmarkStart w:id="10598" w:name="_Toc5370"/>
      <w:bookmarkStart w:id="10599" w:name="_Toc9223"/>
      <w:bookmarkStart w:id="10600" w:name="_Toc15074"/>
      <w:bookmarkStart w:id="10601" w:name="_Toc2438"/>
      <w:r>
        <w:rPr>
          <w:rFonts w:hint="eastAsia"/>
        </w:rPr>
        <w:t>二、</w:t>
      </w:r>
      <w:r>
        <w:t>停水服务</w:t>
      </w:r>
      <w:bookmarkEnd w:id="10598"/>
      <w:bookmarkEnd w:id="10599"/>
      <w:bookmarkEnd w:id="10600"/>
      <w:bookmarkEnd w:id="10601"/>
    </w:p>
    <w:p w14:paraId="7E0DCD5A">
      <w:pPr>
        <w:pStyle w:val="5"/>
        <w:spacing w:before="31" w:after="31"/>
        <w:ind w:firstLine="562"/>
      </w:pPr>
      <w:r>
        <w:rPr>
          <w:rFonts w:hint="eastAsia"/>
        </w:rPr>
        <w:t>（一）</w:t>
      </w:r>
      <w:r>
        <w:t>计划停水</w:t>
      </w:r>
    </w:p>
    <w:p w14:paraId="32F603D4">
      <w:pPr>
        <w:ind w:firstLine="560"/>
      </w:pPr>
      <w:r>
        <w:rPr>
          <w:rFonts w:hint="eastAsia"/>
        </w:rPr>
        <w:t>1.</w:t>
      </w:r>
      <w:r>
        <w:t>因水厂（站）计划检修、供水管网计划维修、DN200以上管道接装水需要实施较大范围停水的，责任部门必须严格按公司停水审批程序办理。</w:t>
      </w:r>
    </w:p>
    <w:p w14:paraId="4ABAE5A1">
      <w:pPr>
        <w:ind w:firstLine="560"/>
      </w:pPr>
      <w:r>
        <w:rPr>
          <w:rFonts w:hint="eastAsia"/>
        </w:rPr>
        <w:t>2.</w:t>
      </w:r>
      <w:r>
        <w:t>公司生产科应提前24小时将停水的原因、时间、范围及恢复供水的时间通过媒体或其他方式通知用户。申请停水部门对重要单位用户要派发停水通知书，对住宅小区要在小区显著位置张贴。</w:t>
      </w:r>
    </w:p>
    <w:p w14:paraId="285BD4EE">
      <w:pPr>
        <w:ind w:firstLine="560"/>
      </w:pPr>
      <w:r>
        <w:rPr>
          <w:rFonts w:hint="eastAsia"/>
        </w:rPr>
        <w:t>3.</w:t>
      </w:r>
      <w:r>
        <w:t>大范围停水应上报市政府值班室及市建设主管部门。</w:t>
      </w:r>
    </w:p>
    <w:p w14:paraId="0D77A12A">
      <w:pPr>
        <w:ind w:firstLine="560"/>
      </w:pPr>
      <w:r>
        <w:rPr>
          <w:rFonts w:hint="eastAsia"/>
        </w:rPr>
        <w:t>4.</w:t>
      </w:r>
      <w:r>
        <w:t>小范围停水应提前24小时以公告或电话方式通知用户，以便用户贮水备用。</w:t>
      </w:r>
    </w:p>
    <w:p w14:paraId="49FA4859">
      <w:pPr>
        <w:ind w:firstLine="560"/>
      </w:pPr>
      <w:r>
        <w:rPr>
          <w:rFonts w:hint="eastAsia"/>
        </w:rPr>
        <w:t>5.</w:t>
      </w:r>
      <w:r>
        <w:t>在实施停水前30分钟，停水部门现场负责人应拨打通报客户服务中心；客户服务中心应立即做好停水语音提示、供水调度等准备工作。</w:t>
      </w:r>
    </w:p>
    <w:p w14:paraId="223980A6">
      <w:pPr>
        <w:pStyle w:val="5"/>
        <w:spacing w:before="31" w:after="31"/>
        <w:ind w:firstLine="562"/>
      </w:pPr>
      <w:r>
        <w:rPr>
          <w:rFonts w:hint="eastAsia"/>
        </w:rPr>
        <w:t>（二）</w:t>
      </w:r>
      <w:r>
        <w:t>故障停水</w:t>
      </w:r>
    </w:p>
    <w:p w14:paraId="5DC6A592">
      <w:pPr>
        <w:ind w:firstLine="560"/>
      </w:pPr>
      <w:r>
        <w:rPr>
          <w:rFonts w:hint="eastAsia"/>
        </w:rPr>
        <w:t>1.</w:t>
      </w:r>
      <w:r>
        <w:t>因供水厂（站）临时突发停电或设备故障、供水干管突发爆管事故，发生水质污染事故必须停水的，责任部门应根据爆管情况及时启动《供水管网抢修应急预案》全力抢修，尽快恢复供水。</w:t>
      </w:r>
    </w:p>
    <w:p w14:paraId="686F1754">
      <w:pPr>
        <w:ind w:firstLine="560"/>
      </w:pPr>
      <w:r>
        <w:rPr>
          <w:rFonts w:hint="eastAsia"/>
        </w:rPr>
        <w:t>2.</w:t>
      </w:r>
      <w:r>
        <w:t>在停水的同时向重要单位用户和住宅小区派发停水通知书。</w:t>
      </w:r>
    </w:p>
    <w:p w14:paraId="67BE037D">
      <w:pPr>
        <w:ind w:firstLine="560"/>
      </w:pPr>
      <w:r>
        <w:rPr>
          <w:rFonts w:hint="eastAsia"/>
        </w:rPr>
        <w:t>3.</w:t>
      </w:r>
      <w:r>
        <w:t>客户服务中心应迅速开通不少于两路热线坐席，保证热线畅通，并做好停水语音提示。</w:t>
      </w:r>
    </w:p>
    <w:p w14:paraId="76D2BE34">
      <w:pPr>
        <w:ind w:firstLine="560"/>
      </w:pPr>
      <w:r>
        <w:rPr>
          <w:rFonts w:hint="eastAsia"/>
        </w:rPr>
        <w:t>4.</w:t>
      </w:r>
      <w:r>
        <w:t>爆管修复时限</w:t>
      </w:r>
    </w:p>
    <w:p w14:paraId="4B077464">
      <w:pPr>
        <w:ind w:firstLine="560"/>
      </w:pPr>
      <w:r>
        <w:rPr>
          <w:rFonts w:hint="eastAsia"/>
        </w:rPr>
        <w:t>（1）</w:t>
      </w:r>
      <w:r>
        <w:t>DN200及以上管道停水抢修时限：DN400、DN600管道为4小时，DN800管道为5小时，DN1000管道为6小时，DN1200管道为7小时，如受客观特殊情况影响，将用不间断抢修方式，直至抢修工作结束；对DN200（含）～DN400管道，正常停水修复时间为3小时，如遇客观上的特殊情况影响，不得超过4小时。</w:t>
      </w:r>
    </w:p>
    <w:p w14:paraId="3FE36BAD">
      <w:pPr>
        <w:ind w:firstLine="560"/>
      </w:pPr>
      <w:r>
        <w:rPr>
          <w:rFonts w:hint="eastAsia"/>
        </w:rPr>
        <w:t>（2）</w:t>
      </w:r>
      <w:r>
        <w:t>DN200以下管道停水抢修时限：正常停水修复时间为2小时，如受客观上特殊情况影响，停水抢修时间不得超过4小时。</w:t>
      </w:r>
    </w:p>
    <w:p w14:paraId="6B4EAEDA">
      <w:pPr>
        <w:pStyle w:val="5"/>
        <w:spacing w:before="31" w:after="31"/>
        <w:ind w:firstLine="562"/>
      </w:pPr>
      <w:r>
        <w:rPr>
          <w:rFonts w:hint="eastAsia"/>
        </w:rPr>
        <w:t>（三）</w:t>
      </w:r>
      <w:r>
        <w:t>一户一表及小用户接装水或管道维修临时停水</w:t>
      </w:r>
    </w:p>
    <w:p w14:paraId="5614ADE3">
      <w:pPr>
        <w:ind w:firstLine="560"/>
      </w:pPr>
      <w:r>
        <w:rPr>
          <w:rFonts w:hint="eastAsia"/>
        </w:rPr>
        <w:t>1.</w:t>
      </w:r>
      <w:r>
        <w:t>一户一表及小用户接装水或管道维修时，确需临时停水，停水区域不大，需告知用户后进行施工，用户通知不到的报客户服务中心备案。</w:t>
      </w:r>
    </w:p>
    <w:p w14:paraId="045A25BD">
      <w:pPr>
        <w:ind w:firstLine="560"/>
      </w:pPr>
      <w:r>
        <w:rPr>
          <w:rFonts w:hint="eastAsia"/>
        </w:rPr>
        <w:t>2.</w:t>
      </w:r>
      <w:r>
        <w:t>实施停水前，停水部门应根据现场实际情况做好用户告之工作。</w:t>
      </w:r>
    </w:p>
    <w:p w14:paraId="19564BB6">
      <w:pPr>
        <w:pStyle w:val="5"/>
        <w:spacing w:before="31" w:after="31"/>
        <w:ind w:firstLine="562"/>
      </w:pPr>
      <w:r>
        <w:rPr>
          <w:rFonts w:hint="eastAsia"/>
        </w:rPr>
        <w:t>（四）</w:t>
      </w:r>
      <w:r>
        <w:t>用户欠费停水</w:t>
      </w:r>
    </w:p>
    <w:p w14:paraId="77EA08C2">
      <w:pPr>
        <w:ind w:firstLine="560"/>
      </w:pPr>
      <w:r>
        <w:rPr>
          <w:rFonts w:hint="eastAsia"/>
        </w:rPr>
        <w:t>1.</w:t>
      </w:r>
      <w:r>
        <w:t>对拖欠水费达60日的用户，应向用户投递或通过短信平台发送欠费停水通知。</w:t>
      </w:r>
    </w:p>
    <w:p w14:paraId="1605E525">
      <w:pPr>
        <w:ind w:firstLine="560"/>
      </w:pPr>
      <w:r>
        <w:rPr>
          <w:rFonts w:hint="eastAsia"/>
        </w:rPr>
        <w:t>2.</w:t>
      </w:r>
      <w:r>
        <w:t>投递书面欠费停水通知3日后仍未交纳水费的用户，应采取措施对其暂停供水，并将停水信息予以登记。</w:t>
      </w:r>
    </w:p>
    <w:p w14:paraId="4E2C9BD5">
      <w:pPr>
        <w:ind w:firstLine="560"/>
      </w:pPr>
      <w:r>
        <w:rPr>
          <w:rFonts w:hint="eastAsia"/>
        </w:rPr>
        <w:t>3.</w:t>
      </w:r>
      <w:r>
        <w:t>因欠费停水的用户交清所欠水费及违约金后，应在4小时内对其恢复供水。</w:t>
      </w:r>
    </w:p>
    <w:p w14:paraId="3069FB64">
      <w:pPr>
        <w:pStyle w:val="5"/>
        <w:spacing w:before="31" w:after="31"/>
        <w:ind w:firstLine="562"/>
      </w:pPr>
      <w:r>
        <w:rPr>
          <w:rFonts w:hint="eastAsia"/>
        </w:rPr>
        <w:t>（五）</w:t>
      </w:r>
      <w:r>
        <w:t>违章用水停水</w:t>
      </w:r>
    </w:p>
    <w:p w14:paraId="2F884D27">
      <w:pPr>
        <w:ind w:firstLine="560"/>
      </w:pPr>
      <w:r>
        <w:rPr>
          <w:rFonts w:hint="eastAsia"/>
        </w:rPr>
        <w:t>1.</w:t>
      </w:r>
      <w:r>
        <w:t>对违章用水户，公司保卫（监察）科应立即向违章用水户书面下达限期整改通知。</w:t>
      </w:r>
    </w:p>
    <w:p w14:paraId="78F3CA27">
      <w:pPr>
        <w:ind w:firstLine="560"/>
      </w:pPr>
      <w:r>
        <w:rPr>
          <w:rFonts w:hint="eastAsia"/>
        </w:rPr>
        <w:t>2.</w:t>
      </w:r>
      <w:r>
        <w:t>在通知的期限内违章用户没有响应的，可实施停水。</w:t>
      </w:r>
    </w:p>
    <w:p w14:paraId="7012CF41">
      <w:pPr>
        <w:ind w:firstLine="560"/>
      </w:pPr>
      <w:r>
        <w:rPr>
          <w:rFonts w:hint="eastAsia"/>
        </w:rPr>
        <w:t>3.</w:t>
      </w:r>
      <w:r>
        <w:t>违章用水户在整改完毕并交清相关费用后，接公司保卫（监察）科通知后相关部门4个小时内对其恢复供水。</w:t>
      </w:r>
    </w:p>
    <w:p w14:paraId="522CEF02">
      <w:pPr>
        <w:pStyle w:val="5"/>
        <w:spacing w:before="31" w:after="31"/>
        <w:ind w:firstLine="562"/>
      </w:pPr>
      <w:r>
        <w:rPr>
          <w:rFonts w:hint="eastAsia"/>
        </w:rPr>
        <w:t>（六）</w:t>
      </w:r>
      <w:r>
        <w:t>应急供水</w:t>
      </w:r>
    </w:p>
    <w:p w14:paraId="1195CCE5">
      <w:pPr>
        <w:ind w:firstLine="560"/>
      </w:pPr>
      <w:r>
        <w:t>计划停水时间超过24小时，事故状态下停水时间超过12小时或临时停水发生在居民用水高峰期的，应采取临时供水措施向受影响范围内的居民居住集中区采取消防车送水等临时供水措施。</w:t>
      </w:r>
    </w:p>
    <w:p w14:paraId="71BFACB7">
      <w:pPr>
        <w:pStyle w:val="5"/>
        <w:spacing w:before="31" w:after="31"/>
        <w:ind w:firstLine="562"/>
      </w:pPr>
      <w:r>
        <w:rPr>
          <w:rFonts w:hint="eastAsia"/>
        </w:rPr>
        <w:t>（七）</w:t>
      </w:r>
      <w:r>
        <w:t>通水服务</w:t>
      </w:r>
    </w:p>
    <w:p w14:paraId="219D71EB">
      <w:pPr>
        <w:ind w:firstLine="560"/>
      </w:pPr>
      <w:r>
        <w:rPr>
          <w:rFonts w:hint="eastAsia"/>
        </w:rPr>
        <w:t>1.</w:t>
      </w:r>
      <w:r>
        <w:t>抢修部门应按公示的时间和规定的时限恢复供水。</w:t>
      </w:r>
    </w:p>
    <w:p w14:paraId="5ADE179F">
      <w:pPr>
        <w:ind w:firstLine="560"/>
      </w:pPr>
      <w:r>
        <w:rPr>
          <w:rFonts w:hint="eastAsia"/>
        </w:rPr>
        <w:t>2.</w:t>
      </w:r>
      <w:r>
        <w:t>如停水抢修工作无法在预计时间内完成，应及时将抢修情况及预计延长时间再次公告，并做好解释说明工作。</w:t>
      </w:r>
    </w:p>
    <w:p w14:paraId="165DCDE6">
      <w:pPr>
        <w:ind w:firstLine="560"/>
      </w:pPr>
      <w:r>
        <w:rPr>
          <w:rFonts w:hint="eastAsia"/>
        </w:rPr>
        <w:t>3.</w:t>
      </w:r>
      <w:r>
        <w:t>修复通水10分钟内，抢修部门现场负责人应通报客户服务中心及时取消停水语音提示。</w:t>
      </w:r>
    </w:p>
    <w:p w14:paraId="3B119F9A">
      <w:pPr>
        <w:ind w:firstLine="560"/>
      </w:pPr>
      <w:r>
        <w:t>现场及时安排人员回填平整场地，做到场清，料净；当天来不及回填平整场地时，应做好安全防护措施，避免造成车辆及路人的安全事故，之后尽快安排回填、平整。</w:t>
      </w:r>
    </w:p>
    <w:p w14:paraId="1BA656E2">
      <w:pPr>
        <w:pStyle w:val="4"/>
        <w:spacing w:before="93" w:after="31"/>
      </w:pPr>
      <w:bookmarkStart w:id="10602" w:name="_Toc3466"/>
      <w:bookmarkStart w:id="10603" w:name="_Toc32205"/>
      <w:bookmarkStart w:id="10604" w:name="_Toc23740"/>
      <w:bookmarkStart w:id="10605" w:name="_Toc18676"/>
      <w:r>
        <w:rPr>
          <w:rFonts w:hint="eastAsia"/>
        </w:rPr>
        <w:t>三、供用水设施维护规范</w:t>
      </w:r>
      <w:bookmarkEnd w:id="10602"/>
      <w:bookmarkEnd w:id="10603"/>
      <w:bookmarkEnd w:id="10604"/>
      <w:bookmarkEnd w:id="10605"/>
    </w:p>
    <w:p w14:paraId="080B519D">
      <w:pPr>
        <w:pStyle w:val="5"/>
        <w:spacing w:before="31" w:after="31"/>
        <w:ind w:firstLine="562"/>
      </w:pPr>
      <w:r>
        <w:rPr>
          <w:rFonts w:hint="eastAsia"/>
        </w:rPr>
        <w:t>（一）市政供水设施维护</w:t>
      </w:r>
    </w:p>
    <w:p w14:paraId="41F24120">
      <w:pPr>
        <w:ind w:firstLine="560"/>
      </w:pPr>
      <w:r>
        <w:rPr>
          <w:rFonts w:hint="eastAsia"/>
        </w:rPr>
        <w:t>1.有计划地组织实施水厂、泵站的维护改造，确保出厂水水质水压。</w:t>
      </w:r>
    </w:p>
    <w:p w14:paraId="474DB796">
      <w:pPr>
        <w:ind w:firstLine="560"/>
      </w:pPr>
      <w:r>
        <w:rPr>
          <w:rFonts w:hint="eastAsia"/>
        </w:rPr>
        <w:t>2.选用优质供水管材，有计划地组织实施市政供水管网的更新和改造，保障水质水压。</w:t>
      </w:r>
    </w:p>
    <w:p w14:paraId="08D4E7EA">
      <w:pPr>
        <w:ind w:firstLine="560"/>
      </w:pPr>
      <w:r>
        <w:rPr>
          <w:rFonts w:hint="eastAsia"/>
        </w:rPr>
        <w:t>3.采用先进技术，有计划地组织实施市政供水管网及阀门的探漏测漏，降低管网漏损，保障水质水压，节约水资源。</w:t>
      </w:r>
    </w:p>
    <w:p w14:paraId="73838C85">
      <w:pPr>
        <w:ind w:firstLine="560"/>
      </w:pPr>
      <w:r>
        <w:rPr>
          <w:rFonts w:hint="eastAsia"/>
        </w:rPr>
        <w:t>4.对管网中水质明显降低的区域，应打开消防栓排放“死水”以保障水质。</w:t>
      </w:r>
    </w:p>
    <w:p w14:paraId="11B4D470">
      <w:pPr>
        <w:pStyle w:val="5"/>
        <w:spacing w:before="31" w:after="31"/>
        <w:ind w:firstLine="562"/>
      </w:pPr>
      <w:r>
        <w:rPr>
          <w:rFonts w:hint="eastAsia"/>
        </w:rPr>
        <w:t>（二）用户供水设施维护</w:t>
      </w:r>
    </w:p>
    <w:p w14:paraId="2E4D502B">
      <w:pPr>
        <w:ind w:firstLine="560"/>
      </w:pPr>
      <w:r>
        <w:rPr>
          <w:rFonts w:hint="eastAsia"/>
        </w:rPr>
        <w:t>1.加强表具维护，对损坏和不正常运行的表具应及时处理。</w:t>
      </w:r>
    </w:p>
    <w:p w14:paraId="0CD4A2F2">
      <w:pPr>
        <w:ind w:firstLine="560"/>
      </w:pPr>
      <w:r>
        <w:rPr>
          <w:rFonts w:hint="eastAsia"/>
        </w:rPr>
        <w:t>2.加强表位的日常巡检，对表盖破损、表盖丢失的表位应及时更换与补充。</w:t>
      </w:r>
    </w:p>
    <w:p w14:paraId="3FF9CA99">
      <w:pPr>
        <w:ind w:firstLine="560"/>
      </w:pPr>
      <w:r>
        <w:rPr>
          <w:rFonts w:hint="eastAsia"/>
        </w:rPr>
        <w:t>3.用户内部供水设施发生故障，用户提出维修请求时，应尽可能地提供有偿服务。</w:t>
      </w:r>
    </w:p>
    <w:p w14:paraId="2575BEFE">
      <w:pPr>
        <w:pStyle w:val="5"/>
        <w:spacing w:before="31" w:after="31"/>
        <w:ind w:firstLine="562"/>
      </w:pPr>
      <w:r>
        <w:rPr>
          <w:rFonts w:hint="eastAsia"/>
        </w:rPr>
        <w:t>（三）水表首次检定和周期更换</w:t>
      </w:r>
    </w:p>
    <w:p w14:paraId="0C7C7724">
      <w:pPr>
        <w:ind w:firstLine="560"/>
      </w:pPr>
      <w:r>
        <w:rPr>
          <w:rFonts w:hint="eastAsia"/>
        </w:rPr>
        <w:t>1.水表首次使用时应强制检定。</w:t>
      </w:r>
    </w:p>
    <w:p w14:paraId="111A0D4B">
      <w:pPr>
        <w:ind w:firstLine="560"/>
      </w:pPr>
      <w:r>
        <w:rPr>
          <w:rFonts w:hint="eastAsia"/>
        </w:rPr>
        <w:t>2.根据水表周检年限制定年度周检计划并组织更换到期水表。</w:t>
      </w:r>
    </w:p>
    <w:p w14:paraId="03925E8E">
      <w:pPr>
        <w:ind w:firstLine="560"/>
      </w:pPr>
      <w:r>
        <w:rPr>
          <w:rFonts w:hint="eastAsia"/>
        </w:rPr>
        <w:t>3.消防用水表，可采用现场通水检查水表运行状态的方式替代周检，发现故障更换。</w:t>
      </w:r>
    </w:p>
    <w:p w14:paraId="5E748857">
      <w:pPr>
        <w:ind w:firstLine="560"/>
      </w:pPr>
      <w:r>
        <w:rPr>
          <w:rFonts w:hint="eastAsia"/>
        </w:rPr>
        <w:t>超过周检年限未检仍在使用的水表，用户因水表计量问题提出异议时，若经检测水表计量过快，计算退费时间应追溯到水表应更换时间但最长不超过12个月；若经检测水表计量过慢，不得要求用户补交水费。</w:t>
      </w:r>
    </w:p>
    <w:p w14:paraId="2FF141F0">
      <w:pPr>
        <w:pStyle w:val="4"/>
        <w:spacing w:before="93" w:after="31"/>
      </w:pPr>
      <w:bookmarkStart w:id="10606" w:name="_Toc20141"/>
      <w:bookmarkStart w:id="10607" w:name="_Toc9407"/>
      <w:bookmarkStart w:id="10608" w:name="_Toc2110"/>
      <w:bookmarkStart w:id="10609" w:name="_Toc20505"/>
      <w:r>
        <w:rPr>
          <w:rFonts w:hint="eastAsia"/>
        </w:rPr>
        <w:t>四、现场服务规范</w:t>
      </w:r>
      <w:bookmarkEnd w:id="10606"/>
      <w:bookmarkEnd w:id="10607"/>
      <w:bookmarkEnd w:id="10608"/>
      <w:bookmarkEnd w:id="10609"/>
    </w:p>
    <w:p w14:paraId="6BE16CFF">
      <w:pPr>
        <w:pStyle w:val="5"/>
        <w:spacing w:before="31" w:after="31"/>
        <w:ind w:firstLine="562"/>
      </w:pPr>
      <w:r>
        <w:rPr>
          <w:rFonts w:hint="eastAsia"/>
        </w:rPr>
        <w:t>（一）基本服务要求</w:t>
      </w:r>
    </w:p>
    <w:p w14:paraId="558EC0E2">
      <w:pPr>
        <w:ind w:firstLine="560"/>
      </w:pPr>
      <w:r>
        <w:rPr>
          <w:rFonts w:hint="eastAsia"/>
        </w:rPr>
        <w:t>1.现场服务前，应与用户预约时间，讲明工作内容和工作地点，请用户予以配合。如按约上门用户不在，应设法告知用户。如需改期的，应及时向用户说明情况并取得用户理解。</w:t>
      </w:r>
    </w:p>
    <w:p w14:paraId="2C6BD9A4">
      <w:pPr>
        <w:ind w:firstLine="560"/>
      </w:pPr>
      <w:r>
        <w:rPr>
          <w:rFonts w:hint="eastAsia"/>
        </w:rPr>
        <w:t>2.进入现场工作时，应主动出示工作证件，同时自我介绍，举止文明，并遵守用户内部有关规章制度，不打扰用户的正常工作或生活。如确有影响，应向用户耐心解释并致歉。</w:t>
      </w:r>
    </w:p>
    <w:p w14:paraId="4BEBFE51">
      <w:pPr>
        <w:ind w:firstLine="560"/>
      </w:pPr>
      <w:r>
        <w:rPr>
          <w:rFonts w:hint="eastAsia"/>
        </w:rPr>
        <w:t>3.需要进入居民室内时，应先按门铃或轻轻敲门，主动向用户表明身份及来意，征得同意后，方可入内。</w:t>
      </w:r>
    </w:p>
    <w:p w14:paraId="55767A25">
      <w:pPr>
        <w:ind w:firstLine="560"/>
      </w:pPr>
      <w:r>
        <w:rPr>
          <w:rFonts w:hint="eastAsia"/>
        </w:rPr>
        <w:t>4.现场工作时，应携带必备的工具和材料，摆放整齐。使用工具或材料时，应轻放有序。如需借用用户物品，应征得用户同意，用完后完好归还并致谢。</w:t>
      </w:r>
    </w:p>
    <w:p w14:paraId="15210F9A">
      <w:pPr>
        <w:ind w:firstLine="560"/>
      </w:pPr>
      <w:r>
        <w:rPr>
          <w:rFonts w:hint="eastAsia"/>
        </w:rPr>
        <w:t>5.如在工作中损坏了用户原有设施，应尽量恢复原状或等价赔偿。</w:t>
      </w:r>
    </w:p>
    <w:p w14:paraId="5AA08578">
      <w:pPr>
        <w:ind w:firstLine="560"/>
      </w:pPr>
      <w:r>
        <w:rPr>
          <w:rFonts w:hint="eastAsia"/>
        </w:rPr>
        <w:t>6.现场工作不使用用户的电话，不办理与工作无关的事宜，不在用户处就餐。</w:t>
      </w:r>
    </w:p>
    <w:p w14:paraId="7887FD32">
      <w:pPr>
        <w:ind w:firstLine="560"/>
      </w:pPr>
      <w:r>
        <w:rPr>
          <w:rFonts w:hint="eastAsia"/>
        </w:rPr>
        <w:t>7.现场工作结束后，应立即清扫，并将泥沙等施工垃圾外运或装袋带走，不能留有废料和污迹，做到设备、场地清洁。同时，应向用户交待有关注意事项，主动征求用户意见，开具工作单据，请用户签字确认，并礼貌向用户道别。</w:t>
      </w:r>
    </w:p>
    <w:p w14:paraId="2DE36FF9">
      <w:pPr>
        <w:ind w:firstLine="560"/>
      </w:pPr>
      <w:r>
        <w:rPr>
          <w:rFonts w:hint="eastAsia"/>
        </w:rPr>
        <w:t>8.在公共场所施工时，施工人员进入施工现场必须统一戴安全帽，穿工作服，佩戴工号牌；应事先研制安全措施，悬挂施工单位标志和安全标志，并配有礼貌用语。在道路两旁施工时，应在恰当位置摆放醒目的告示牌。</w:t>
      </w:r>
    </w:p>
    <w:p w14:paraId="53FEA54C">
      <w:pPr>
        <w:pStyle w:val="5"/>
        <w:spacing w:before="31" w:after="31"/>
        <w:ind w:firstLine="562"/>
      </w:pPr>
      <w:r>
        <w:rPr>
          <w:rFonts w:hint="eastAsia"/>
        </w:rPr>
        <w:t>（二）接装水、施工和检修</w:t>
      </w:r>
    </w:p>
    <w:p w14:paraId="324DD9CD">
      <w:pPr>
        <w:ind w:firstLine="560"/>
      </w:pPr>
      <w:r>
        <w:rPr>
          <w:rFonts w:hint="eastAsia"/>
        </w:rPr>
        <w:t>1.现场操作应以安全供水、减少停水为原则。如需计划性停水或降低水压，应提前24小时通知受影响的用户，并按时恢复供水。停水或降压超时应再次通知用户。紧急断水应及时通知重要用户，同时通知有关部门做好解释工作。</w:t>
      </w:r>
    </w:p>
    <w:p w14:paraId="372AA403">
      <w:pPr>
        <w:ind w:firstLine="560"/>
      </w:pPr>
      <w:r>
        <w:rPr>
          <w:rFonts w:hint="eastAsia"/>
        </w:rPr>
        <w:t>2.管道安装工程要挂牌施工，应注明施工路段、工期、施工单位、施工负责人和监督电话。</w:t>
      </w:r>
    </w:p>
    <w:p w14:paraId="5F366D11">
      <w:pPr>
        <w:ind w:firstLine="560"/>
      </w:pPr>
      <w:r>
        <w:rPr>
          <w:rFonts w:hint="eastAsia"/>
        </w:rPr>
        <w:t>3.施工场地应与车辆、行人分隔，设安全护栏，夜间应设警示灯，确保安全。</w:t>
      </w:r>
    </w:p>
    <w:p w14:paraId="78A72C40">
      <w:pPr>
        <w:ind w:firstLine="560"/>
      </w:pPr>
      <w:r>
        <w:rPr>
          <w:rFonts w:hint="eastAsia"/>
        </w:rPr>
        <w:t>4.施工要便民。穿越路口应放置过道板，土方堆放、沟内排水要按规定处理。现场工作应把使用工具摆放在合适位置，明显设置现场维修标识。</w:t>
      </w:r>
    </w:p>
    <w:p w14:paraId="0EC86AE9">
      <w:pPr>
        <w:ind w:firstLine="560"/>
      </w:pPr>
      <w:r>
        <w:rPr>
          <w:rFonts w:hint="eastAsia"/>
        </w:rPr>
        <w:t>5.现场工作时应携带必备的、性能良好的工具和足够数量的配件材料。</w:t>
      </w:r>
    </w:p>
    <w:p w14:paraId="4725633D">
      <w:pPr>
        <w:ind w:firstLine="560"/>
      </w:pPr>
      <w:r>
        <w:rPr>
          <w:rFonts w:hint="eastAsia"/>
        </w:rPr>
        <w:t>6.保持车辆清洁，车辆停放尽量避免妨碍交通和用户的正常活动。</w:t>
      </w:r>
    </w:p>
    <w:p w14:paraId="235ECF73">
      <w:pPr>
        <w:ind w:firstLine="560"/>
      </w:pPr>
      <w:r>
        <w:rPr>
          <w:rFonts w:hint="eastAsia"/>
        </w:rPr>
        <w:t>7.应及时将现场检查和检修的情况告知用户，必要时请用户予以配合。</w:t>
      </w:r>
    </w:p>
    <w:p w14:paraId="0FAEE972">
      <w:pPr>
        <w:ind w:firstLine="560"/>
      </w:pPr>
      <w:r>
        <w:rPr>
          <w:rFonts w:hint="eastAsia"/>
        </w:rPr>
        <w:t>8.施工期间要注意保护其他地下设施，施工后做到工完、料尽、场地清。</w:t>
      </w:r>
    </w:p>
    <w:p w14:paraId="66518BE4">
      <w:pPr>
        <w:pStyle w:val="5"/>
        <w:spacing w:before="31" w:after="31"/>
        <w:ind w:firstLine="562"/>
      </w:pPr>
      <w:r>
        <w:rPr>
          <w:rFonts w:hint="eastAsia"/>
        </w:rPr>
        <w:t>（三）供水故障维修、抢修</w:t>
      </w:r>
    </w:p>
    <w:p w14:paraId="4349D353">
      <w:pPr>
        <w:ind w:firstLine="560"/>
      </w:pPr>
      <w:r>
        <w:rPr>
          <w:rFonts w:hint="eastAsia"/>
        </w:rPr>
        <w:t>1.接到用户报修电话后，用户无水或者漏水难以控制的：城区60分钟内，城郊120分钟内到达现场,24小时内予以修复；其它不影响基本生活用水报修的：24小时内安排修复。</w:t>
      </w:r>
    </w:p>
    <w:p w14:paraId="400E26E2">
      <w:pPr>
        <w:ind w:firstLine="560"/>
      </w:pPr>
      <w:r>
        <w:rPr>
          <w:rFonts w:hint="eastAsia"/>
        </w:rPr>
        <w:t>2.爆管事故应根据《供水管网抢修应急预案》的要求执行。发现属非我司管理的管网漏水，应告知有关管理部门尽快维修。</w:t>
      </w:r>
    </w:p>
    <w:p w14:paraId="61353D8C">
      <w:pPr>
        <w:ind w:firstLine="560"/>
      </w:pPr>
      <w:r>
        <w:rPr>
          <w:rFonts w:hint="eastAsia"/>
        </w:rPr>
        <w:t>3.小修时，如因用户原因造成无法修理，应向用户说明或与用户再行约定。因天气等特殊原因不能在规定时间内到达故障现场的，应向用户做好解释工作，并尽快安排抢修工作。</w:t>
      </w:r>
    </w:p>
    <w:p w14:paraId="769426A0">
      <w:pPr>
        <w:ind w:firstLine="560"/>
      </w:pPr>
      <w:r>
        <w:rPr>
          <w:rFonts w:hint="eastAsia"/>
        </w:rPr>
        <w:t>4.维修操作应符合相关管网维修操作规程和安全操作规程，维修质量合格。带水操作应征得用户同意。</w:t>
      </w:r>
    </w:p>
    <w:p w14:paraId="0FF3C938">
      <w:pPr>
        <w:ind w:firstLine="560"/>
      </w:pPr>
      <w:r>
        <w:rPr>
          <w:rFonts w:hint="eastAsia"/>
        </w:rPr>
        <w:t>5.故障处理完毕,用户用水正常后，主动征求用户意见，有条件时开具工作单据，请用户签字确认，并将故障处理结果及时反馈至相关部门。</w:t>
      </w:r>
    </w:p>
    <w:p w14:paraId="57D1AD79">
      <w:pPr>
        <w:pStyle w:val="5"/>
        <w:spacing w:before="31" w:after="31"/>
        <w:ind w:firstLine="562"/>
      </w:pPr>
      <w:r>
        <w:rPr>
          <w:rFonts w:hint="eastAsia"/>
        </w:rPr>
        <w:t>（四）勘察设计</w:t>
      </w:r>
    </w:p>
    <w:p w14:paraId="773FF55D">
      <w:pPr>
        <w:ind w:firstLine="560"/>
      </w:pPr>
      <w:r>
        <w:rPr>
          <w:rFonts w:hint="eastAsia"/>
        </w:rPr>
        <w:t>1.对符合规定、手续齐全的报装用户应及时按程序、时限、尽快办理。</w:t>
      </w:r>
    </w:p>
    <w:p w14:paraId="34365386">
      <w:pPr>
        <w:ind w:firstLine="560"/>
      </w:pPr>
      <w:r>
        <w:rPr>
          <w:rFonts w:hint="eastAsia"/>
        </w:rPr>
        <w:t>2.勘察设计过程严格执行国家设计规范，保证设计质量，一般情况下设计变更率不得高于10%。</w:t>
      </w:r>
    </w:p>
    <w:p w14:paraId="08216E26">
      <w:pPr>
        <w:ind w:firstLine="560"/>
      </w:pPr>
      <w:r>
        <w:rPr>
          <w:rFonts w:hint="eastAsia"/>
        </w:rPr>
        <w:t>3.不符合规定和不具备供水条件的，应耐心解释，说明情况；对情况不明的应尽快了解，并在2个工作日内予以答复。</w:t>
      </w:r>
    </w:p>
    <w:p w14:paraId="409EF29A">
      <w:pPr>
        <w:ind w:firstLine="560"/>
      </w:pPr>
      <w:r>
        <w:rPr>
          <w:rFonts w:hint="eastAsia"/>
        </w:rPr>
        <w:t>4.用户报装自来水，对水表口径DN20及以下的用户，5个工作日内完成勘察设计、出具预算；大用户提供完整资料、认同设计室设计方案后，在10至20个工作日内完成图纸设计，特殊供水单位可分批出图。</w:t>
      </w:r>
    </w:p>
    <w:p w14:paraId="171D74BC">
      <w:pPr>
        <w:ind w:firstLine="560"/>
      </w:pPr>
      <w:r>
        <w:rPr>
          <w:rFonts w:hint="eastAsia"/>
        </w:rPr>
        <w:t>5.用户缴清相关费用后，一户一表散户，7个工作日内完成安装；集体用户管道工程安装，具备施工条件的，5个工作日内进场施工。施工、验收遵守国家有关技术标准和规范。</w:t>
      </w:r>
    </w:p>
    <w:p w14:paraId="59EB1779">
      <w:pPr>
        <w:ind w:firstLine="560"/>
      </w:pPr>
      <w:r>
        <w:rPr>
          <w:rFonts w:hint="eastAsia"/>
        </w:rPr>
        <w:t>6.特殊情况需更改设计方案时，应协助用户勘测设计，完成好工程设计。</w:t>
      </w:r>
    </w:p>
    <w:p w14:paraId="7D6340B6">
      <w:pPr>
        <w:ind w:firstLine="560"/>
      </w:pPr>
      <w:r>
        <w:rPr>
          <w:rFonts w:hint="eastAsia"/>
        </w:rPr>
        <w:t>7.禁止任何形式的吃、拿、卡、要和接受馈赠。</w:t>
      </w:r>
    </w:p>
    <w:p w14:paraId="0573ED89">
      <w:pPr>
        <w:pStyle w:val="5"/>
        <w:spacing w:before="31" w:after="31"/>
        <w:ind w:firstLine="562"/>
      </w:pPr>
      <w:r>
        <w:rPr>
          <w:rFonts w:hint="eastAsia"/>
        </w:rPr>
        <w:t>（五）供水监察</w:t>
      </w:r>
    </w:p>
    <w:p w14:paraId="0E16EAAF">
      <w:pPr>
        <w:ind w:firstLine="560"/>
      </w:pPr>
      <w:r>
        <w:rPr>
          <w:rFonts w:hint="eastAsia"/>
        </w:rPr>
        <w:t>1.严格执行国家的法律法规和省、市供水管理相关规定以及公司的规章制度。</w:t>
      </w:r>
    </w:p>
    <w:p w14:paraId="0C34D3B8">
      <w:pPr>
        <w:ind w:firstLine="560"/>
      </w:pPr>
      <w:r>
        <w:rPr>
          <w:rFonts w:hint="eastAsia"/>
        </w:rPr>
        <w:t>2.对违章用水行为进行检查和处理时，主动出示证件，礼貌地说明来意；检查时，要爱护用户设备、设施，特殊检查要征得用户同意或履行法律程序；处理时，应告知当事人做出处理决定的事实、理由、和法律依据，并告知当事人享有投诉的权利。</w:t>
      </w:r>
    </w:p>
    <w:p w14:paraId="0303E314">
      <w:pPr>
        <w:ind w:firstLine="560"/>
      </w:pPr>
      <w:r>
        <w:rPr>
          <w:rFonts w:hint="eastAsia"/>
        </w:rPr>
        <w:t>3.对违章停水户，用户整改完成后4个小时内恢复供水。</w:t>
      </w:r>
    </w:p>
    <w:p w14:paraId="5A90C9E2">
      <w:pPr>
        <w:ind w:firstLine="560"/>
      </w:pPr>
      <w:r>
        <w:rPr>
          <w:rFonts w:hint="eastAsia"/>
        </w:rPr>
        <w:t>4.要廉洁自律，不得滥用职权减免水费或从中谋利。</w:t>
      </w:r>
    </w:p>
    <w:p w14:paraId="50DBE183">
      <w:pPr>
        <w:ind w:firstLine="560"/>
      </w:pPr>
      <w:r>
        <w:rPr>
          <w:rFonts w:hint="eastAsia"/>
        </w:rPr>
        <w:t>不得接受用户馈赠与吃请，杜绝“吃、拿、卡、要”现象发生。</w:t>
      </w:r>
    </w:p>
    <w:p w14:paraId="7E3C2ABD">
      <w:pPr>
        <w:ind w:firstLine="560"/>
      </w:pPr>
      <w:r>
        <w:br w:type="page"/>
      </w:r>
    </w:p>
    <w:p w14:paraId="532EC4B0">
      <w:pPr>
        <w:pStyle w:val="2"/>
        <w:bidi w:val="0"/>
        <w:rPr>
          <w:rFonts w:hint="eastAsia"/>
        </w:rPr>
      </w:pPr>
      <w:bookmarkStart w:id="10610" w:name="_Toc1927"/>
      <w:bookmarkStart w:id="10611" w:name="_Toc26916"/>
      <w:bookmarkStart w:id="10612" w:name="_Toc31398"/>
      <w:bookmarkStart w:id="10613" w:name="_Toc32244"/>
      <w:r>
        <w:rPr>
          <w:rFonts w:hint="eastAsia"/>
          <w:lang w:val="en-US" w:eastAsia="zh-CN"/>
        </w:rPr>
        <w:t>第六章、</w:t>
      </w:r>
      <w:r>
        <w:rPr>
          <w:rFonts w:hint="eastAsia"/>
        </w:rPr>
        <w:t>拟投入的主要施工机械设备计划</w:t>
      </w:r>
      <w:bookmarkEnd w:id="10610"/>
    </w:p>
    <w:p w14:paraId="72AD4030">
      <w:pPr>
        <w:rPr>
          <w:rFonts w:hint="default" w:eastAsia="宋体"/>
          <w:lang w:val="en-US" w:eastAsia="zh-CN"/>
        </w:rPr>
      </w:pPr>
      <w:r>
        <w:rPr>
          <w:rFonts w:hint="eastAsia"/>
          <w:lang w:val="en-US" w:eastAsia="zh-CN"/>
        </w:rPr>
        <w:t>详见附表。</w:t>
      </w:r>
    </w:p>
    <w:p w14:paraId="225D8139">
      <w:pPr>
        <w:rPr>
          <w:rFonts w:hint="eastAsia"/>
        </w:rPr>
      </w:pPr>
      <w:r>
        <w:rPr>
          <w:rFonts w:hint="eastAsia"/>
        </w:rPr>
        <w:br w:type="page"/>
      </w:r>
    </w:p>
    <w:p w14:paraId="468B1C4E">
      <w:pPr>
        <w:pStyle w:val="2"/>
        <w:bidi w:val="0"/>
        <w:rPr>
          <w:rFonts w:hint="eastAsia"/>
        </w:rPr>
      </w:pPr>
      <w:bookmarkStart w:id="10614" w:name="_Toc15411"/>
      <w:r>
        <w:rPr>
          <w:rFonts w:hint="eastAsia"/>
          <w:lang w:val="en-US" w:eastAsia="zh-CN"/>
        </w:rPr>
        <w:t>第七章、</w:t>
      </w:r>
      <w:r>
        <w:rPr>
          <w:rFonts w:hint="eastAsia"/>
        </w:rPr>
        <w:t>项目管理机构、劳动力安排计划</w:t>
      </w:r>
      <w:bookmarkEnd w:id="10614"/>
    </w:p>
    <w:p w14:paraId="77762E8E">
      <w:pPr>
        <w:rPr>
          <w:rFonts w:hint="default" w:eastAsia="宋体"/>
          <w:lang w:val="en-US" w:eastAsia="zh-CN"/>
        </w:rPr>
      </w:pPr>
      <w:r>
        <w:rPr>
          <w:rFonts w:hint="eastAsia"/>
          <w:lang w:val="en-US" w:eastAsia="zh-CN"/>
        </w:rPr>
        <w:t>详见附表。</w:t>
      </w:r>
    </w:p>
    <w:p w14:paraId="23125548">
      <w:pPr>
        <w:rPr>
          <w:rFonts w:hint="eastAsia"/>
        </w:rPr>
      </w:pPr>
    </w:p>
    <w:p w14:paraId="235836F0">
      <w:pPr>
        <w:rPr>
          <w:rFonts w:hint="eastAsia"/>
        </w:rPr>
      </w:pPr>
      <w:r>
        <w:rPr>
          <w:rFonts w:hint="eastAsia"/>
        </w:rPr>
        <w:br w:type="page"/>
      </w:r>
    </w:p>
    <w:p w14:paraId="75947DCA">
      <w:pPr>
        <w:pStyle w:val="2"/>
        <w:bidi w:val="0"/>
        <w:rPr>
          <w:rFonts w:hint="eastAsia"/>
        </w:rPr>
      </w:pPr>
      <w:bookmarkStart w:id="10615" w:name="_Toc7879"/>
      <w:r>
        <w:rPr>
          <w:rFonts w:hint="eastAsia"/>
          <w:lang w:val="en-US" w:eastAsia="zh-CN"/>
        </w:rPr>
        <w:t>第八章、</w:t>
      </w:r>
      <w:r>
        <w:rPr>
          <w:rFonts w:hint="eastAsia"/>
        </w:rPr>
        <w:t>新技术、新产品、新工艺、新材料</w:t>
      </w:r>
      <w:bookmarkEnd w:id="10615"/>
    </w:p>
    <w:p w14:paraId="42A1329F">
      <w:pPr>
        <w:rPr>
          <w:rFonts w:hint="eastAsia"/>
        </w:rPr>
      </w:pPr>
      <w:r>
        <w:rPr>
          <w:rFonts w:hint="eastAsia"/>
        </w:rPr>
        <w:t>在供水项目中，新技术、新产品、新工艺、新材料的应用对于提高供水效率、保障水质安全、降低能耗和运营成本具有重要意义。以下将分别介绍供水项目中常用的 “四新” 内容。</w:t>
      </w:r>
    </w:p>
    <w:p w14:paraId="6F70ECC1">
      <w:pPr>
        <w:pStyle w:val="3"/>
        <w:bidi w:val="0"/>
        <w:rPr>
          <w:rFonts w:hint="eastAsia"/>
        </w:rPr>
      </w:pPr>
      <w:bookmarkStart w:id="10616" w:name="_Toc3203"/>
      <w:r>
        <w:rPr>
          <w:rFonts w:hint="eastAsia"/>
          <w:lang w:val="en-US" w:eastAsia="zh-CN"/>
        </w:rPr>
        <w:t>第一节</w:t>
      </w:r>
      <w:r>
        <w:rPr>
          <w:rFonts w:hint="eastAsia"/>
        </w:rPr>
        <w:t>、新技术</w:t>
      </w:r>
      <w:bookmarkEnd w:id="10616"/>
    </w:p>
    <w:p w14:paraId="50977ACB">
      <w:pPr>
        <w:rPr>
          <w:rFonts w:hint="eastAsia"/>
        </w:rPr>
      </w:pPr>
      <w:r>
        <w:rPr>
          <w:rFonts w:hint="eastAsia"/>
        </w:rPr>
        <w:t>智慧供水管理技术</w:t>
      </w:r>
    </w:p>
    <w:p w14:paraId="18024826">
      <w:pPr>
        <w:rPr>
          <w:rFonts w:hint="eastAsia"/>
        </w:rPr>
      </w:pPr>
      <w:r>
        <w:rPr>
          <w:rFonts w:hint="eastAsia"/>
        </w:rPr>
        <w:t>基于物联网、大数据、人工智能等技术构建智慧供水系统，实现对水源取水、水处理过程、输配水管网、用户用水等全流程的实时监测和智能调控。通过在管网中安装传感器，可实时采集管网压力、流量、水质等数据，结合大数据分析，能够精准预测管网漏损位置，漏损率可降低 5%-10%；智能调度系统可根据用水负荷变化，优化水泵运行参数，实现节能 15% 以上。</w:t>
      </w:r>
    </w:p>
    <w:p w14:paraId="1D3CE5D0">
      <w:pPr>
        <w:rPr>
          <w:rFonts w:hint="eastAsia"/>
        </w:rPr>
      </w:pPr>
      <w:r>
        <w:rPr>
          <w:rFonts w:hint="eastAsia"/>
        </w:rPr>
        <w:t>应用智能水表和用户端智能终端，实现用水量自动计量、数据远程传输和水费自动结算，提高抄表效率和准确性，同时方便用户实时查询用水情况，培养节水意识。</w:t>
      </w:r>
    </w:p>
    <w:p w14:paraId="45F9072D">
      <w:pPr>
        <w:rPr>
          <w:rFonts w:hint="eastAsia"/>
        </w:rPr>
      </w:pPr>
      <w:r>
        <w:rPr>
          <w:rFonts w:hint="eastAsia"/>
        </w:rPr>
        <w:t>水质深度处理技术</w:t>
      </w:r>
    </w:p>
    <w:p w14:paraId="2452E577">
      <w:pPr>
        <w:rPr>
          <w:rFonts w:hint="eastAsia"/>
        </w:rPr>
      </w:pPr>
      <w:r>
        <w:rPr>
          <w:rFonts w:hint="eastAsia"/>
        </w:rPr>
        <w:t>膜分离技术，如超滤、纳滤、反渗透等，作为深度处理技术在供水项目中应用广泛。超滤技术能有效去除水中的悬浮物、胶体、细菌、病毒等杂质，出水水质稳定，浊度可控制在 0.1NTU 以下；纳滤技术可去除水中的有机物、重金属离子和部分无机盐，适用于水质较差的水源处理；反渗透技术则能几乎去除水中所有的污染物，常用于高纯度水制备或苦咸水淡化。</w:t>
      </w:r>
    </w:p>
    <w:p w14:paraId="580B3F8A">
      <w:pPr>
        <w:rPr>
          <w:rFonts w:hint="eastAsia"/>
        </w:rPr>
      </w:pPr>
      <w:r>
        <w:rPr>
          <w:rFonts w:hint="eastAsia"/>
        </w:rPr>
        <w:t>高级氧化技术，包括臭氧氧化、紫外光氧化、芬顿氧化等，可有效降解水中的难降解有机物、消毒副产物前体物等，提高饮用水的安全性。例如，臭氧 - 生物活性炭联用技术，先利用臭氧氧化分解水中的有机物，再通过生物活性炭吸附和生物降解作用进一步净化水质，处理效果显著。</w:t>
      </w:r>
    </w:p>
    <w:p w14:paraId="7FFE8F29">
      <w:pPr>
        <w:rPr>
          <w:rFonts w:hint="eastAsia"/>
        </w:rPr>
      </w:pPr>
      <w:r>
        <w:rPr>
          <w:rFonts w:hint="eastAsia"/>
        </w:rPr>
        <w:t>节能降耗技术</w:t>
      </w:r>
    </w:p>
    <w:p w14:paraId="43045DC7">
      <w:pPr>
        <w:rPr>
          <w:rFonts w:hint="eastAsia"/>
        </w:rPr>
      </w:pPr>
      <w:r>
        <w:rPr>
          <w:rFonts w:hint="eastAsia"/>
        </w:rPr>
        <w:t>水泵变频调速技术，根据管网用水量的变化自动调节水泵转速，使水泵始终在高效工况下运行，避免了传统定速水泵在低负荷时的能源浪费，可节约电能 20%-30%。</w:t>
      </w:r>
    </w:p>
    <w:p w14:paraId="18FDB531">
      <w:pPr>
        <w:rPr>
          <w:rFonts w:hint="eastAsia"/>
        </w:rPr>
      </w:pPr>
      <w:r>
        <w:rPr>
          <w:rFonts w:hint="eastAsia"/>
        </w:rPr>
        <w:t>水力活塞泵和射流泵等新型提水设备，适用于深井取水，具有效率高、能耗低、运行可靠等特点，尤其在水资源分布较深的地区应用优势明显。</w:t>
      </w:r>
    </w:p>
    <w:p w14:paraId="5907A25B">
      <w:pPr>
        <w:pStyle w:val="3"/>
        <w:bidi w:val="0"/>
        <w:rPr>
          <w:rFonts w:hint="eastAsia"/>
        </w:rPr>
      </w:pPr>
      <w:bookmarkStart w:id="10617" w:name="_Toc6797"/>
      <w:r>
        <w:rPr>
          <w:rFonts w:hint="eastAsia"/>
          <w:lang w:val="en-US" w:eastAsia="zh-CN"/>
        </w:rPr>
        <w:t>第二节</w:t>
      </w:r>
      <w:r>
        <w:rPr>
          <w:rFonts w:hint="eastAsia"/>
        </w:rPr>
        <w:t>、新产品</w:t>
      </w:r>
      <w:bookmarkEnd w:id="10617"/>
    </w:p>
    <w:p w14:paraId="0A7EC4CD">
      <w:pPr>
        <w:rPr>
          <w:rFonts w:hint="eastAsia"/>
        </w:rPr>
      </w:pPr>
      <w:r>
        <w:rPr>
          <w:rFonts w:hint="eastAsia"/>
        </w:rPr>
        <w:t>智能水处理设备</w:t>
      </w:r>
    </w:p>
    <w:p w14:paraId="46335513">
      <w:pPr>
        <w:rPr>
          <w:rFonts w:hint="eastAsia"/>
        </w:rPr>
      </w:pPr>
      <w:r>
        <w:rPr>
          <w:rFonts w:hint="eastAsia"/>
        </w:rPr>
        <w:t>全自动净水器，集混凝、沉淀、过滤等功能于一体，采用智能控制系统实现自动投药、自动反冲洗等操作，减少人工干预，提高处理效率和水质稳定性，适用于中小型供水项目。</w:t>
      </w:r>
    </w:p>
    <w:p w14:paraId="16F52922">
      <w:pPr>
        <w:rPr>
          <w:rFonts w:hint="eastAsia"/>
        </w:rPr>
      </w:pPr>
      <w:r>
        <w:rPr>
          <w:rFonts w:hint="eastAsia"/>
        </w:rPr>
        <w:t>紫外线消毒设备，采用高强度紫外线灯管，具有杀菌效率高、无二次污染、运行成本低等优点，可替代传统的氯消毒，尤其适用于对消毒副产物有严格要求的供水项目。</w:t>
      </w:r>
    </w:p>
    <w:p w14:paraId="7250AAA7">
      <w:pPr>
        <w:rPr>
          <w:rFonts w:hint="eastAsia"/>
        </w:rPr>
      </w:pPr>
      <w:r>
        <w:rPr>
          <w:rFonts w:hint="eastAsia"/>
        </w:rPr>
        <w:t>新型管材及配件</w:t>
      </w:r>
    </w:p>
    <w:p w14:paraId="1C73606E">
      <w:pPr>
        <w:rPr>
          <w:rFonts w:hint="eastAsia"/>
        </w:rPr>
      </w:pPr>
      <w:r>
        <w:rPr>
          <w:rFonts w:hint="eastAsia"/>
        </w:rPr>
        <w:t>高性能塑料管材，如高密度聚乙烯（HDPE）管、聚丙烯（PP）管等，具有耐腐蚀、重量轻、柔韧性好、安装方便等特点，使用寿命可达 50 年以上，逐渐替代传统的钢管和铸铁管，在输配水管网中得到广泛应用。</w:t>
      </w:r>
    </w:p>
    <w:p w14:paraId="08F6D48E">
      <w:pPr>
        <w:rPr>
          <w:rFonts w:hint="eastAsia"/>
        </w:rPr>
      </w:pPr>
      <w:r>
        <w:rPr>
          <w:rFonts w:hint="eastAsia"/>
        </w:rPr>
        <w:t>智能阀门，如电动调节阀门、电磁流量控制阀等，可通过远程控制系统实现阀门的开启度调节和流量控制，提高管网的水力工况调节精度，便于实现管网的优化运行。</w:t>
      </w:r>
    </w:p>
    <w:p w14:paraId="076D029C">
      <w:pPr>
        <w:rPr>
          <w:rFonts w:hint="eastAsia"/>
        </w:rPr>
      </w:pPr>
      <w:r>
        <w:rPr>
          <w:rFonts w:hint="eastAsia"/>
        </w:rPr>
        <w:t>水质监测仪器</w:t>
      </w:r>
    </w:p>
    <w:p w14:paraId="4078F77F">
      <w:pPr>
        <w:rPr>
          <w:rFonts w:hint="eastAsia"/>
        </w:rPr>
      </w:pPr>
      <w:r>
        <w:rPr>
          <w:rFonts w:hint="eastAsia"/>
        </w:rPr>
        <w:t>在线水质监测仪，可实时监测水中的 pH 值、浊度、余氯、溶解氧、有机物等指标，并将数据传输至控制中心，及时发现水质异常情况，为水质调控提供依据。</w:t>
      </w:r>
    </w:p>
    <w:p w14:paraId="4D8B917E">
      <w:pPr>
        <w:rPr>
          <w:rFonts w:hint="eastAsia"/>
        </w:rPr>
      </w:pPr>
      <w:r>
        <w:rPr>
          <w:rFonts w:hint="eastAsia"/>
        </w:rPr>
        <w:t>便携式水质检测仪，体积小、重量轻、检测速度快，适用于现场水质快速检测，方便工作人员对水源水、出厂水、管网水进行随机抽检。</w:t>
      </w:r>
    </w:p>
    <w:p w14:paraId="3728C672">
      <w:pPr>
        <w:pStyle w:val="3"/>
        <w:bidi w:val="0"/>
        <w:rPr>
          <w:rFonts w:hint="eastAsia"/>
        </w:rPr>
      </w:pPr>
      <w:bookmarkStart w:id="10618" w:name="_Toc30618"/>
      <w:r>
        <w:rPr>
          <w:rFonts w:hint="eastAsia"/>
          <w:lang w:val="en-US" w:eastAsia="zh-CN"/>
        </w:rPr>
        <w:t>第三节</w:t>
      </w:r>
      <w:r>
        <w:rPr>
          <w:rFonts w:hint="eastAsia"/>
        </w:rPr>
        <w:t>、新工艺</w:t>
      </w:r>
      <w:bookmarkEnd w:id="10618"/>
    </w:p>
    <w:p w14:paraId="76428286">
      <w:pPr>
        <w:rPr>
          <w:rFonts w:hint="eastAsia"/>
        </w:rPr>
      </w:pPr>
      <w:r>
        <w:rPr>
          <w:rFonts w:hint="eastAsia"/>
        </w:rPr>
        <w:t>水处理新工艺</w:t>
      </w:r>
    </w:p>
    <w:p w14:paraId="2C6334EE">
      <w:pPr>
        <w:rPr>
          <w:rFonts w:hint="eastAsia"/>
        </w:rPr>
      </w:pPr>
      <w:r>
        <w:rPr>
          <w:rFonts w:hint="eastAsia"/>
        </w:rPr>
        <w:t>低温低浊水处理工艺，针对冬季或低温地区水源水浊度低、混凝效果差的问题，采用投加新型混凝剂、优化混合反应条件等措施，提高混凝沉淀效果，保证出水水质。</w:t>
      </w:r>
    </w:p>
    <w:p w14:paraId="06407228">
      <w:pPr>
        <w:rPr>
          <w:rFonts w:hint="eastAsia"/>
        </w:rPr>
      </w:pPr>
      <w:r>
        <w:rPr>
          <w:rFonts w:hint="eastAsia"/>
        </w:rPr>
        <w:t>高藻水处理工艺，通过预氧化、气浮分离、活性炭吸附等组合工艺，有效去除水中的藻类及藻类代谢产物，避免藻类繁殖对水质造成的影响和处理设备的堵塞。</w:t>
      </w:r>
    </w:p>
    <w:p w14:paraId="2D1760D0">
      <w:pPr>
        <w:rPr>
          <w:rFonts w:hint="eastAsia"/>
        </w:rPr>
      </w:pPr>
      <w:r>
        <w:rPr>
          <w:rFonts w:hint="eastAsia"/>
        </w:rPr>
        <w:t>管道施工新工艺</w:t>
      </w:r>
    </w:p>
    <w:p w14:paraId="3AB41477">
      <w:pPr>
        <w:rPr>
          <w:rFonts w:hint="eastAsia"/>
        </w:rPr>
      </w:pPr>
      <w:r>
        <w:rPr>
          <w:rFonts w:hint="eastAsia"/>
        </w:rPr>
        <w:t>非开挖管道敷设工艺，如水平定向钻、顶管技术等，无需开挖路面，减少对交通和周边环境的影响，施工效率高，尤其适用于城市建成区和穿越河流、铁路等复杂地段的管网施工。</w:t>
      </w:r>
    </w:p>
    <w:p w14:paraId="3AC42E59">
      <w:pPr>
        <w:rPr>
          <w:rFonts w:hint="eastAsia"/>
        </w:rPr>
      </w:pPr>
      <w:r>
        <w:rPr>
          <w:rFonts w:hint="eastAsia"/>
        </w:rPr>
        <w:t>管道内衬修复工艺，采用树脂固化、软管翻转等技术，对老旧管道进行内衬修复，恢复管道的输水能力和耐腐蚀性，延长管道使用寿命，避免了传统开挖更换管道的大量土方工程和费用。</w:t>
      </w:r>
    </w:p>
    <w:p w14:paraId="55506836">
      <w:pPr>
        <w:rPr>
          <w:rFonts w:hint="eastAsia"/>
        </w:rPr>
      </w:pPr>
      <w:r>
        <w:rPr>
          <w:rFonts w:hint="eastAsia"/>
        </w:rPr>
        <w:t>水厂自动化控制工艺</w:t>
      </w:r>
    </w:p>
    <w:p w14:paraId="7495FA49">
      <w:pPr>
        <w:rPr>
          <w:rFonts w:hint="eastAsia"/>
        </w:rPr>
      </w:pPr>
      <w:r>
        <w:rPr>
          <w:rFonts w:hint="eastAsia"/>
        </w:rPr>
        <w:t>采用分布式控制系统（DCS）或可编程逻辑控制器（PLC）对水厂的水处理过程进行自动化控制，实现对投药、过滤、消毒等环节的精准调控，提高水厂的运行稳定性和管理水平，减少人为操作误差。</w:t>
      </w:r>
    </w:p>
    <w:p w14:paraId="2C7E2007">
      <w:pPr>
        <w:pStyle w:val="3"/>
        <w:bidi w:val="0"/>
        <w:rPr>
          <w:rFonts w:hint="eastAsia"/>
        </w:rPr>
      </w:pPr>
      <w:bookmarkStart w:id="10619" w:name="_Toc11313"/>
      <w:r>
        <w:rPr>
          <w:rFonts w:hint="eastAsia"/>
          <w:lang w:val="en-US" w:eastAsia="zh-CN"/>
        </w:rPr>
        <w:t>第四节</w:t>
      </w:r>
      <w:r>
        <w:rPr>
          <w:rFonts w:hint="eastAsia"/>
        </w:rPr>
        <w:t>、新材料</w:t>
      </w:r>
      <w:bookmarkEnd w:id="10619"/>
    </w:p>
    <w:p w14:paraId="257D7DEB">
      <w:pPr>
        <w:bidi w:val="0"/>
        <w:rPr>
          <w:rFonts w:hint="eastAsia"/>
        </w:rPr>
      </w:pPr>
      <w:r>
        <w:rPr>
          <w:rFonts w:hint="eastAsia"/>
        </w:rPr>
        <w:t>新型混凝剂和絮凝剂</w:t>
      </w:r>
    </w:p>
    <w:p w14:paraId="193A1F9D">
      <w:pPr>
        <w:bidi w:val="0"/>
        <w:rPr>
          <w:rFonts w:hint="eastAsia"/>
        </w:rPr>
      </w:pPr>
      <w:r>
        <w:rPr>
          <w:rFonts w:hint="eastAsia"/>
        </w:rPr>
        <w:t>聚合氯化铝铁（PAFC）、聚合硫酸铁（PFS）等新型无机高分子混凝剂，具有混凝效果好、用量少、污泥产生量少等优点，适用于不同水质的水源处理。</w:t>
      </w:r>
    </w:p>
    <w:p w14:paraId="4DA024A8">
      <w:pPr>
        <w:bidi w:val="0"/>
        <w:rPr>
          <w:rFonts w:hint="eastAsia"/>
        </w:rPr>
      </w:pPr>
      <w:r>
        <w:rPr>
          <w:rFonts w:hint="eastAsia"/>
        </w:rPr>
        <w:t>聚丙烯酰胺（PAM）等有机高分子絮凝剂，分子量大、吸附能力强，可与无机混凝剂配合使用，提高絮凝效果，加快沉淀速度。</w:t>
      </w:r>
    </w:p>
    <w:p w14:paraId="6DD3F88F">
      <w:pPr>
        <w:bidi w:val="0"/>
        <w:rPr>
          <w:rFonts w:hint="eastAsia"/>
        </w:rPr>
      </w:pPr>
      <w:r>
        <w:rPr>
          <w:rFonts w:hint="eastAsia"/>
        </w:rPr>
        <w:t>新型滤料</w:t>
      </w:r>
    </w:p>
    <w:p w14:paraId="05B5553C">
      <w:pPr>
        <w:bidi w:val="0"/>
        <w:rPr>
          <w:rFonts w:hint="eastAsia"/>
        </w:rPr>
      </w:pPr>
      <w:r>
        <w:rPr>
          <w:rFonts w:hint="eastAsia"/>
        </w:rPr>
        <w:t>改性石英砂滤料，通过对石英砂表面进行改性处理，提高其对水中有机物、重金属离子等的吸附能力，过滤效果优于传统石英砂滤料。</w:t>
      </w:r>
    </w:p>
    <w:p w14:paraId="5BF939B0">
      <w:pPr>
        <w:bidi w:val="0"/>
        <w:rPr>
          <w:rFonts w:hint="eastAsia"/>
        </w:rPr>
      </w:pPr>
      <w:r>
        <w:rPr>
          <w:rFonts w:hint="eastAsia"/>
        </w:rPr>
        <w:t>活性炭纤维滤料，具有比表面积大、吸附性能好、再生容易等特点，可有效去除水中的有机物、异味、色度等，在深度处理中发挥重要作用。</w:t>
      </w:r>
    </w:p>
    <w:p w14:paraId="697E553E">
      <w:pPr>
        <w:bidi w:val="0"/>
        <w:rPr>
          <w:rFonts w:hint="eastAsia"/>
        </w:rPr>
      </w:pPr>
      <w:r>
        <w:rPr>
          <w:rFonts w:hint="eastAsia"/>
        </w:rPr>
        <w:t>防腐材料</w:t>
      </w:r>
    </w:p>
    <w:p w14:paraId="64673B31">
      <w:pPr>
        <w:bidi w:val="0"/>
        <w:rPr>
          <w:rFonts w:hint="eastAsia"/>
        </w:rPr>
      </w:pPr>
      <w:r>
        <w:rPr>
          <w:rFonts w:hint="eastAsia"/>
        </w:rPr>
        <w:t>环氧粉末涂层、聚乙烯涂层等新型防腐材料，用于钢管、铸铁管等金属管道的内外防腐处理，具有防腐性能好、附着力强、使用寿命长等优点，可有效减少管道的腐蚀和泄漏。</w:t>
      </w:r>
    </w:p>
    <w:p w14:paraId="28F24342">
      <w:pPr>
        <w:bidi w:val="0"/>
        <w:rPr>
          <w:rFonts w:hint="eastAsia"/>
        </w:rPr>
      </w:pPr>
      <w:r>
        <w:rPr>
          <w:rFonts w:hint="eastAsia"/>
        </w:rPr>
        <w:t>混凝土防腐涂料，用于水处理构筑物的内壁防腐，抵抗水中腐蚀性物质的侵蚀，延长构筑物的使用寿命。</w:t>
      </w:r>
    </w:p>
    <w:p w14:paraId="5F94EF79">
      <w:pPr>
        <w:rPr>
          <w:rFonts w:hint="eastAsia"/>
        </w:rPr>
      </w:pPr>
    </w:p>
    <w:p w14:paraId="78A2EBA8">
      <w:pPr>
        <w:rPr>
          <w:rFonts w:hint="eastAsia"/>
        </w:rPr>
      </w:pPr>
      <w:r>
        <w:rPr>
          <w:rFonts w:hint="eastAsia"/>
        </w:rPr>
        <w:br w:type="page"/>
      </w:r>
    </w:p>
    <w:p w14:paraId="5E598369">
      <w:pPr>
        <w:pStyle w:val="2"/>
        <w:bidi w:val="0"/>
        <w:rPr>
          <w:rFonts w:hint="eastAsia"/>
        </w:rPr>
      </w:pPr>
      <w:bookmarkStart w:id="10620" w:name="_Toc31522"/>
      <w:r>
        <w:rPr>
          <w:rFonts w:hint="eastAsia"/>
          <w:lang w:val="en-US" w:eastAsia="zh-CN"/>
        </w:rPr>
        <w:t>第九章、</w:t>
      </w:r>
      <w:r>
        <w:rPr>
          <w:rFonts w:hint="eastAsia"/>
        </w:rPr>
        <w:t>建筑信息模型（BIM）技术</w:t>
      </w:r>
      <w:bookmarkEnd w:id="10620"/>
    </w:p>
    <w:p w14:paraId="09FBD522">
      <w:pPr>
        <w:rPr>
          <w:rFonts w:hint="eastAsia"/>
        </w:rPr>
      </w:pPr>
      <w:r>
        <w:rPr>
          <w:rFonts w:hint="eastAsia"/>
        </w:rPr>
        <w:t>建筑信息模型（BIM）技术作为一种集成化的数字化管理工具，在供水项目中能实现从设计、施工到运营全生命周期的信息共享与协同管理，有效提升项目的精细化管理水平。以下从应用价值、各阶段应用要点及实施保障等方面，详细介绍 BIM 技术在供水项目中的应用。</w:t>
      </w:r>
    </w:p>
    <w:p w14:paraId="6A6646A1">
      <w:pPr>
        <w:pStyle w:val="3"/>
        <w:bidi w:val="0"/>
        <w:rPr>
          <w:rFonts w:hint="eastAsia"/>
        </w:rPr>
      </w:pPr>
      <w:bookmarkStart w:id="10621" w:name="_Toc8240"/>
      <w:r>
        <w:rPr>
          <w:rFonts w:hint="eastAsia"/>
          <w:lang w:val="en-US" w:eastAsia="zh-CN"/>
        </w:rPr>
        <w:t>第一节</w:t>
      </w:r>
      <w:r>
        <w:rPr>
          <w:rFonts w:hint="eastAsia"/>
        </w:rPr>
        <w:t>、应用价值</w:t>
      </w:r>
      <w:bookmarkEnd w:id="10621"/>
    </w:p>
    <w:p w14:paraId="45A539D3">
      <w:pPr>
        <w:rPr>
          <w:rFonts w:hint="eastAsia"/>
        </w:rPr>
      </w:pPr>
      <w:r>
        <w:rPr>
          <w:rFonts w:hint="eastAsia"/>
        </w:rPr>
        <w:t>提升设计精度：供水项目包含取水构筑物、水处理厂、输配水管网等复杂设施，各专业间（如工艺、结构、电气、自控）的协同设计至关重要。BIM 技术通过构建三维模型，可直观呈现各构件的空间关系，提前发现设计冲突（如管道与结构梁碰撞、设备与管线布局矛盾），减少设计变更，据统计，采用 BIM 技术可使设计阶段的错漏碰缺率降低 60% 以上。</w:t>
      </w:r>
    </w:p>
    <w:p w14:paraId="00C5C1C8">
      <w:pPr>
        <w:rPr>
          <w:rFonts w:hint="eastAsia"/>
        </w:rPr>
      </w:pPr>
      <w:r>
        <w:rPr>
          <w:rFonts w:hint="eastAsia"/>
        </w:rPr>
        <w:t>优化施工管理：基于 BIM 模型的施工模拟，能对施工流程进行可视化推演，合理规划施工顺序（如水处理池体的浇筑顺序、管网的分段施工方案），优化资源配置（如机械调度、材料堆放），避免交叉作业干扰，缩短施工周期。同时，通过模型与现场进度的比对，可实时监控施工进度偏差，及时调整计划。</w:t>
      </w:r>
    </w:p>
    <w:p w14:paraId="048920A3">
      <w:pPr>
        <w:rPr>
          <w:rFonts w:hint="eastAsia"/>
        </w:rPr>
      </w:pPr>
      <w:r>
        <w:rPr>
          <w:rFonts w:hint="eastAsia"/>
        </w:rPr>
        <w:t>强化成本控制：BIM 模型集成了工程量、材料规格、价格等信息，能快速生成准确的工程量清单和造价预算，提高成本估算精度。施工阶段，通过模型动态追踪材料用量和变更签证，实现成本的实时管控，减少超支风险，相比传统方法，成本核算效率可提升 40% 以上。</w:t>
      </w:r>
    </w:p>
    <w:p w14:paraId="7E8C98CC">
      <w:pPr>
        <w:rPr>
          <w:rFonts w:hint="eastAsia"/>
        </w:rPr>
      </w:pPr>
      <w:r>
        <w:rPr>
          <w:rFonts w:hint="eastAsia"/>
        </w:rPr>
        <w:t>支撑运维管理：供水项目运营阶段需对水厂设备、管网等进行长期维护。BIM 模型可关联设备参数、维护记录、巡检数据等信息，形成数字化运维平台，便于管理人员快速查询设备状态、制定维护计划（如水泵的保养周期、管道的防腐处理时间），提高运营效率和应急响应能力。</w:t>
      </w:r>
    </w:p>
    <w:p w14:paraId="28029404">
      <w:pPr>
        <w:pStyle w:val="3"/>
        <w:bidi w:val="0"/>
        <w:rPr>
          <w:rFonts w:hint="eastAsia"/>
        </w:rPr>
      </w:pPr>
      <w:bookmarkStart w:id="10622" w:name="_Toc24273"/>
      <w:r>
        <w:rPr>
          <w:rFonts w:hint="eastAsia"/>
          <w:lang w:val="en-US" w:eastAsia="zh-CN"/>
        </w:rPr>
        <w:t>第二节</w:t>
      </w:r>
      <w:r>
        <w:rPr>
          <w:rFonts w:hint="eastAsia"/>
        </w:rPr>
        <w:t>、各阶段应用要点</w:t>
      </w:r>
      <w:bookmarkEnd w:id="10622"/>
    </w:p>
    <w:p w14:paraId="4982FB1F">
      <w:pPr>
        <w:rPr>
          <w:rFonts w:hint="eastAsia"/>
        </w:rPr>
      </w:pPr>
      <w:r>
        <w:rPr>
          <w:rFonts w:hint="eastAsia"/>
        </w:rPr>
        <w:t>设计阶段</w:t>
      </w:r>
    </w:p>
    <w:p w14:paraId="241F946D">
      <w:pPr>
        <w:rPr>
          <w:rFonts w:hint="eastAsia"/>
        </w:rPr>
      </w:pPr>
      <w:r>
        <w:rPr>
          <w:rFonts w:hint="eastAsia"/>
        </w:rPr>
        <w:t>三维建模与协同设计：各专业基于统一的 BIM 平台构建模型，工艺专业完成水处理流程（如沉淀池、滤池、清水池）的设备布置和管线连接；结构专业根据工艺需求设计池体、泵房的结构形式；电气和自控专业布置电缆桥架、仪表点位。通过模型碰撞检测功能，自动识别不同专业间的冲突点（如管道穿越结构墙时的位置偏差），并在设计阶段解决，避免施工返工。</w:t>
      </w:r>
    </w:p>
    <w:p w14:paraId="284CA3C1">
      <w:pPr>
        <w:rPr>
          <w:rFonts w:hint="eastAsia"/>
        </w:rPr>
      </w:pPr>
      <w:r>
        <w:rPr>
          <w:rFonts w:hint="eastAsia"/>
        </w:rPr>
        <w:t>性能模拟分析：利用 BIM 模型进行水力模拟，分析水处理构筑物内的水流状态（如沉淀池的流速分布、滤池的反冲洗效果），优化工艺参数；通过能耗模拟，对水泵、风机等设备的选型进行节能评估，确保满足设计要求的同时降低运行能耗。</w:t>
      </w:r>
    </w:p>
    <w:p w14:paraId="0C702D8A">
      <w:pPr>
        <w:rPr>
          <w:rFonts w:hint="eastAsia"/>
        </w:rPr>
      </w:pPr>
      <w:r>
        <w:rPr>
          <w:rFonts w:hint="eastAsia"/>
        </w:rPr>
        <w:t>施工阶段</w:t>
      </w:r>
    </w:p>
    <w:p w14:paraId="212072F8">
      <w:pPr>
        <w:rPr>
          <w:rFonts w:hint="eastAsia"/>
        </w:rPr>
      </w:pPr>
      <w:r>
        <w:rPr>
          <w:rFonts w:hint="eastAsia"/>
        </w:rPr>
        <w:t>施工模拟与方案优化：将 BIM 模型与施工进度计划关联，生成 4D（三维 + 时间）模拟动画，直观展示各节点的施工状态。例如，在水厂施工中，模拟池体模板支护、混凝土浇筑的过程，验证施工方案的可行性；对于复杂管网施工，通过模拟确定管道焊接、吊装的最佳路径，降低施工难度。</w:t>
      </w:r>
    </w:p>
    <w:p w14:paraId="3ED52E6E">
      <w:pPr>
        <w:rPr>
          <w:rFonts w:hint="eastAsia"/>
        </w:rPr>
      </w:pPr>
      <w:r>
        <w:rPr>
          <w:rFonts w:hint="eastAsia"/>
        </w:rPr>
        <w:t>现场协同与质量管控：借助移动终端（如平板电脑），将 BIM 模型与现场数据（如实测尺寸、材料进场信息）实时关联，施工人员可随时查看模型中的技术要求（如管道坡度、设备安装精度），质检人员通过模型比对现场施工质量，及时记录问题并追踪整改，形成质量追溯档案。</w:t>
      </w:r>
    </w:p>
    <w:p w14:paraId="6E8BCA64">
      <w:pPr>
        <w:rPr>
          <w:rFonts w:hint="eastAsia"/>
        </w:rPr>
      </w:pPr>
      <w:r>
        <w:rPr>
          <w:rFonts w:hint="eastAsia"/>
        </w:rPr>
        <w:t>数字化交付：施工过程中，将隐蔽工程（如地下管网的埋深、防腐层厚度）、设备安装调试记录等信息录入 BIM 模型，最终形成包含完整施工信息的数字化模型，为后续运维提供数据支撑。</w:t>
      </w:r>
    </w:p>
    <w:p w14:paraId="316DE2DE">
      <w:pPr>
        <w:rPr>
          <w:rFonts w:hint="eastAsia"/>
        </w:rPr>
      </w:pPr>
      <w:r>
        <w:rPr>
          <w:rFonts w:hint="eastAsia"/>
        </w:rPr>
        <w:t>运营阶段</w:t>
      </w:r>
    </w:p>
    <w:p w14:paraId="368E5983">
      <w:pPr>
        <w:rPr>
          <w:rFonts w:hint="eastAsia"/>
        </w:rPr>
      </w:pPr>
      <w:r>
        <w:rPr>
          <w:rFonts w:hint="eastAsia"/>
        </w:rPr>
        <w:t>设备资产管理：在 BIM 模型中关联各类设备的参数（如型号、功率、制造商）、维护手册、故障记录等信息，管理人员可通过模型快速定位设备位置，查询历史维护数据，制定预防性维护计划。例如，当水泵运行参数异常时，可通过模型追溯设备的安装时间、检修记录，辅助判断故障原因。</w:t>
      </w:r>
    </w:p>
    <w:p w14:paraId="677DCA8E">
      <w:pPr>
        <w:rPr>
          <w:rFonts w:hint="eastAsia"/>
        </w:rPr>
      </w:pPr>
      <w:r>
        <w:rPr>
          <w:rFonts w:hint="eastAsia"/>
        </w:rPr>
        <w:t>管网运维管理：将输配水管网的 BIM 模型与 SCADA 系统（数据采集与监控系统）对接，实时显示管网压力、流量、水质等数据，当发生爆管等突发情况时，通过模型快速定位故障点，模拟关阀方案对周边供水的影响，辅助制定抢修计划，缩短停水时间。</w:t>
      </w:r>
    </w:p>
    <w:p w14:paraId="287FB79F">
      <w:pPr>
        <w:rPr>
          <w:rFonts w:hint="eastAsia"/>
        </w:rPr>
      </w:pPr>
      <w:r>
        <w:rPr>
          <w:rFonts w:hint="eastAsia"/>
        </w:rPr>
        <w:t>应急模拟演练：利用 BIM 模型模拟极端工况（如水源污染、停电）下的供水系统响应，预演应急处理流程（如切换备用水源、启动应急供水设备），提高运维团队的应急处置能力。</w:t>
      </w:r>
    </w:p>
    <w:p w14:paraId="63519F65">
      <w:pPr>
        <w:pStyle w:val="3"/>
        <w:bidi w:val="0"/>
        <w:rPr>
          <w:rFonts w:hint="eastAsia"/>
        </w:rPr>
      </w:pPr>
      <w:bookmarkStart w:id="10623" w:name="_Toc12098"/>
      <w:r>
        <w:rPr>
          <w:rFonts w:hint="eastAsia"/>
          <w:lang w:val="en-US" w:eastAsia="zh-CN"/>
        </w:rPr>
        <w:t>第三节</w:t>
      </w:r>
      <w:r>
        <w:rPr>
          <w:rFonts w:hint="eastAsia"/>
        </w:rPr>
        <w:t>、实施保障</w:t>
      </w:r>
      <w:bookmarkEnd w:id="10623"/>
    </w:p>
    <w:p w14:paraId="5764DEFB">
      <w:pPr>
        <w:rPr>
          <w:rFonts w:hint="eastAsia"/>
        </w:rPr>
      </w:pPr>
      <w:r>
        <w:rPr>
          <w:rFonts w:hint="eastAsia"/>
        </w:rPr>
        <w:t>建立协同平台：搭建涵盖设计、施工、业主、运维等多方的 BIM 协同平台，明确各参与方的权限和信息提交标准，确保模型信息的实时更新与共享。例如，设计单位完成初步设计模型后，施工单位可在平台上接收模型并进行深化设计，双方通过平台实时沟通修改意见。</w:t>
      </w:r>
    </w:p>
    <w:p w14:paraId="1867662C">
      <w:pPr>
        <w:rPr>
          <w:rFonts w:hint="eastAsia"/>
        </w:rPr>
      </w:pPr>
      <w:r>
        <w:rPr>
          <w:rFonts w:hint="eastAsia"/>
        </w:rPr>
        <w:t>制定标准规范：结合供水项目特点，制定 BIM 建模标准（如构件命名规则、精度要求）、信息交付标准（如各阶段模型应包含的信息深度）和协同流程规范，保证模型的一致性和可用性。例如，规定管网模型中管道的精度需达到可提取管径、材质、埋深等信息的水平。</w:t>
      </w:r>
    </w:p>
    <w:p w14:paraId="510A0A44">
      <w:pPr>
        <w:rPr>
          <w:rFonts w:hint="eastAsia"/>
        </w:rPr>
      </w:pPr>
      <w:r>
        <w:rPr>
          <w:rFonts w:hint="eastAsia"/>
        </w:rPr>
        <w:t>团队能力建设：对项目参与人员进行 BIM 技术培训，使其掌握建模软件（如 Revit、Bentley）、碰撞检测工具（如 Navisworks）、施工模拟软件的操作技能，同时培养跨专业协同意识，确保技术应用落地。</w:t>
      </w:r>
    </w:p>
    <w:p w14:paraId="6CB77437">
      <w:pPr>
        <w:rPr>
          <w:rFonts w:hint="eastAsia"/>
        </w:rPr>
      </w:pPr>
      <w:r>
        <w:rPr>
          <w:rFonts w:hint="eastAsia"/>
        </w:rPr>
        <w:t>软硬件支持：配置高性能计算机、图形工作站及存储设备，满足大型 BIM 模型（如包含数万米管网的模型）的建模、渲染和数据处理需求；采购正版 BIM 软件及相关插件，保障技术应用的稳定性。</w:t>
      </w:r>
    </w:p>
    <w:p w14:paraId="09EC595D">
      <w:pPr>
        <w:pStyle w:val="3"/>
        <w:bidi w:val="0"/>
        <w:rPr>
          <w:rFonts w:hint="eastAsia"/>
        </w:rPr>
      </w:pPr>
      <w:bookmarkStart w:id="10624" w:name="_Toc4933"/>
      <w:r>
        <w:rPr>
          <w:rFonts w:hint="eastAsia"/>
          <w:lang w:val="en-US" w:eastAsia="zh-CN"/>
        </w:rPr>
        <w:t>第四节</w:t>
      </w:r>
      <w:r>
        <w:rPr>
          <w:rFonts w:hint="eastAsia"/>
        </w:rPr>
        <w:t>、典型应用场景</w:t>
      </w:r>
      <w:bookmarkEnd w:id="10624"/>
    </w:p>
    <w:p w14:paraId="1BF78233">
      <w:pPr>
        <w:rPr>
          <w:rFonts w:hint="eastAsia"/>
        </w:rPr>
      </w:pPr>
      <w:r>
        <w:rPr>
          <w:rFonts w:hint="eastAsia"/>
        </w:rPr>
        <w:t>水处理厂建设：在水厂设计中，利用 BIM 模型优化沉淀池的结构尺寸与布水方式，通过模拟验证水流均匀性；施工阶段，基于模型进行模板工程量计算，精准控制材料用量；运营阶段，将模型与水厂自控系统联动，实现设备运行状态的可视化监控。</w:t>
      </w:r>
    </w:p>
    <w:p w14:paraId="0D5C358C">
      <w:pPr>
        <w:rPr>
          <w:rFonts w:hint="eastAsia"/>
        </w:rPr>
      </w:pPr>
      <w:r>
        <w:rPr>
          <w:rFonts w:hint="eastAsia"/>
        </w:rPr>
        <w:t>复杂管网改造：对于城市老旧管网改造项目，通过 BIM 模型整合原有管网的竣工资料与现场探测数据，构建三维管网模型，明确新旧管线的连接方式，模拟管道切割、修复的施工过程，避免对周边现有管线和建筑物造成破坏。</w:t>
      </w:r>
    </w:p>
    <w:p w14:paraId="31EE3971">
      <w:pPr>
        <w:rPr>
          <w:rFonts w:hint="eastAsia"/>
        </w:rPr>
      </w:pPr>
      <w:r>
        <w:rPr>
          <w:rFonts w:hint="eastAsia"/>
        </w:rPr>
        <w:t>应急指挥系统：结合 BIM 模型与地理信息系统（GIS），构建供水系统全域可视化平台，当发生水源突发污染时，通过模型快速分析受影响的管网区域和用户范围，辅助制定供水调度方案和应急供水路线。</w:t>
      </w:r>
    </w:p>
    <w:p w14:paraId="5D83D966">
      <w:pPr>
        <w:rPr>
          <w:rFonts w:hint="eastAsia"/>
        </w:rPr>
      </w:pPr>
      <w:r>
        <w:rPr>
          <w:rFonts w:hint="eastAsia"/>
        </w:rPr>
        <w:br w:type="page"/>
      </w:r>
    </w:p>
    <w:p w14:paraId="52BCBCBA">
      <w:pPr>
        <w:pStyle w:val="2"/>
        <w:bidi w:val="0"/>
        <w:rPr>
          <w:rFonts w:hint="eastAsia"/>
        </w:rPr>
      </w:pPr>
      <w:bookmarkStart w:id="10625" w:name="_Toc30646"/>
      <w:r>
        <w:rPr>
          <w:rFonts w:hint="eastAsia"/>
          <w:lang w:val="en-US" w:eastAsia="zh-CN"/>
        </w:rPr>
        <w:t>第十章、</w:t>
      </w:r>
      <w:r>
        <w:rPr>
          <w:rFonts w:hint="eastAsia"/>
        </w:rPr>
        <w:t>EPC 分包管理</w:t>
      </w:r>
      <w:bookmarkEnd w:id="10625"/>
    </w:p>
    <w:p w14:paraId="4A57437F">
      <w:pPr>
        <w:rPr>
          <w:rFonts w:hint="eastAsia"/>
        </w:rPr>
      </w:pPr>
      <w:r>
        <w:rPr>
          <w:rFonts w:hint="eastAsia"/>
        </w:rPr>
        <w:t>在供水项目EPC（设计-采购-施工）总承包模式下，分包管理是保障项目质量、进度、成本及安全的关键环节。由于供水项目涉及取水工程、水处理构筑物、输配水管网、设备安装等多个专业领域，合理的分包策划与管控能充分发挥专业分包商的技术优势，提升项目整体实施效率。以下从分包管理原则、范围、流程及管控要点等方面进行详细阐述。</w:t>
      </w:r>
    </w:p>
    <w:p w14:paraId="752701A6">
      <w:pPr>
        <w:pStyle w:val="3"/>
        <w:bidi w:val="0"/>
        <w:rPr>
          <w:rFonts w:hint="eastAsia"/>
        </w:rPr>
      </w:pPr>
      <w:bookmarkStart w:id="10626" w:name="_Toc9062"/>
      <w:r>
        <w:rPr>
          <w:rFonts w:hint="eastAsia"/>
        </w:rPr>
        <w:t>一、分包管理原则</w:t>
      </w:r>
      <w:bookmarkEnd w:id="10626"/>
    </w:p>
    <w:p w14:paraId="5BB57D1D">
      <w:pPr>
        <w:rPr>
          <w:rFonts w:hint="eastAsia"/>
        </w:rPr>
      </w:pPr>
      <w:r>
        <w:rPr>
          <w:rFonts w:hint="eastAsia"/>
        </w:rPr>
        <w:t>合规性原则：严格遵守国家法律法规及行业规范，分包合同签订、分包商资质审核、工程款支付等环节均需符合相关规定，禁止违法分包、转包或挂靠行为。例如，对于涉及压力管道安装的分包工程，分包商必须具备相应的特种设备安装改造维修许可证。</w:t>
      </w:r>
    </w:p>
    <w:p w14:paraId="1A88E69B">
      <w:pPr>
        <w:rPr>
          <w:rFonts w:hint="eastAsia"/>
        </w:rPr>
      </w:pPr>
      <w:r>
        <w:rPr>
          <w:rFonts w:hint="eastAsia"/>
        </w:rPr>
        <w:t>专业性原则：根据供水项目各专业特点选择专业分包商，如水处理工艺设备安装选择具备水厂设备安装经验的企业，管网施工选择熟悉地下管线施工的队伍，确保分包商的技术能力与分包工程的专业要求相匹配。</w:t>
      </w:r>
    </w:p>
    <w:p w14:paraId="30191C8E">
      <w:pPr>
        <w:rPr>
          <w:rFonts w:hint="eastAsia"/>
        </w:rPr>
      </w:pPr>
      <w:r>
        <w:rPr>
          <w:rFonts w:hint="eastAsia"/>
        </w:rPr>
        <w:t>协同性原则：EPC总承包商需建立统一的协调机制，确保各分包商与设计、采购环节及其他分包商之间的高效协同。例如，管网分包商需与设计单位同步确认管线走向，与设备安装分包商协调接口尺寸，避免出现施工冲突。</w:t>
      </w:r>
    </w:p>
    <w:p w14:paraId="12FC04A5">
      <w:pPr>
        <w:rPr>
          <w:rFonts w:hint="eastAsia"/>
        </w:rPr>
      </w:pPr>
      <w:r>
        <w:rPr>
          <w:rFonts w:hint="eastAsia"/>
        </w:rPr>
        <w:t>风险共担原则：在分包合同中明确双方的风险责任，对工期延误、质量缺陷、安全事故等风险制定清晰的划分标准和处理措施，形成“总承包商统筹、分包商负责”的风险管控体系。</w:t>
      </w:r>
    </w:p>
    <w:p w14:paraId="6213B8CB">
      <w:pPr>
        <w:rPr>
          <w:rFonts w:hint="eastAsia"/>
        </w:rPr>
      </w:pPr>
      <w:r>
        <w:rPr>
          <w:rFonts w:hint="eastAsia"/>
        </w:rPr>
        <w:t>动态管控原则：对分包商的施工过程进行全周期动态管理，通过定期检查、考核评价及时发现问题并督促整改，确保分包工程始终处于受控状态。</w:t>
      </w:r>
    </w:p>
    <w:p w14:paraId="6728CC3E">
      <w:pPr>
        <w:pStyle w:val="3"/>
        <w:bidi w:val="0"/>
        <w:rPr>
          <w:rFonts w:hint="eastAsia"/>
        </w:rPr>
      </w:pPr>
      <w:bookmarkStart w:id="10627" w:name="_Toc16192"/>
      <w:r>
        <w:rPr>
          <w:rFonts w:hint="eastAsia"/>
        </w:rPr>
        <w:t>二、分包范围划分</w:t>
      </w:r>
      <w:bookmarkEnd w:id="10627"/>
    </w:p>
    <w:p w14:paraId="40C4ABE1">
      <w:pPr>
        <w:rPr>
          <w:rFonts w:hint="eastAsia"/>
        </w:rPr>
      </w:pPr>
      <w:r>
        <w:rPr>
          <w:rFonts w:hint="eastAsia"/>
        </w:rPr>
        <w:t>设计分包：若EPC总承包商不具备全部设计能力，可将部分专业设计分包给具有相应资质的单位，如水文地质勘察、水处理工艺深化设计、电气自控系统设计等。设计分包需确保与总体设计的一致性，所有分包设计成果需经总承包商审核后纳入项目整体设计文件。</w:t>
      </w:r>
    </w:p>
    <w:p w14:paraId="40E6835A">
      <w:pPr>
        <w:rPr>
          <w:rFonts w:hint="eastAsia"/>
        </w:rPr>
      </w:pPr>
      <w:r>
        <w:rPr>
          <w:rFonts w:hint="eastAsia"/>
        </w:rPr>
        <w:t>施工分包：根据供水项目的施工内容，常见的施工分包包括：</w:t>
      </w:r>
    </w:p>
    <w:p w14:paraId="24046F3D">
      <w:pPr>
        <w:rPr>
          <w:rFonts w:hint="eastAsia"/>
        </w:rPr>
      </w:pPr>
      <w:r>
        <w:rPr>
          <w:rFonts w:hint="eastAsia"/>
        </w:rPr>
        <w:t>土建工程分包：如取水头部基坑开挖、沉淀池/滤池池体浇筑、泵房主体结构施工等；</w:t>
      </w:r>
    </w:p>
    <w:p w14:paraId="275DC94D">
      <w:pPr>
        <w:rPr>
          <w:rFonts w:hint="eastAsia"/>
        </w:rPr>
      </w:pPr>
      <w:r>
        <w:rPr>
          <w:rFonts w:hint="eastAsia"/>
        </w:rPr>
        <w:t>安装工程分包：如水泵机组安装、阀门及管道连接、电气控制柜安装、仪表调试等；</w:t>
      </w:r>
    </w:p>
    <w:p w14:paraId="2A6839B2">
      <w:pPr>
        <w:rPr>
          <w:rFonts w:hint="eastAsia"/>
        </w:rPr>
      </w:pPr>
      <w:r>
        <w:rPr>
          <w:rFonts w:hint="eastAsia"/>
        </w:rPr>
        <w:t>管网工程分包：输水管线敷设、管网打压试验、管道防腐处理等；</w:t>
      </w:r>
    </w:p>
    <w:p w14:paraId="377B36E8">
      <w:pPr>
        <w:rPr>
          <w:rFonts w:hint="eastAsia"/>
        </w:rPr>
      </w:pPr>
      <w:r>
        <w:rPr>
          <w:rFonts w:hint="eastAsia"/>
        </w:rPr>
        <w:t>辅助工程分包：如施工临时道路修建、场地平整、围挡搭设等。</w:t>
      </w:r>
    </w:p>
    <w:p w14:paraId="469884FB">
      <w:pPr>
        <w:rPr>
          <w:rFonts w:hint="eastAsia"/>
        </w:rPr>
      </w:pPr>
      <w:r>
        <w:rPr>
          <w:rFonts w:hint="eastAsia"/>
        </w:rPr>
        <w:t>采购分包：对于部分特殊设备或材料（如进口水泵、专用滤料、智能水表），若总承包商采购渠道有限，可委托专业采购分包商进行采购，但需对采购过程的质量、价格及交货期进行全程管控。</w:t>
      </w:r>
    </w:p>
    <w:p w14:paraId="65E926E7">
      <w:pPr>
        <w:pStyle w:val="3"/>
        <w:bidi w:val="0"/>
        <w:rPr>
          <w:rFonts w:hint="eastAsia"/>
        </w:rPr>
      </w:pPr>
      <w:bookmarkStart w:id="10628" w:name="_Toc25758"/>
      <w:r>
        <w:rPr>
          <w:rFonts w:hint="eastAsia"/>
        </w:rPr>
        <w:t>三、分包管理流程</w:t>
      </w:r>
      <w:bookmarkEnd w:id="10628"/>
    </w:p>
    <w:p w14:paraId="72B3FD5F">
      <w:pPr>
        <w:rPr>
          <w:rFonts w:hint="eastAsia"/>
        </w:rPr>
      </w:pPr>
      <w:r>
        <w:rPr>
          <w:rFonts w:hint="eastAsia"/>
        </w:rPr>
        <w:t>分包策划与计划</w:t>
      </w:r>
    </w:p>
    <w:p w14:paraId="54F49C88">
      <w:pPr>
        <w:rPr>
          <w:rFonts w:hint="eastAsia"/>
        </w:rPr>
      </w:pPr>
      <w:r>
        <w:rPr>
          <w:rFonts w:hint="eastAsia"/>
        </w:rPr>
        <w:t>总承包商在项目初期编制《分包管理策划书》，明确分包范围、拟采用的分包方式（如公开招标、邀请招标、竞争性谈判）、分包商资质要求、计划分包时间节点等。</w:t>
      </w:r>
    </w:p>
    <w:p w14:paraId="46B94B18">
      <w:pPr>
        <w:rPr>
          <w:rFonts w:hint="eastAsia"/>
        </w:rPr>
      </w:pPr>
      <w:r>
        <w:rPr>
          <w:rFonts w:hint="eastAsia"/>
        </w:rPr>
        <w:t>结合项目总体进度计划，制定《分包工程进度计划》，确保分包工程的开工、竣工时间与主体工程进度相匹配，例如，管网分包工程需在设备安装前完成管道敷设，避免影响后续工序。</w:t>
      </w:r>
    </w:p>
    <w:p w14:paraId="423AFC35">
      <w:pPr>
        <w:rPr>
          <w:rFonts w:hint="eastAsia"/>
        </w:rPr>
      </w:pPr>
      <w:r>
        <w:rPr>
          <w:rFonts w:hint="eastAsia"/>
        </w:rPr>
        <w:t>分包商选择与招标</w:t>
      </w:r>
    </w:p>
    <w:p w14:paraId="31E0DF49">
      <w:pPr>
        <w:rPr>
          <w:rFonts w:hint="eastAsia"/>
        </w:rPr>
      </w:pPr>
      <w:r>
        <w:rPr>
          <w:rFonts w:hint="eastAsia"/>
        </w:rPr>
        <w:t>资质预审：根据分包工程特点设定资质门槛，如土建分包商需具备水利水电工程施工总承包三级及以上资质，设备安装分包商需具备特种设备安装改造维修资格。审核分包商的业绩（如近3年完成的类似供水项目）、财务状况、安全管理体系等，形成《合格分包商名录》。</w:t>
      </w:r>
    </w:p>
    <w:p w14:paraId="190BFE7B">
      <w:pPr>
        <w:rPr>
          <w:rFonts w:hint="eastAsia"/>
        </w:rPr>
      </w:pPr>
      <w:r>
        <w:rPr>
          <w:rFonts w:hint="eastAsia"/>
        </w:rPr>
        <w:t>招标采购：对金额较大或技术复杂的分包工程（如水处理设备安装），采用公开招标方式选择分包商，招标文件需明确工程范围、技术标准、质量要求、工期、付款方式及违约责任等。评标过程中，综合考虑报价、技术方案、业绩信誉等因素，避免单纯以价格为唯一评标标准。</w:t>
      </w:r>
    </w:p>
    <w:p w14:paraId="32152EA7">
      <w:pPr>
        <w:rPr>
          <w:rFonts w:hint="eastAsia"/>
        </w:rPr>
      </w:pPr>
      <w:r>
        <w:rPr>
          <w:rFonts w:hint="eastAsia"/>
        </w:rPr>
        <w:t>合同签订：确定中标分包商后，签订规范的分包合同，明确双方权利义务，特别是质量保修范围、安全责任划分、进度延误违约金等关键条款，必要时要求分包商提供履约保函。</w:t>
      </w:r>
    </w:p>
    <w:p w14:paraId="185BCFFA">
      <w:pPr>
        <w:rPr>
          <w:rFonts w:hint="eastAsia"/>
        </w:rPr>
      </w:pPr>
      <w:r>
        <w:rPr>
          <w:rFonts w:hint="eastAsia"/>
        </w:rPr>
        <w:t>分包施工过程管控</w:t>
      </w:r>
    </w:p>
    <w:p w14:paraId="5581CFC9">
      <w:pPr>
        <w:rPr>
          <w:rFonts w:hint="eastAsia"/>
        </w:rPr>
      </w:pPr>
      <w:r>
        <w:rPr>
          <w:rFonts w:hint="eastAsia"/>
        </w:rPr>
        <w:t>技术交底：总承包商向分包商进行全面技术交底，包括设计图纸、施工规范、质量标准、安全操作规程等，分包商需编制《分包工程施工方案》并报总承包商审批后实施。</w:t>
      </w:r>
    </w:p>
    <w:p w14:paraId="6F4DC7DB">
      <w:pPr>
        <w:rPr>
          <w:rFonts w:hint="eastAsia"/>
        </w:rPr>
      </w:pPr>
      <w:r>
        <w:rPr>
          <w:rFonts w:hint="eastAsia"/>
        </w:rPr>
        <w:t>进度管控：将分包工程进度纳入项目整体进度管理体系，要求分包商每周报送进度报告，总承包商通过BIM模型4D模拟或现场巡查，对比实际进度与计划进度，对滞后工序及时下达整改通知，必要时调整资源配置（如增加施工人员、机械）。</w:t>
      </w:r>
    </w:p>
    <w:p w14:paraId="72F195C3">
      <w:pPr>
        <w:rPr>
          <w:rFonts w:hint="eastAsia"/>
        </w:rPr>
      </w:pPr>
      <w:r>
        <w:rPr>
          <w:rFonts w:hint="eastAsia"/>
        </w:rPr>
        <w:t>质量管控：建立“总承包商-监理-分包商”三级质量检查体系，对关键工序（如管道焊接、混凝土浇筑、设备调试）实行旁站监理，分包商需按规范进行自检并提交验收资料，未经检验合格不得进入下道工序。例如，对输水管网的接口焊接，需进行水压试验和无损检测，合格后方可回填。</w:t>
      </w:r>
    </w:p>
    <w:p w14:paraId="1A0487F0">
      <w:pPr>
        <w:rPr>
          <w:rFonts w:hint="eastAsia"/>
        </w:rPr>
      </w:pPr>
      <w:r>
        <w:rPr>
          <w:rFonts w:hint="eastAsia"/>
        </w:rPr>
        <w:t>安全管控：分包商需配备专职安全员，落实安全防护措施（如深基坑支护、高空作业安全带、临时用电防护），总承包商定期组织安全巡查，对违规操作下达停工整改令，发生安全事故时，按合同约定追究分包商责任。</w:t>
      </w:r>
    </w:p>
    <w:p w14:paraId="595233EF">
      <w:pPr>
        <w:rPr>
          <w:rFonts w:hint="eastAsia"/>
        </w:rPr>
      </w:pPr>
      <w:r>
        <w:rPr>
          <w:rFonts w:hint="eastAsia"/>
        </w:rPr>
        <w:t>成本管控：严格审核分包商的工程款支付申请，对照合同约定及实际完成工程量（如按形象进度或工程量清单计价）支付进度款，避免超付；对分包工程的变更签证，需履行审批流程，评估成本影响后再实施。</w:t>
      </w:r>
    </w:p>
    <w:p w14:paraId="564152CB">
      <w:pPr>
        <w:rPr>
          <w:rFonts w:hint="eastAsia"/>
        </w:rPr>
      </w:pPr>
      <w:r>
        <w:rPr>
          <w:rFonts w:hint="eastAsia"/>
        </w:rPr>
        <w:t>分包工程验收与结算</w:t>
      </w:r>
    </w:p>
    <w:p w14:paraId="4745E529">
      <w:pPr>
        <w:rPr>
          <w:rFonts w:hint="eastAsia"/>
        </w:rPr>
      </w:pPr>
      <w:r>
        <w:rPr>
          <w:rFonts w:hint="eastAsia"/>
        </w:rPr>
        <w:t>中间验收：对分段完成的分包工程（如某段管网敷设）进行中间验收，验收合格后签署《中间验收证书》，作为支付进度款的依据。</w:t>
      </w:r>
    </w:p>
    <w:p w14:paraId="491D4806">
      <w:pPr>
        <w:rPr>
          <w:rFonts w:hint="eastAsia"/>
        </w:rPr>
      </w:pPr>
      <w:r>
        <w:rPr>
          <w:rFonts w:hint="eastAsia"/>
        </w:rPr>
        <w:t>竣工验收：分包工程全部完成后，分包商提交竣工资料（如施工记录、试验报告、竣工图），总承包商组织设计、监理及业主单位进行竣工验收，验收内容包括工程质量、工期履约情况、资料完整性等，不合格部分需限期整改。</w:t>
      </w:r>
    </w:p>
    <w:p w14:paraId="58126C52">
      <w:pPr>
        <w:rPr>
          <w:rFonts w:hint="eastAsia"/>
        </w:rPr>
      </w:pPr>
      <w:r>
        <w:rPr>
          <w:rFonts w:hint="eastAsia"/>
        </w:rPr>
        <w:t>结算审计：根据竣工验收结果及分包合同，办理竣工结算，总承包商需对分包工程的工程量、单价、变更费用等进行严格审计，必要时委托第三方造价咨询机构审核，确保结算金额准确无误。</w:t>
      </w:r>
    </w:p>
    <w:p w14:paraId="7C0C0D4A">
      <w:pPr>
        <w:rPr>
          <w:rFonts w:hint="eastAsia"/>
        </w:rPr>
      </w:pPr>
      <w:r>
        <w:rPr>
          <w:rFonts w:hint="eastAsia"/>
        </w:rPr>
        <w:t>保修阶段管理</w:t>
      </w:r>
    </w:p>
    <w:p w14:paraId="3B36335D">
      <w:pPr>
        <w:rPr>
          <w:rFonts w:hint="eastAsia"/>
        </w:rPr>
      </w:pPr>
      <w:r>
        <w:rPr>
          <w:rFonts w:hint="eastAsia"/>
        </w:rPr>
        <w:t>分包工程保修期内，分包商需履行保修义务，对出现的质量问题（如管道漏水、设备故障）及时修复，总承包商负责监督保修进度和质量，保修期满且无质量问题后，退还质量保证金。</w:t>
      </w:r>
    </w:p>
    <w:p w14:paraId="29219B8E">
      <w:pPr>
        <w:pStyle w:val="3"/>
        <w:bidi w:val="0"/>
        <w:rPr>
          <w:rFonts w:hint="eastAsia"/>
        </w:rPr>
      </w:pPr>
      <w:bookmarkStart w:id="10629" w:name="_Toc17657"/>
      <w:r>
        <w:rPr>
          <w:rFonts w:hint="eastAsia"/>
        </w:rPr>
        <w:t>四、关键管控要点</w:t>
      </w:r>
      <w:bookmarkEnd w:id="10629"/>
    </w:p>
    <w:p w14:paraId="1E63F117">
      <w:pPr>
        <w:rPr>
          <w:rFonts w:hint="eastAsia"/>
        </w:rPr>
      </w:pPr>
      <w:r>
        <w:rPr>
          <w:rFonts w:hint="eastAsia"/>
        </w:rPr>
        <w:t>接口管理：供水项目各分包工程间存在大量接口（如土建与设备安装的预埋件位置、管网与泵房的管道连接尺寸），总承包商需编制《接口管理手册》，明确各分包商的接口责任，组织接口协调会，避免因接口偏差导致返工。例如，水处理池体土建分包商需按设备安装分包商提供的尺寸精准预留设备孔洞，双方共同复核尺寸无误后签字确认。</w:t>
      </w:r>
    </w:p>
    <w:p w14:paraId="0B9113A5">
      <w:pPr>
        <w:rPr>
          <w:rFonts w:hint="eastAsia"/>
        </w:rPr>
      </w:pPr>
      <w:r>
        <w:rPr>
          <w:rFonts w:hint="eastAsia"/>
        </w:rPr>
        <w:t>信息管理：建立分包工程信息台账，记录分包商基本信息、合同条款、进度报表、质量验收记录、付款凭证等，确保信息可追溯。利用项目管理平台实现信息共享，分包商需按要求及时上传施工资料，总承包商定期发布项目简报，让各分包方了解项目整体进展。</w:t>
      </w:r>
    </w:p>
    <w:p w14:paraId="4C84E18D">
      <w:pPr>
        <w:rPr>
          <w:rFonts w:hint="eastAsia"/>
        </w:rPr>
      </w:pPr>
      <w:r>
        <w:rPr>
          <w:rFonts w:hint="eastAsia"/>
        </w:rPr>
        <w:t>争议处理：当分包商与总承包商或其他分包商发生争议（如进度延误责任认定、工程款支付纠纷）时，优先通过协商解决；协商不成的，按合同约定的仲裁或诉讼方式处理，避免因争议拖延项目进度。</w:t>
      </w:r>
    </w:p>
    <w:p w14:paraId="6F0940EC">
      <w:pPr>
        <w:pStyle w:val="3"/>
        <w:bidi w:val="0"/>
        <w:rPr>
          <w:rFonts w:hint="eastAsia"/>
        </w:rPr>
      </w:pPr>
      <w:bookmarkStart w:id="10630" w:name="_Toc14974"/>
      <w:r>
        <w:rPr>
          <w:rFonts w:hint="eastAsia"/>
        </w:rPr>
        <w:t>五、风险防范措施</w:t>
      </w:r>
      <w:bookmarkEnd w:id="10630"/>
    </w:p>
    <w:p w14:paraId="2CB1122B">
      <w:pPr>
        <w:rPr>
          <w:rFonts w:hint="eastAsia"/>
        </w:rPr>
      </w:pPr>
      <w:r>
        <w:rPr>
          <w:rFonts w:hint="eastAsia"/>
        </w:rPr>
        <w:t>分包商履约风险：选择分包商时，除审核资质业绩外，可要求提供过往项目业主的推荐信，必要时进行实地考察；对重要分包工程，在合同中设置较高比例的履约保函，约束分包商履约行为。</w:t>
      </w:r>
    </w:p>
    <w:p w14:paraId="751F3CB5">
      <w:pPr>
        <w:rPr>
          <w:rFonts w:hint="eastAsia"/>
        </w:rPr>
      </w:pPr>
      <w:r>
        <w:rPr>
          <w:rFonts w:hint="eastAsia"/>
        </w:rPr>
        <w:t>质量安全风险：禁止分包商将工程再次分包，总承包商对分包工程质量、安全承担连带责任，需加强过程管控，对违规行为“零容忍”，必要时可依据合同更换分包商。</w:t>
      </w:r>
    </w:p>
    <w:p w14:paraId="26A12346">
      <w:pPr>
        <w:rPr>
          <w:rFonts w:hint="eastAsia"/>
        </w:rPr>
      </w:pPr>
      <w:r>
        <w:rPr>
          <w:rFonts w:hint="eastAsia"/>
        </w:rPr>
        <w:t>成本超支风险：在分包合同中明确工程量清单及综合单价，对设计变更或现场签证严格控制，避免分包商通过虚报工程量或变更索赔增加成本。</w:t>
      </w:r>
    </w:p>
    <w:p w14:paraId="235D76DA">
      <w:pPr>
        <w:rPr>
          <w:rFonts w:hint="eastAsia"/>
        </w:rPr>
      </w:pPr>
      <w:r>
        <w:rPr>
          <w:rFonts w:hint="eastAsia"/>
        </w:rPr>
        <w:t>进度延误风险：在分包合同中约定详细的进度节点及延误违约金，对关键路径上的分包工程，预留一定的工期缓冲时间，同时制定应急预案（如备用分包商名单），应对突发情况。</w:t>
      </w:r>
    </w:p>
    <w:p w14:paraId="798CF34B">
      <w:pPr>
        <w:pStyle w:val="3"/>
        <w:bidi w:val="0"/>
        <w:rPr>
          <w:rFonts w:hint="eastAsia"/>
        </w:rPr>
      </w:pPr>
      <w:bookmarkStart w:id="10631" w:name="_Toc21639"/>
      <w:r>
        <w:rPr>
          <w:rFonts w:hint="eastAsia"/>
        </w:rPr>
        <w:t>六、分包管理责任体系</w:t>
      </w:r>
      <w:bookmarkEnd w:id="10631"/>
    </w:p>
    <w:p w14:paraId="757D972F">
      <w:pPr>
        <w:rPr>
          <w:rFonts w:hint="eastAsia"/>
        </w:rPr>
      </w:pPr>
      <w:r>
        <w:rPr>
          <w:rFonts w:hint="eastAsia"/>
        </w:rPr>
        <w:t>总承包商责任：对项目整体实施负责，统筹协调各分包商，履行合同管理、进度控制、质量安全监督等职责，向业主承担全部履约责任。</w:t>
      </w:r>
    </w:p>
    <w:p w14:paraId="6E687EE4">
      <w:pPr>
        <w:rPr>
          <w:rFonts w:hint="eastAsia"/>
        </w:rPr>
      </w:pPr>
      <w:r>
        <w:rPr>
          <w:rFonts w:hint="eastAsia"/>
        </w:rPr>
        <w:t>分包商责任：严格按照分包合同及总承包商要求组织施工，确保工程质量、进度及安全，接受总承包商的管理和监督，及时报送相关资料。</w:t>
      </w:r>
    </w:p>
    <w:p w14:paraId="0F9CAC4D">
      <w:pPr>
        <w:rPr>
          <w:rFonts w:hint="eastAsia"/>
        </w:rPr>
      </w:pPr>
      <w:r>
        <w:rPr>
          <w:rFonts w:hint="eastAsia"/>
        </w:rPr>
        <w:t>监理单位责任：协助总承包商对分包工程进行质量、进度监理，审核分包商的施工方案，参与隐蔽工程验收和竣工验收，出具监理意见。</w:t>
      </w:r>
    </w:p>
    <w:p w14:paraId="79FCD8F4">
      <w:pPr>
        <w:rPr>
          <w:rFonts w:hint="eastAsia"/>
        </w:rPr>
      </w:pPr>
      <w:r>
        <w:rPr>
          <w:rFonts w:hint="eastAsia"/>
        </w:rPr>
        <w:t>业主单位责任：对分包管理过程进行监督，有权对分包商资质、分包合同合规性进行核查，但不得直接向分包商下达指令（指令需通过总承包商传递）。</w:t>
      </w:r>
    </w:p>
    <w:p w14:paraId="508DB30E">
      <w:pPr>
        <w:rPr>
          <w:rFonts w:hint="eastAsia"/>
        </w:rPr>
      </w:pPr>
    </w:p>
    <w:p w14:paraId="048A8E9A">
      <w:pPr>
        <w:rPr>
          <w:rFonts w:hint="eastAsia"/>
        </w:rPr>
      </w:pPr>
      <w:r>
        <w:rPr>
          <w:rFonts w:hint="eastAsia"/>
        </w:rPr>
        <w:br w:type="page"/>
      </w:r>
    </w:p>
    <w:p w14:paraId="698545DA">
      <w:pPr>
        <w:pStyle w:val="2"/>
        <w:spacing w:before="156" w:after="156"/>
      </w:pPr>
      <w:bookmarkStart w:id="10632" w:name="_Toc22567"/>
      <w:r>
        <w:rPr>
          <w:rFonts w:hint="eastAsia"/>
        </w:rPr>
        <w:t>第</w:t>
      </w:r>
      <w:r>
        <w:rPr>
          <w:rFonts w:hint="eastAsia"/>
          <w:lang w:val="en-US" w:eastAsia="zh-CN"/>
        </w:rPr>
        <w:t>十一</w:t>
      </w:r>
      <w:r>
        <w:rPr>
          <w:rFonts w:hint="eastAsia"/>
        </w:rPr>
        <w:t>章、本地化服务</w:t>
      </w:r>
      <w:bookmarkEnd w:id="10632"/>
    </w:p>
    <w:p w14:paraId="646095BB">
      <w:pPr>
        <w:pStyle w:val="3"/>
      </w:pPr>
      <w:bookmarkStart w:id="10633" w:name="_Toc27894"/>
      <w:bookmarkStart w:id="10634" w:name="_Toc28757"/>
      <w:bookmarkStart w:id="10635" w:name="_Toc17169"/>
      <w:bookmarkStart w:id="10636" w:name="_Toc18314"/>
      <w:r>
        <w:rPr>
          <w:rFonts w:hint="eastAsia"/>
        </w:rPr>
        <w:t>第一节、项目班子组成方案及优势</w:t>
      </w:r>
      <w:bookmarkEnd w:id="10633"/>
      <w:bookmarkEnd w:id="10634"/>
      <w:bookmarkEnd w:id="10635"/>
      <w:bookmarkEnd w:id="10636"/>
    </w:p>
    <w:p w14:paraId="54549C8A">
      <w:pPr>
        <w:pStyle w:val="4"/>
        <w:spacing w:before="93" w:after="31"/>
      </w:pPr>
      <w:bookmarkStart w:id="10637" w:name="_Toc1611"/>
      <w:bookmarkStart w:id="10638" w:name="_Toc13"/>
      <w:bookmarkStart w:id="10639" w:name="_Toc10504"/>
      <w:bookmarkStart w:id="10640" w:name="_Toc15151"/>
      <w:r>
        <w:rPr>
          <w:rFonts w:hint="eastAsia"/>
        </w:rPr>
        <w:t>一、项目管理体系</w:t>
      </w:r>
      <w:bookmarkEnd w:id="10637"/>
      <w:bookmarkEnd w:id="10638"/>
      <w:bookmarkEnd w:id="10639"/>
      <w:bookmarkEnd w:id="10640"/>
    </w:p>
    <w:p w14:paraId="0B3B5643">
      <w:pPr>
        <w:ind w:firstLine="560"/>
      </w:pPr>
      <w:r>
        <w:rPr>
          <w:rFonts w:hint="eastAsia"/>
        </w:rPr>
        <w:t>1.我公司已通过质量管理体系、环境管理体系、职业健康安全管理体系的认证，本项目将按“三合一”体系进行管理。</w:t>
      </w:r>
    </w:p>
    <w:p w14:paraId="2796F80B">
      <w:pPr>
        <w:ind w:firstLine="560"/>
      </w:pPr>
      <w:r>
        <w:rPr>
          <w:rFonts w:hint="eastAsia"/>
        </w:rPr>
        <w:t>2.项目经理授权制度：在确保公司有效监控和项目管理部严格按照公司规定的程序运营的基础上，我公司对本项目实行全面授权的方式，将本项目全面授权给项目经理，由他全权承担本工程的管理职权，对工程的“质量、安全、工期、文明、效益、服务”六个方面负全面责任，项目经理完全按照“项目法”的施工模式管理本工程；而公司则在施工过程和完工后根据内部管理目标对被授权者做出综合评估，并根据内部管理条例对包括所有管理人员在内的项目管理团队做出奖励、处罚。</w:t>
      </w:r>
    </w:p>
    <w:p w14:paraId="31BEBABD">
      <w:pPr>
        <w:ind w:firstLine="560"/>
      </w:pPr>
      <w:r>
        <w:rPr>
          <w:rFonts w:hint="eastAsia"/>
        </w:rPr>
        <w:t>项目经理部按公司颁布的项目管理手册、公司文明施工指导手册、公司安全施工指导手册执行。</w:t>
      </w:r>
    </w:p>
    <w:p w14:paraId="23AC8B58">
      <w:pPr>
        <w:pStyle w:val="4"/>
        <w:spacing w:before="93" w:after="31"/>
      </w:pPr>
      <w:bookmarkStart w:id="10641" w:name="_Toc20405"/>
      <w:bookmarkStart w:id="10642" w:name="_Toc24961"/>
      <w:bookmarkStart w:id="10643" w:name="_Toc20569"/>
      <w:bookmarkStart w:id="10644" w:name="_Toc4765"/>
      <w:r>
        <w:rPr>
          <w:rFonts w:hint="eastAsia"/>
        </w:rPr>
        <w:t>二、项目组织机构原则</w:t>
      </w:r>
      <w:bookmarkEnd w:id="10641"/>
      <w:bookmarkEnd w:id="10642"/>
      <w:bookmarkEnd w:id="10643"/>
      <w:bookmarkEnd w:id="10644"/>
    </w:p>
    <w:p w14:paraId="18667BB7">
      <w:pPr>
        <w:ind w:firstLine="560"/>
      </w:pPr>
      <w:r>
        <w:rPr>
          <w:rFonts w:hint="eastAsia"/>
        </w:rPr>
        <w:t>本着结构合理、精干高效的原则，集中公司优势资源,加强领导与协调，确保工程顺利进行。同时，委派综合素质高、有同类工程施工经验负责本工程的施工管理。另外在资金上，本工程设立单独帐号，确保本工程专款专用。同时，在建设方资金暂时不能到位的情况下，以公司的强大资金实力为后盾，确保工程进度不会因工程款的问题而受到影响。</w:t>
      </w:r>
    </w:p>
    <w:p w14:paraId="15A9C5E2">
      <w:pPr>
        <w:ind w:firstLine="560"/>
      </w:pPr>
      <w:r>
        <w:rPr>
          <w:rFonts w:hint="eastAsia"/>
        </w:rPr>
        <w:t>项目部组织架构：</w:t>
      </w:r>
    </w:p>
    <w:p w14:paraId="323DA6F8">
      <w:pPr>
        <w:pStyle w:val="18"/>
        <w:rPr>
          <w:lang w:val="en-US"/>
        </w:rPr>
      </w:pPr>
      <w:r>
        <w:rPr>
          <w:rFonts w:hint="eastAsia"/>
          <w:lang w:val="en-US" w:bidi="ar-SA"/>
        </w:rPr>
        <w:drawing>
          <wp:inline distT="0" distB="0" distL="114300" distR="114300">
            <wp:extent cx="5270500" cy="3977640"/>
            <wp:effectExtent l="0" t="0" r="0" b="0"/>
            <wp:docPr id="488" name="ECB019B1-382A-4266-B25C-5B523AA43C14-3"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ECB019B1-382A-4266-B25C-5B523AA43C14-3" descr="wps"/>
                    <pic:cNvPicPr>
                      <a:picLocks noChangeAspect="1"/>
                    </pic:cNvPicPr>
                  </pic:nvPicPr>
                  <pic:blipFill>
                    <a:blip r:embed="rId70">
                      <a:grayscl/>
                    </a:blip>
                    <a:stretch>
                      <a:fillRect/>
                    </a:stretch>
                  </pic:blipFill>
                  <pic:spPr>
                    <a:xfrm>
                      <a:off x="0" y="0"/>
                      <a:ext cx="5270500" cy="3977640"/>
                    </a:xfrm>
                    <a:prstGeom prst="rect">
                      <a:avLst/>
                    </a:prstGeom>
                  </pic:spPr>
                </pic:pic>
              </a:graphicData>
            </a:graphic>
          </wp:inline>
        </w:drawing>
      </w:r>
    </w:p>
    <w:p w14:paraId="3A43F1EE">
      <w:pPr>
        <w:ind w:firstLine="560"/>
      </w:pPr>
      <w:r>
        <w:rPr>
          <w:rFonts w:hint="eastAsia"/>
        </w:rPr>
        <w:t>在我公司组建项目部、设置组织机构时,将严格遵守下列原则：</w:t>
      </w:r>
    </w:p>
    <w:p w14:paraId="0C76275F">
      <w:pPr>
        <w:ind w:firstLine="560"/>
      </w:pPr>
      <w:r>
        <w:rPr>
          <w:rFonts w:hint="eastAsia"/>
        </w:rPr>
        <w:t>1.专业、高素质的原则</w:t>
      </w:r>
    </w:p>
    <w:p w14:paraId="15BAF73B">
      <w:pPr>
        <w:ind w:firstLine="560"/>
      </w:pPr>
      <w:r>
        <w:rPr>
          <w:rFonts w:hint="eastAsia"/>
        </w:rPr>
        <w:t>从项目经理、总工程师、工程经理、到现场各类专业人员，我们都将选派能力强、素质高、有类似工程施工经验，具有拼搏、奉献和敬业精神的人员，组建精干、高效的项目经理部,主要管理人员具有相应的岗位资格证书。同时,组建由高级工程师、高级技术人员组成的专家顾问小组，为工程施工提供技术咨询、指导和把关。</w:t>
      </w:r>
    </w:p>
    <w:p w14:paraId="05446393">
      <w:pPr>
        <w:ind w:firstLine="560"/>
      </w:pPr>
      <w:r>
        <w:rPr>
          <w:rFonts w:hint="eastAsia"/>
        </w:rPr>
        <w:t>2.层次分明、分工明确、责任到人的原则</w:t>
      </w:r>
    </w:p>
    <w:p w14:paraId="0A6F84EC">
      <w:pPr>
        <w:ind w:firstLine="560"/>
      </w:pPr>
      <w:r>
        <w:rPr>
          <w:rFonts w:hint="eastAsia"/>
        </w:rPr>
        <w:t>组织机构分为企业保障层、项目管理层、施工作业层，企业保障是后盾，项目管理是主体，施工作业是基础，各层次之间职责分明。项目部根据任务要求,分成若干个职能部室，各职能部室之间既分工明确,又相互协作。</w:t>
      </w:r>
    </w:p>
    <w:p w14:paraId="62F85EEA">
      <w:pPr>
        <w:ind w:firstLine="560"/>
      </w:pPr>
      <w:r>
        <w:rPr>
          <w:rFonts w:hint="eastAsia"/>
        </w:rPr>
        <w:t>3.强调职能，总包统揽全局的原则</w:t>
      </w:r>
    </w:p>
    <w:p w14:paraId="7510B2C4">
      <w:pPr>
        <w:ind w:firstLine="560"/>
      </w:pPr>
      <w:r>
        <w:rPr>
          <w:rFonts w:hint="eastAsia"/>
        </w:rPr>
        <w:t>本工程规模大、范围广、分项多,因此，做好管理是本工程顺利实施的关键。</w:t>
      </w:r>
    </w:p>
    <w:p w14:paraId="78C3CF2F">
      <w:pPr>
        <w:ind w:firstLine="560"/>
      </w:pPr>
      <w:r>
        <w:rPr>
          <w:rFonts w:hint="eastAsia"/>
        </w:rPr>
        <w:t>项目部组织机构按强矩阵模式设置，从公司各职能部门抽调专门人员成立项目管理部，在项目经理直接领导下,从事总包管理和总包协调工作，视业主指定分包为自有分包，从全局出发统一协调、统一管理，行使施工管理职能,有效地解决了以前施工管理中存在的管理和协调力度不大的问题。</w:t>
      </w:r>
    </w:p>
    <w:p w14:paraId="72A6C291">
      <w:pPr>
        <w:ind w:firstLine="560"/>
      </w:pPr>
      <w:r>
        <w:rPr>
          <w:rFonts w:hint="eastAsia"/>
        </w:rPr>
        <w:t>4.发挥团队精神的原则</w:t>
      </w:r>
    </w:p>
    <w:p w14:paraId="5E25DF89">
      <w:pPr>
        <w:ind w:firstLine="560"/>
      </w:pPr>
      <w:r>
        <w:rPr>
          <w:rFonts w:hint="eastAsia"/>
        </w:rPr>
        <w:t>项目的最终成功要依靠项目团队的努力,因此，组织机构的设置和人员配备要有利于大家充分发挥团队精神。在目标设置上,要努力把项目目标和员工个人目标有机地结合起来。</w:t>
      </w:r>
    </w:p>
    <w:p w14:paraId="2506D318">
      <w:pPr>
        <w:pStyle w:val="4"/>
        <w:spacing w:before="93" w:after="31"/>
      </w:pPr>
      <w:bookmarkStart w:id="10645" w:name="_Toc24259"/>
      <w:bookmarkStart w:id="10646" w:name="_Toc4448"/>
      <w:bookmarkStart w:id="10647" w:name="_Toc19652"/>
      <w:bookmarkStart w:id="10648" w:name="_Toc7532"/>
      <w:r>
        <w:rPr>
          <w:rFonts w:hint="eastAsia"/>
        </w:rPr>
        <w:t>三、项目班子组成</w:t>
      </w:r>
      <w:bookmarkEnd w:id="10645"/>
      <w:bookmarkEnd w:id="10646"/>
      <w:bookmarkEnd w:id="10647"/>
      <w:bookmarkEnd w:id="10648"/>
    </w:p>
    <w:tbl>
      <w:tblPr>
        <w:tblStyle w:val="1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2143"/>
        <w:gridCol w:w="861"/>
        <w:gridCol w:w="861"/>
        <w:gridCol w:w="2675"/>
        <w:gridCol w:w="1053"/>
        <w:gridCol w:w="1053"/>
        <w:gridCol w:w="1056"/>
      </w:tblGrid>
      <w:tr w14:paraId="6D8E6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restart"/>
            <w:shd w:val="clear" w:color="auto" w:fill="auto"/>
            <w:vAlign w:val="center"/>
          </w:tcPr>
          <w:p w14:paraId="07C1FD85">
            <w:pPr>
              <w:pStyle w:val="18"/>
              <w:rPr>
                <w:lang w:val="en-US"/>
              </w:rPr>
            </w:pPr>
            <w:r>
              <w:rPr>
                <w:rFonts w:hint="eastAsia"/>
                <w:lang w:val="en-US"/>
              </w:rPr>
              <w:t>序号</w:t>
            </w:r>
          </w:p>
        </w:tc>
        <w:tc>
          <w:tcPr>
            <w:tcW w:w="1003" w:type="pct"/>
            <w:vMerge w:val="restart"/>
            <w:shd w:val="clear" w:color="auto" w:fill="auto"/>
            <w:vAlign w:val="center"/>
          </w:tcPr>
          <w:p w14:paraId="2A5A48AD">
            <w:pPr>
              <w:pStyle w:val="18"/>
              <w:rPr>
                <w:lang w:val="en-US"/>
              </w:rPr>
            </w:pPr>
            <w:r>
              <w:rPr>
                <w:rFonts w:hint="eastAsia"/>
                <w:lang w:val="en-US"/>
              </w:rPr>
              <w:t>职务</w:t>
            </w:r>
          </w:p>
        </w:tc>
        <w:tc>
          <w:tcPr>
            <w:tcW w:w="403" w:type="pct"/>
            <w:vMerge w:val="restart"/>
            <w:shd w:val="clear" w:color="auto" w:fill="auto"/>
            <w:vAlign w:val="center"/>
          </w:tcPr>
          <w:p w14:paraId="6939DB70">
            <w:pPr>
              <w:pStyle w:val="18"/>
              <w:rPr>
                <w:lang w:val="en-US"/>
              </w:rPr>
            </w:pPr>
            <w:r>
              <w:rPr>
                <w:rFonts w:hint="eastAsia"/>
                <w:lang w:val="en-US"/>
              </w:rPr>
              <w:t>姓名</w:t>
            </w:r>
          </w:p>
        </w:tc>
        <w:tc>
          <w:tcPr>
            <w:tcW w:w="403" w:type="pct"/>
            <w:vMerge w:val="restart"/>
            <w:shd w:val="clear" w:color="auto" w:fill="auto"/>
            <w:vAlign w:val="center"/>
          </w:tcPr>
          <w:p w14:paraId="6025DC99">
            <w:pPr>
              <w:pStyle w:val="18"/>
              <w:rPr>
                <w:lang w:val="en-US"/>
              </w:rPr>
            </w:pPr>
            <w:r>
              <w:rPr>
                <w:rFonts w:hint="eastAsia"/>
                <w:lang w:val="en-US"/>
              </w:rPr>
              <w:t>职称</w:t>
            </w:r>
          </w:p>
        </w:tc>
        <w:tc>
          <w:tcPr>
            <w:tcW w:w="2732" w:type="pct"/>
            <w:gridSpan w:val="4"/>
            <w:shd w:val="clear" w:color="auto" w:fill="auto"/>
            <w:vAlign w:val="center"/>
          </w:tcPr>
          <w:p w14:paraId="4CF2A49F">
            <w:pPr>
              <w:pStyle w:val="18"/>
              <w:rPr>
                <w:lang w:val="en-US"/>
              </w:rPr>
            </w:pPr>
            <w:r>
              <w:rPr>
                <w:rFonts w:hint="eastAsia"/>
                <w:lang w:val="en-US"/>
              </w:rPr>
              <w:t>执业或职业资格证明</w:t>
            </w:r>
          </w:p>
        </w:tc>
      </w:tr>
      <w:tr w14:paraId="3C6A5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vMerge w:val="continue"/>
            <w:shd w:val="clear" w:color="auto" w:fill="auto"/>
            <w:vAlign w:val="center"/>
          </w:tcPr>
          <w:p w14:paraId="76B390D9">
            <w:pPr>
              <w:pStyle w:val="18"/>
              <w:rPr>
                <w:lang w:val="en-US"/>
              </w:rPr>
            </w:pPr>
          </w:p>
        </w:tc>
        <w:tc>
          <w:tcPr>
            <w:tcW w:w="1003" w:type="pct"/>
            <w:vMerge w:val="continue"/>
            <w:shd w:val="clear" w:color="auto" w:fill="auto"/>
            <w:vAlign w:val="center"/>
          </w:tcPr>
          <w:p w14:paraId="0247CE31">
            <w:pPr>
              <w:pStyle w:val="18"/>
              <w:rPr>
                <w:lang w:val="en-US"/>
              </w:rPr>
            </w:pPr>
          </w:p>
        </w:tc>
        <w:tc>
          <w:tcPr>
            <w:tcW w:w="403" w:type="pct"/>
            <w:vMerge w:val="continue"/>
            <w:shd w:val="clear" w:color="auto" w:fill="auto"/>
            <w:vAlign w:val="center"/>
          </w:tcPr>
          <w:p w14:paraId="5FA943CB">
            <w:pPr>
              <w:pStyle w:val="18"/>
              <w:rPr>
                <w:lang w:val="en-US"/>
              </w:rPr>
            </w:pPr>
          </w:p>
        </w:tc>
        <w:tc>
          <w:tcPr>
            <w:tcW w:w="403" w:type="pct"/>
            <w:vMerge w:val="continue"/>
            <w:shd w:val="clear" w:color="auto" w:fill="auto"/>
            <w:vAlign w:val="center"/>
          </w:tcPr>
          <w:p w14:paraId="62021E7F">
            <w:pPr>
              <w:pStyle w:val="18"/>
              <w:rPr>
                <w:lang w:val="en-US"/>
              </w:rPr>
            </w:pPr>
          </w:p>
        </w:tc>
        <w:tc>
          <w:tcPr>
            <w:tcW w:w="1252" w:type="pct"/>
            <w:shd w:val="clear" w:color="auto" w:fill="auto"/>
            <w:vAlign w:val="center"/>
          </w:tcPr>
          <w:p w14:paraId="185C0AB6">
            <w:pPr>
              <w:pStyle w:val="18"/>
              <w:rPr>
                <w:lang w:val="en-US"/>
              </w:rPr>
            </w:pPr>
            <w:r>
              <w:rPr>
                <w:rFonts w:hint="eastAsia"/>
                <w:lang w:val="en-US"/>
              </w:rPr>
              <w:t>证书名称</w:t>
            </w:r>
          </w:p>
        </w:tc>
        <w:tc>
          <w:tcPr>
            <w:tcW w:w="493" w:type="pct"/>
            <w:shd w:val="clear" w:color="auto" w:fill="auto"/>
            <w:vAlign w:val="center"/>
          </w:tcPr>
          <w:p w14:paraId="0329E7DA">
            <w:pPr>
              <w:pStyle w:val="18"/>
              <w:rPr>
                <w:lang w:val="en-US"/>
              </w:rPr>
            </w:pPr>
            <w:r>
              <w:rPr>
                <w:rFonts w:hint="eastAsia"/>
                <w:lang w:val="en-US"/>
              </w:rPr>
              <w:t>级别</w:t>
            </w:r>
          </w:p>
        </w:tc>
        <w:tc>
          <w:tcPr>
            <w:tcW w:w="493" w:type="pct"/>
            <w:shd w:val="clear" w:color="auto" w:fill="auto"/>
            <w:vAlign w:val="center"/>
          </w:tcPr>
          <w:p w14:paraId="3B82A2BB">
            <w:pPr>
              <w:pStyle w:val="18"/>
              <w:rPr>
                <w:lang w:val="en-US"/>
              </w:rPr>
            </w:pPr>
            <w:r>
              <w:rPr>
                <w:rFonts w:hint="eastAsia"/>
                <w:lang w:val="en-US"/>
              </w:rPr>
              <w:t>证号</w:t>
            </w:r>
          </w:p>
        </w:tc>
        <w:tc>
          <w:tcPr>
            <w:tcW w:w="494" w:type="pct"/>
            <w:shd w:val="clear" w:color="auto" w:fill="auto"/>
            <w:vAlign w:val="center"/>
          </w:tcPr>
          <w:p w14:paraId="7A206826">
            <w:pPr>
              <w:pStyle w:val="18"/>
              <w:rPr>
                <w:lang w:val="en-US"/>
              </w:rPr>
            </w:pPr>
            <w:r>
              <w:rPr>
                <w:rFonts w:hint="eastAsia"/>
                <w:lang w:val="en-US"/>
              </w:rPr>
              <w:t>专业</w:t>
            </w:r>
          </w:p>
        </w:tc>
      </w:tr>
      <w:tr w14:paraId="24FA5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415702C3">
            <w:pPr>
              <w:pStyle w:val="18"/>
              <w:rPr>
                <w:lang w:val="en-US"/>
              </w:rPr>
            </w:pPr>
            <w:r>
              <w:rPr>
                <w:rFonts w:hint="eastAsia"/>
                <w:lang w:val="en-US"/>
              </w:rPr>
              <w:t>1</w:t>
            </w:r>
          </w:p>
        </w:tc>
        <w:tc>
          <w:tcPr>
            <w:tcW w:w="1003" w:type="pct"/>
            <w:shd w:val="clear" w:color="auto" w:fill="auto"/>
            <w:vAlign w:val="center"/>
          </w:tcPr>
          <w:p w14:paraId="78518680">
            <w:pPr>
              <w:pStyle w:val="18"/>
              <w:rPr>
                <w:lang w:val="en-US"/>
              </w:rPr>
            </w:pPr>
            <w:r>
              <w:rPr>
                <w:rFonts w:hint="eastAsia"/>
                <w:lang w:val="en-US"/>
              </w:rPr>
              <w:t>项目经理</w:t>
            </w:r>
          </w:p>
        </w:tc>
        <w:tc>
          <w:tcPr>
            <w:tcW w:w="403" w:type="pct"/>
            <w:shd w:val="clear" w:color="auto" w:fill="auto"/>
            <w:vAlign w:val="center"/>
          </w:tcPr>
          <w:p w14:paraId="79F24B36">
            <w:pPr>
              <w:pStyle w:val="18"/>
              <w:rPr>
                <w:lang w:val="en-US"/>
              </w:rPr>
            </w:pPr>
            <w:r>
              <w:rPr>
                <w:rFonts w:hint="eastAsia"/>
                <w:lang w:val="en-US"/>
              </w:rPr>
              <w:t>**</w:t>
            </w:r>
          </w:p>
        </w:tc>
        <w:tc>
          <w:tcPr>
            <w:tcW w:w="403" w:type="pct"/>
            <w:shd w:val="clear" w:color="auto" w:fill="auto"/>
            <w:vAlign w:val="center"/>
          </w:tcPr>
          <w:p w14:paraId="41BABEEB">
            <w:pPr>
              <w:pStyle w:val="18"/>
              <w:rPr>
                <w:lang w:val="en-US"/>
              </w:rPr>
            </w:pPr>
            <w:r>
              <w:rPr>
                <w:rFonts w:hint="eastAsia"/>
                <w:lang w:val="en-US"/>
              </w:rPr>
              <w:t>**</w:t>
            </w:r>
          </w:p>
        </w:tc>
        <w:tc>
          <w:tcPr>
            <w:tcW w:w="1252" w:type="pct"/>
            <w:shd w:val="clear" w:color="auto" w:fill="auto"/>
            <w:vAlign w:val="center"/>
          </w:tcPr>
          <w:p w14:paraId="375A0E49">
            <w:pPr>
              <w:pStyle w:val="18"/>
              <w:rPr>
                <w:lang w:val="en-US"/>
              </w:rPr>
            </w:pPr>
            <w:r>
              <w:rPr>
                <w:rFonts w:hint="eastAsia"/>
                <w:lang w:val="en-US"/>
              </w:rPr>
              <w:t>注册建造师</w:t>
            </w:r>
          </w:p>
        </w:tc>
        <w:tc>
          <w:tcPr>
            <w:tcW w:w="493" w:type="pct"/>
            <w:shd w:val="clear" w:color="auto" w:fill="auto"/>
            <w:vAlign w:val="center"/>
          </w:tcPr>
          <w:p w14:paraId="3CA4F227">
            <w:pPr>
              <w:pStyle w:val="18"/>
              <w:rPr>
                <w:lang w:val="en-US"/>
              </w:rPr>
            </w:pPr>
            <w:r>
              <w:rPr>
                <w:rFonts w:hint="eastAsia"/>
                <w:lang w:val="en-US"/>
              </w:rPr>
              <w:t>一级</w:t>
            </w:r>
          </w:p>
        </w:tc>
        <w:tc>
          <w:tcPr>
            <w:tcW w:w="493" w:type="pct"/>
            <w:shd w:val="clear" w:color="auto" w:fill="auto"/>
            <w:vAlign w:val="center"/>
          </w:tcPr>
          <w:p w14:paraId="261ACB8F">
            <w:pPr>
              <w:pStyle w:val="18"/>
              <w:rPr>
                <w:lang w:val="en-US"/>
              </w:rPr>
            </w:pPr>
            <w:r>
              <w:rPr>
                <w:rFonts w:hint="eastAsia"/>
                <w:lang w:val="en-US"/>
              </w:rPr>
              <w:t>**</w:t>
            </w:r>
          </w:p>
        </w:tc>
        <w:tc>
          <w:tcPr>
            <w:tcW w:w="494" w:type="pct"/>
            <w:shd w:val="clear" w:color="auto" w:fill="auto"/>
            <w:vAlign w:val="center"/>
          </w:tcPr>
          <w:p w14:paraId="74BC44F1">
            <w:pPr>
              <w:pStyle w:val="18"/>
              <w:rPr>
                <w:lang w:val="en-US"/>
              </w:rPr>
            </w:pPr>
            <w:r>
              <w:rPr>
                <w:rFonts w:hint="eastAsia"/>
                <w:lang w:val="en-US"/>
              </w:rPr>
              <w:t>**</w:t>
            </w:r>
          </w:p>
        </w:tc>
      </w:tr>
      <w:tr w14:paraId="56809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48307FE3">
            <w:pPr>
              <w:pStyle w:val="18"/>
              <w:rPr>
                <w:lang w:val="en-US"/>
              </w:rPr>
            </w:pPr>
            <w:r>
              <w:rPr>
                <w:rFonts w:hint="eastAsia"/>
                <w:lang w:val="en-US"/>
              </w:rPr>
              <w:t>2</w:t>
            </w:r>
          </w:p>
        </w:tc>
        <w:tc>
          <w:tcPr>
            <w:tcW w:w="1003" w:type="pct"/>
            <w:shd w:val="clear" w:color="auto" w:fill="auto"/>
            <w:vAlign w:val="center"/>
          </w:tcPr>
          <w:p w14:paraId="30889E49">
            <w:pPr>
              <w:pStyle w:val="18"/>
              <w:rPr>
                <w:lang w:val="en-US"/>
              </w:rPr>
            </w:pPr>
            <w:r>
              <w:rPr>
                <w:rFonts w:hint="eastAsia"/>
                <w:lang w:val="en-US"/>
              </w:rPr>
              <w:t>总工程师</w:t>
            </w:r>
          </w:p>
        </w:tc>
        <w:tc>
          <w:tcPr>
            <w:tcW w:w="403" w:type="pct"/>
            <w:shd w:val="clear" w:color="auto" w:fill="auto"/>
            <w:vAlign w:val="center"/>
          </w:tcPr>
          <w:p w14:paraId="01D75376">
            <w:pPr>
              <w:pStyle w:val="18"/>
              <w:rPr>
                <w:lang w:val="en-US"/>
              </w:rPr>
            </w:pPr>
            <w:r>
              <w:rPr>
                <w:rFonts w:hint="eastAsia"/>
                <w:lang w:val="en-US"/>
              </w:rPr>
              <w:t>**</w:t>
            </w:r>
          </w:p>
        </w:tc>
        <w:tc>
          <w:tcPr>
            <w:tcW w:w="403" w:type="pct"/>
            <w:shd w:val="clear" w:color="auto" w:fill="auto"/>
            <w:vAlign w:val="center"/>
          </w:tcPr>
          <w:p w14:paraId="57C8DC25">
            <w:pPr>
              <w:pStyle w:val="18"/>
              <w:rPr>
                <w:lang w:val="en-US"/>
              </w:rPr>
            </w:pPr>
            <w:r>
              <w:rPr>
                <w:rFonts w:hint="eastAsia"/>
                <w:lang w:val="en-US"/>
              </w:rPr>
              <w:t>**</w:t>
            </w:r>
          </w:p>
        </w:tc>
        <w:tc>
          <w:tcPr>
            <w:tcW w:w="1252" w:type="pct"/>
            <w:shd w:val="clear" w:color="auto" w:fill="auto"/>
            <w:vAlign w:val="center"/>
          </w:tcPr>
          <w:p w14:paraId="70E61B1A">
            <w:pPr>
              <w:pStyle w:val="18"/>
              <w:rPr>
                <w:lang w:val="en-US"/>
              </w:rPr>
            </w:pPr>
            <w:r>
              <w:rPr>
                <w:rFonts w:hint="eastAsia"/>
                <w:lang w:val="en-US"/>
              </w:rPr>
              <w:t>注册建造师</w:t>
            </w:r>
          </w:p>
        </w:tc>
        <w:tc>
          <w:tcPr>
            <w:tcW w:w="493" w:type="pct"/>
            <w:shd w:val="clear" w:color="auto" w:fill="auto"/>
            <w:vAlign w:val="center"/>
          </w:tcPr>
          <w:p w14:paraId="4F191BEC">
            <w:pPr>
              <w:pStyle w:val="18"/>
              <w:rPr>
                <w:lang w:val="en-US"/>
              </w:rPr>
            </w:pPr>
            <w:r>
              <w:rPr>
                <w:rFonts w:hint="eastAsia"/>
                <w:lang w:val="en-US"/>
              </w:rPr>
              <w:t>一级</w:t>
            </w:r>
          </w:p>
        </w:tc>
        <w:tc>
          <w:tcPr>
            <w:tcW w:w="493" w:type="pct"/>
            <w:shd w:val="clear" w:color="auto" w:fill="auto"/>
            <w:vAlign w:val="center"/>
          </w:tcPr>
          <w:p w14:paraId="1FE6625F">
            <w:pPr>
              <w:pStyle w:val="18"/>
              <w:rPr>
                <w:lang w:val="en-US"/>
              </w:rPr>
            </w:pPr>
            <w:r>
              <w:rPr>
                <w:rFonts w:hint="eastAsia"/>
                <w:lang w:val="en-US"/>
              </w:rPr>
              <w:t>**</w:t>
            </w:r>
          </w:p>
        </w:tc>
        <w:tc>
          <w:tcPr>
            <w:tcW w:w="494" w:type="pct"/>
            <w:shd w:val="clear" w:color="auto" w:fill="auto"/>
            <w:vAlign w:val="center"/>
          </w:tcPr>
          <w:p w14:paraId="7CCF036A">
            <w:pPr>
              <w:pStyle w:val="18"/>
              <w:rPr>
                <w:lang w:val="en-US"/>
              </w:rPr>
            </w:pPr>
            <w:r>
              <w:rPr>
                <w:rFonts w:hint="eastAsia"/>
                <w:lang w:val="en-US"/>
              </w:rPr>
              <w:t>**</w:t>
            </w:r>
          </w:p>
        </w:tc>
      </w:tr>
      <w:tr w14:paraId="66472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77878794">
            <w:pPr>
              <w:pStyle w:val="18"/>
              <w:rPr>
                <w:lang w:val="en-US"/>
              </w:rPr>
            </w:pPr>
            <w:r>
              <w:rPr>
                <w:rFonts w:hint="eastAsia"/>
                <w:lang w:val="en-US"/>
              </w:rPr>
              <w:t>3</w:t>
            </w:r>
          </w:p>
        </w:tc>
        <w:tc>
          <w:tcPr>
            <w:tcW w:w="1003" w:type="pct"/>
            <w:shd w:val="clear" w:color="auto" w:fill="auto"/>
            <w:vAlign w:val="center"/>
          </w:tcPr>
          <w:p w14:paraId="47376CC9">
            <w:pPr>
              <w:pStyle w:val="18"/>
              <w:rPr>
                <w:lang w:val="en-US"/>
              </w:rPr>
            </w:pPr>
            <w:r>
              <w:rPr>
                <w:rFonts w:hint="eastAsia"/>
                <w:lang w:val="en-US"/>
              </w:rPr>
              <w:t>测量工程师</w:t>
            </w:r>
          </w:p>
        </w:tc>
        <w:tc>
          <w:tcPr>
            <w:tcW w:w="403" w:type="pct"/>
            <w:shd w:val="clear" w:color="auto" w:fill="auto"/>
            <w:vAlign w:val="center"/>
          </w:tcPr>
          <w:p w14:paraId="58F56FC3">
            <w:pPr>
              <w:pStyle w:val="18"/>
              <w:rPr>
                <w:lang w:val="en-US"/>
              </w:rPr>
            </w:pPr>
            <w:r>
              <w:rPr>
                <w:rFonts w:hint="eastAsia"/>
                <w:lang w:val="en-US"/>
              </w:rPr>
              <w:t>**</w:t>
            </w:r>
          </w:p>
        </w:tc>
        <w:tc>
          <w:tcPr>
            <w:tcW w:w="403" w:type="pct"/>
            <w:shd w:val="clear" w:color="auto" w:fill="auto"/>
            <w:vAlign w:val="center"/>
          </w:tcPr>
          <w:p w14:paraId="710AE67B">
            <w:pPr>
              <w:pStyle w:val="18"/>
              <w:rPr>
                <w:lang w:val="en-US"/>
              </w:rPr>
            </w:pPr>
            <w:r>
              <w:rPr>
                <w:rFonts w:hint="eastAsia"/>
                <w:lang w:val="en-US"/>
              </w:rPr>
              <w:t>**</w:t>
            </w:r>
          </w:p>
        </w:tc>
        <w:tc>
          <w:tcPr>
            <w:tcW w:w="1252" w:type="pct"/>
            <w:shd w:val="clear" w:color="auto" w:fill="auto"/>
            <w:vAlign w:val="center"/>
          </w:tcPr>
          <w:p w14:paraId="26598C48">
            <w:pPr>
              <w:pStyle w:val="18"/>
              <w:rPr>
                <w:lang w:val="en-US"/>
              </w:rPr>
            </w:pPr>
            <w:r>
              <w:rPr>
                <w:rFonts w:hint="eastAsia"/>
                <w:lang w:val="en-US"/>
              </w:rPr>
              <w:t>职称证</w:t>
            </w:r>
          </w:p>
        </w:tc>
        <w:tc>
          <w:tcPr>
            <w:tcW w:w="493" w:type="pct"/>
            <w:shd w:val="clear" w:color="auto" w:fill="auto"/>
            <w:vAlign w:val="center"/>
          </w:tcPr>
          <w:p w14:paraId="17D3CA6F">
            <w:pPr>
              <w:pStyle w:val="18"/>
              <w:rPr>
                <w:lang w:val="en-US"/>
              </w:rPr>
            </w:pPr>
            <w:r>
              <w:rPr>
                <w:rFonts w:hint="eastAsia"/>
                <w:lang w:val="en-US"/>
              </w:rPr>
              <w:t>高级</w:t>
            </w:r>
          </w:p>
        </w:tc>
        <w:tc>
          <w:tcPr>
            <w:tcW w:w="493" w:type="pct"/>
            <w:shd w:val="clear" w:color="auto" w:fill="auto"/>
            <w:vAlign w:val="center"/>
          </w:tcPr>
          <w:p w14:paraId="44754A1E">
            <w:pPr>
              <w:pStyle w:val="18"/>
              <w:rPr>
                <w:lang w:val="en-US"/>
              </w:rPr>
            </w:pPr>
            <w:r>
              <w:rPr>
                <w:rFonts w:hint="eastAsia"/>
                <w:lang w:val="en-US"/>
              </w:rPr>
              <w:t>**</w:t>
            </w:r>
          </w:p>
        </w:tc>
        <w:tc>
          <w:tcPr>
            <w:tcW w:w="494" w:type="pct"/>
            <w:shd w:val="clear" w:color="auto" w:fill="auto"/>
            <w:vAlign w:val="center"/>
          </w:tcPr>
          <w:p w14:paraId="0D5E8DFA">
            <w:pPr>
              <w:pStyle w:val="18"/>
              <w:rPr>
                <w:lang w:val="en-US"/>
              </w:rPr>
            </w:pPr>
            <w:r>
              <w:rPr>
                <w:rFonts w:hint="eastAsia"/>
                <w:lang w:val="en-US"/>
              </w:rPr>
              <w:t>**</w:t>
            </w:r>
          </w:p>
        </w:tc>
      </w:tr>
      <w:tr w14:paraId="46239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19B40028">
            <w:pPr>
              <w:pStyle w:val="18"/>
              <w:rPr>
                <w:lang w:val="en-US"/>
              </w:rPr>
            </w:pPr>
            <w:r>
              <w:rPr>
                <w:rFonts w:hint="eastAsia"/>
                <w:lang w:val="en-US"/>
              </w:rPr>
              <w:t>4</w:t>
            </w:r>
          </w:p>
        </w:tc>
        <w:tc>
          <w:tcPr>
            <w:tcW w:w="1003" w:type="pct"/>
            <w:shd w:val="clear" w:color="auto" w:fill="auto"/>
            <w:vAlign w:val="center"/>
          </w:tcPr>
          <w:p w14:paraId="12753EC9">
            <w:pPr>
              <w:pStyle w:val="18"/>
              <w:rPr>
                <w:lang w:val="en-US"/>
              </w:rPr>
            </w:pPr>
            <w:r>
              <w:rPr>
                <w:rFonts w:hint="eastAsia"/>
                <w:lang w:val="en-US"/>
              </w:rPr>
              <w:t>安全负责人</w:t>
            </w:r>
          </w:p>
        </w:tc>
        <w:tc>
          <w:tcPr>
            <w:tcW w:w="403" w:type="pct"/>
            <w:shd w:val="clear" w:color="auto" w:fill="auto"/>
            <w:vAlign w:val="center"/>
          </w:tcPr>
          <w:p w14:paraId="47B25621">
            <w:pPr>
              <w:pStyle w:val="18"/>
              <w:rPr>
                <w:lang w:val="en-US"/>
              </w:rPr>
            </w:pPr>
            <w:r>
              <w:rPr>
                <w:rFonts w:hint="eastAsia"/>
                <w:lang w:val="en-US"/>
              </w:rPr>
              <w:t>**</w:t>
            </w:r>
          </w:p>
        </w:tc>
        <w:tc>
          <w:tcPr>
            <w:tcW w:w="403" w:type="pct"/>
            <w:shd w:val="clear" w:color="auto" w:fill="auto"/>
            <w:vAlign w:val="center"/>
          </w:tcPr>
          <w:p w14:paraId="3A30F3D1">
            <w:pPr>
              <w:pStyle w:val="18"/>
              <w:rPr>
                <w:lang w:val="en-US"/>
              </w:rPr>
            </w:pPr>
            <w:r>
              <w:rPr>
                <w:rFonts w:hint="eastAsia"/>
                <w:lang w:val="en-US"/>
              </w:rPr>
              <w:t>**</w:t>
            </w:r>
          </w:p>
        </w:tc>
        <w:tc>
          <w:tcPr>
            <w:tcW w:w="1252" w:type="pct"/>
            <w:shd w:val="clear" w:color="auto" w:fill="auto"/>
            <w:vAlign w:val="center"/>
          </w:tcPr>
          <w:p w14:paraId="463AF21C">
            <w:pPr>
              <w:pStyle w:val="18"/>
              <w:rPr>
                <w:lang w:val="en-US"/>
              </w:rPr>
            </w:pPr>
            <w:r>
              <w:rPr>
                <w:rFonts w:hint="eastAsia"/>
                <w:lang w:val="en-US"/>
              </w:rPr>
              <w:t>注册安全工程师</w:t>
            </w:r>
          </w:p>
        </w:tc>
        <w:tc>
          <w:tcPr>
            <w:tcW w:w="493" w:type="pct"/>
            <w:shd w:val="clear" w:color="auto" w:fill="auto"/>
            <w:vAlign w:val="center"/>
          </w:tcPr>
          <w:p w14:paraId="051CE296">
            <w:pPr>
              <w:pStyle w:val="18"/>
              <w:rPr>
                <w:lang w:val="en-US"/>
              </w:rPr>
            </w:pPr>
            <w:r>
              <w:rPr>
                <w:rFonts w:hint="eastAsia"/>
                <w:lang w:val="en-US"/>
              </w:rPr>
              <w:t>一级</w:t>
            </w:r>
          </w:p>
        </w:tc>
        <w:tc>
          <w:tcPr>
            <w:tcW w:w="493" w:type="pct"/>
            <w:shd w:val="clear" w:color="auto" w:fill="auto"/>
            <w:vAlign w:val="center"/>
          </w:tcPr>
          <w:p w14:paraId="795C4EA2">
            <w:pPr>
              <w:pStyle w:val="18"/>
              <w:rPr>
                <w:lang w:val="en-US"/>
              </w:rPr>
            </w:pPr>
            <w:r>
              <w:rPr>
                <w:rFonts w:hint="eastAsia"/>
                <w:lang w:val="en-US"/>
              </w:rPr>
              <w:t>**</w:t>
            </w:r>
          </w:p>
        </w:tc>
        <w:tc>
          <w:tcPr>
            <w:tcW w:w="494" w:type="pct"/>
            <w:shd w:val="clear" w:color="auto" w:fill="auto"/>
            <w:vAlign w:val="center"/>
          </w:tcPr>
          <w:p w14:paraId="3C25B08A">
            <w:pPr>
              <w:pStyle w:val="18"/>
              <w:rPr>
                <w:lang w:val="en-US"/>
              </w:rPr>
            </w:pPr>
            <w:r>
              <w:rPr>
                <w:rFonts w:hint="eastAsia"/>
                <w:lang w:val="en-US"/>
              </w:rPr>
              <w:t>**</w:t>
            </w:r>
          </w:p>
        </w:tc>
      </w:tr>
      <w:tr w14:paraId="149F2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14EDF5A2">
            <w:pPr>
              <w:pStyle w:val="18"/>
              <w:rPr>
                <w:lang w:val="en-US"/>
              </w:rPr>
            </w:pPr>
            <w:r>
              <w:rPr>
                <w:rFonts w:hint="eastAsia"/>
                <w:lang w:val="en-US"/>
              </w:rPr>
              <w:t>5</w:t>
            </w:r>
          </w:p>
        </w:tc>
        <w:tc>
          <w:tcPr>
            <w:tcW w:w="1003" w:type="pct"/>
            <w:shd w:val="clear" w:color="auto" w:fill="auto"/>
            <w:vAlign w:val="center"/>
          </w:tcPr>
          <w:p w14:paraId="24C2A5A0">
            <w:pPr>
              <w:pStyle w:val="18"/>
              <w:rPr>
                <w:lang w:val="en-US"/>
              </w:rPr>
            </w:pPr>
            <w:r>
              <w:rPr>
                <w:rFonts w:hint="eastAsia"/>
                <w:lang w:val="en-US"/>
              </w:rPr>
              <w:t>质量负责人</w:t>
            </w:r>
          </w:p>
        </w:tc>
        <w:tc>
          <w:tcPr>
            <w:tcW w:w="403" w:type="pct"/>
            <w:shd w:val="clear" w:color="auto" w:fill="auto"/>
            <w:vAlign w:val="center"/>
          </w:tcPr>
          <w:p w14:paraId="5E3922B3">
            <w:pPr>
              <w:pStyle w:val="18"/>
              <w:rPr>
                <w:lang w:val="en-US"/>
              </w:rPr>
            </w:pPr>
            <w:r>
              <w:rPr>
                <w:rFonts w:hint="eastAsia"/>
                <w:lang w:val="en-US"/>
              </w:rPr>
              <w:t>**</w:t>
            </w:r>
          </w:p>
        </w:tc>
        <w:tc>
          <w:tcPr>
            <w:tcW w:w="403" w:type="pct"/>
            <w:shd w:val="clear" w:color="auto" w:fill="auto"/>
            <w:vAlign w:val="center"/>
          </w:tcPr>
          <w:p w14:paraId="251AE914">
            <w:pPr>
              <w:pStyle w:val="18"/>
              <w:rPr>
                <w:lang w:val="en-US"/>
              </w:rPr>
            </w:pPr>
            <w:r>
              <w:rPr>
                <w:rFonts w:hint="eastAsia"/>
                <w:lang w:val="en-US"/>
              </w:rPr>
              <w:t>**</w:t>
            </w:r>
          </w:p>
        </w:tc>
        <w:tc>
          <w:tcPr>
            <w:tcW w:w="1252" w:type="pct"/>
            <w:shd w:val="clear" w:color="auto" w:fill="auto"/>
            <w:vAlign w:val="center"/>
          </w:tcPr>
          <w:p w14:paraId="7EEF521C">
            <w:pPr>
              <w:pStyle w:val="18"/>
              <w:rPr>
                <w:lang w:val="en-US"/>
              </w:rPr>
            </w:pPr>
            <w:r>
              <w:rPr>
                <w:rFonts w:hint="eastAsia"/>
                <w:lang w:val="en-US"/>
              </w:rPr>
              <w:t>职称证</w:t>
            </w:r>
          </w:p>
        </w:tc>
        <w:tc>
          <w:tcPr>
            <w:tcW w:w="493" w:type="pct"/>
            <w:shd w:val="clear" w:color="auto" w:fill="auto"/>
            <w:vAlign w:val="center"/>
          </w:tcPr>
          <w:p w14:paraId="3ACE77D3">
            <w:pPr>
              <w:pStyle w:val="18"/>
              <w:rPr>
                <w:lang w:val="en-US"/>
              </w:rPr>
            </w:pPr>
            <w:r>
              <w:rPr>
                <w:rFonts w:hint="eastAsia"/>
                <w:lang w:val="en-US"/>
              </w:rPr>
              <w:t>高级</w:t>
            </w:r>
          </w:p>
        </w:tc>
        <w:tc>
          <w:tcPr>
            <w:tcW w:w="493" w:type="pct"/>
            <w:shd w:val="clear" w:color="auto" w:fill="auto"/>
            <w:vAlign w:val="center"/>
          </w:tcPr>
          <w:p w14:paraId="5B963C95">
            <w:pPr>
              <w:pStyle w:val="18"/>
              <w:rPr>
                <w:lang w:val="en-US"/>
              </w:rPr>
            </w:pPr>
            <w:r>
              <w:rPr>
                <w:rFonts w:hint="eastAsia"/>
                <w:lang w:val="en-US"/>
              </w:rPr>
              <w:t>**</w:t>
            </w:r>
          </w:p>
        </w:tc>
        <w:tc>
          <w:tcPr>
            <w:tcW w:w="494" w:type="pct"/>
            <w:shd w:val="clear" w:color="auto" w:fill="auto"/>
            <w:vAlign w:val="center"/>
          </w:tcPr>
          <w:p w14:paraId="2E384B98">
            <w:pPr>
              <w:pStyle w:val="18"/>
              <w:rPr>
                <w:lang w:val="en-US"/>
              </w:rPr>
            </w:pPr>
            <w:r>
              <w:rPr>
                <w:rFonts w:hint="eastAsia"/>
                <w:lang w:val="en-US"/>
              </w:rPr>
              <w:t>**</w:t>
            </w:r>
          </w:p>
        </w:tc>
      </w:tr>
      <w:tr w14:paraId="6E03A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0D8EF95B">
            <w:pPr>
              <w:pStyle w:val="18"/>
              <w:rPr>
                <w:lang w:val="en-US"/>
              </w:rPr>
            </w:pPr>
            <w:r>
              <w:rPr>
                <w:rFonts w:hint="eastAsia"/>
                <w:lang w:val="en-US"/>
              </w:rPr>
              <w:t>6</w:t>
            </w:r>
          </w:p>
        </w:tc>
        <w:tc>
          <w:tcPr>
            <w:tcW w:w="1003" w:type="pct"/>
            <w:shd w:val="clear" w:color="auto" w:fill="auto"/>
            <w:vAlign w:val="center"/>
          </w:tcPr>
          <w:p w14:paraId="5AF47B61">
            <w:pPr>
              <w:pStyle w:val="18"/>
              <w:rPr>
                <w:lang w:val="en-US"/>
              </w:rPr>
            </w:pPr>
            <w:r>
              <w:rPr>
                <w:rFonts w:hint="eastAsia"/>
                <w:lang w:val="en-US"/>
              </w:rPr>
              <w:t>施工员</w:t>
            </w:r>
          </w:p>
        </w:tc>
        <w:tc>
          <w:tcPr>
            <w:tcW w:w="403" w:type="pct"/>
            <w:shd w:val="clear" w:color="auto" w:fill="auto"/>
            <w:vAlign w:val="center"/>
          </w:tcPr>
          <w:p w14:paraId="59AFA672">
            <w:pPr>
              <w:pStyle w:val="18"/>
              <w:rPr>
                <w:lang w:val="en-US"/>
              </w:rPr>
            </w:pPr>
            <w:r>
              <w:rPr>
                <w:rFonts w:hint="eastAsia"/>
                <w:lang w:val="en-US"/>
              </w:rPr>
              <w:t>**</w:t>
            </w:r>
          </w:p>
        </w:tc>
        <w:tc>
          <w:tcPr>
            <w:tcW w:w="403" w:type="pct"/>
            <w:shd w:val="clear" w:color="auto" w:fill="auto"/>
            <w:vAlign w:val="center"/>
          </w:tcPr>
          <w:p w14:paraId="1E8B1887">
            <w:pPr>
              <w:pStyle w:val="18"/>
              <w:rPr>
                <w:lang w:val="en-US"/>
              </w:rPr>
            </w:pPr>
            <w:r>
              <w:rPr>
                <w:rFonts w:hint="eastAsia"/>
                <w:lang w:val="en-US"/>
              </w:rPr>
              <w:t>**</w:t>
            </w:r>
          </w:p>
        </w:tc>
        <w:tc>
          <w:tcPr>
            <w:tcW w:w="1252" w:type="pct"/>
            <w:shd w:val="clear" w:color="auto" w:fill="auto"/>
            <w:vAlign w:val="center"/>
          </w:tcPr>
          <w:p w14:paraId="610610C7">
            <w:pPr>
              <w:pStyle w:val="18"/>
              <w:rPr>
                <w:lang w:val="en-US"/>
              </w:rPr>
            </w:pPr>
            <w:r>
              <w:rPr>
                <w:rFonts w:hint="eastAsia"/>
                <w:lang w:val="en-US"/>
              </w:rPr>
              <w:t>岗位证书</w:t>
            </w:r>
          </w:p>
        </w:tc>
        <w:tc>
          <w:tcPr>
            <w:tcW w:w="493" w:type="pct"/>
            <w:shd w:val="clear" w:color="auto" w:fill="auto"/>
            <w:vAlign w:val="center"/>
          </w:tcPr>
          <w:p w14:paraId="4718CE54">
            <w:pPr>
              <w:pStyle w:val="18"/>
              <w:rPr>
                <w:lang w:val="en-US"/>
              </w:rPr>
            </w:pPr>
            <w:r>
              <w:rPr>
                <w:rFonts w:hint="eastAsia"/>
                <w:lang w:val="en-US"/>
              </w:rPr>
              <w:t>初级</w:t>
            </w:r>
          </w:p>
        </w:tc>
        <w:tc>
          <w:tcPr>
            <w:tcW w:w="493" w:type="pct"/>
            <w:shd w:val="clear" w:color="auto" w:fill="auto"/>
            <w:vAlign w:val="center"/>
          </w:tcPr>
          <w:p w14:paraId="15E4D710">
            <w:pPr>
              <w:pStyle w:val="18"/>
              <w:rPr>
                <w:lang w:val="en-US"/>
              </w:rPr>
            </w:pPr>
            <w:r>
              <w:rPr>
                <w:rFonts w:hint="eastAsia"/>
                <w:lang w:val="en-US"/>
              </w:rPr>
              <w:t>**</w:t>
            </w:r>
          </w:p>
        </w:tc>
        <w:tc>
          <w:tcPr>
            <w:tcW w:w="494" w:type="pct"/>
            <w:shd w:val="clear" w:color="auto" w:fill="auto"/>
            <w:vAlign w:val="center"/>
          </w:tcPr>
          <w:p w14:paraId="2E583A95">
            <w:pPr>
              <w:pStyle w:val="18"/>
              <w:rPr>
                <w:lang w:val="en-US"/>
              </w:rPr>
            </w:pPr>
            <w:r>
              <w:rPr>
                <w:rFonts w:hint="eastAsia"/>
                <w:lang w:val="en-US"/>
              </w:rPr>
              <w:t>**</w:t>
            </w:r>
          </w:p>
        </w:tc>
      </w:tr>
      <w:tr w14:paraId="7F290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3D8A95A5">
            <w:pPr>
              <w:pStyle w:val="18"/>
              <w:rPr>
                <w:lang w:val="en-US"/>
              </w:rPr>
            </w:pPr>
            <w:r>
              <w:rPr>
                <w:rFonts w:hint="eastAsia"/>
                <w:lang w:val="en-US"/>
              </w:rPr>
              <w:t>7</w:t>
            </w:r>
          </w:p>
        </w:tc>
        <w:tc>
          <w:tcPr>
            <w:tcW w:w="1003" w:type="pct"/>
            <w:shd w:val="clear" w:color="auto" w:fill="auto"/>
            <w:vAlign w:val="center"/>
          </w:tcPr>
          <w:p w14:paraId="0018D54D">
            <w:pPr>
              <w:pStyle w:val="18"/>
              <w:rPr>
                <w:lang w:val="en-US"/>
              </w:rPr>
            </w:pPr>
            <w:r>
              <w:rPr>
                <w:rFonts w:hint="eastAsia"/>
                <w:lang w:val="en-US"/>
              </w:rPr>
              <w:t>安全员</w:t>
            </w:r>
          </w:p>
        </w:tc>
        <w:tc>
          <w:tcPr>
            <w:tcW w:w="403" w:type="pct"/>
            <w:shd w:val="clear" w:color="auto" w:fill="auto"/>
            <w:vAlign w:val="center"/>
          </w:tcPr>
          <w:p w14:paraId="444C2B4E">
            <w:pPr>
              <w:pStyle w:val="18"/>
              <w:rPr>
                <w:lang w:val="en-US"/>
              </w:rPr>
            </w:pPr>
            <w:r>
              <w:rPr>
                <w:rFonts w:hint="eastAsia"/>
                <w:lang w:val="en-US"/>
              </w:rPr>
              <w:t>**</w:t>
            </w:r>
          </w:p>
        </w:tc>
        <w:tc>
          <w:tcPr>
            <w:tcW w:w="403" w:type="pct"/>
            <w:shd w:val="clear" w:color="auto" w:fill="auto"/>
            <w:vAlign w:val="center"/>
          </w:tcPr>
          <w:p w14:paraId="10973EAD">
            <w:pPr>
              <w:pStyle w:val="18"/>
              <w:rPr>
                <w:lang w:val="en-US"/>
              </w:rPr>
            </w:pPr>
            <w:r>
              <w:rPr>
                <w:rFonts w:hint="eastAsia"/>
                <w:lang w:val="en-US"/>
              </w:rPr>
              <w:t>**</w:t>
            </w:r>
          </w:p>
        </w:tc>
        <w:tc>
          <w:tcPr>
            <w:tcW w:w="1252" w:type="pct"/>
            <w:shd w:val="clear" w:color="auto" w:fill="auto"/>
            <w:vAlign w:val="center"/>
          </w:tcPr>
          <w:p w14:paraId="612706E5">
            <w:pPr>
              <w:pStyle w:val="18"/>
              <w:rPr>
                <w:lang w:val="en-US"/>
              </w:rPr>
            </w:pPr>
            <w:r>
              <w:rPr>
                <w:rFonts w:hint="eastAsia"/>
                <w:lang w:val="en-US"/>
              </w:rPr>
              <w:t>安全证书</w:t>
            </w:r>
          </w:p>
        </w:tc>
        <w:tc>
          <w:tcPr>
            <w:tcW w:w="493" w:type="pct"/>
            <w:shd w:val="clear" w:color="auto" w:fill="auto"/>
            <w:vAlign w:val="center"/>
          </w:tcPr>
          <w:p w14:paraId="47E53D7D">
            <w:pPr>
              <w:pStyle w:val="18"/>
              <w:rPr>
                <w:lang w:val="en-US"/>
              </w:rPr>
            </w:pPr>
            <w:r>
              <w:rPr>
                <w:rFonts w:hint="eastAsia"/>
                <w:lang w:val="en-US"/>
              </w:rPr>
              <w:t>中级</w:t>
            </w:r>
          </w:p>
        </w:tc>
        <w:tc>
          <w:tcPr>
            <w:tcW w:w="493" w:type="pct"/>
            <w:shd w:val="clear" w:color="auto" w:fill="auto"/>
            <w:vAlign w:val="center"/>
          </w:tcPr>
          <w:p w14:paraId="59D5733F">
            <w:pPr>
              <w:pStyle w:val="18"/>
              <w:rPr>
                <w:lang w:val="en-US"/>
              </w:rPr>
            </w:pPr>
            <w:r>
              <w:rPr>
                <w:rFonts w:hint="eastAsia"/>
                <w:lang w:val="en-US"/>
              </w:rPr>
              <w:t>**</w:t>
            </w:r>
          </w:p>
        </w:tc>
        <w:tc>
          <w:tcPr>
            <w:tcW w:w="494" w:type="pct"/>
            <w:shd w:val="clear" w:color="auto" w:fill="auto"/>
            <w:vAlign w:val="center"/>
          </w:tcPr>
          <w:p w14:paraId="43882A5A">
            <w:pPr>
              <w:pStyle w:val="18"/>
              <w:rPr>
                <w:lang w:val="en-US"/>
              </w:rPr>
            </w:pPr>
            <w:r>
              <w:rPr>
                <w:rFonts w:hint="eastAsia"/>
                <w:lang w:val="en-US"/>
              </w:rPr>
              <w:t>**</w:t>
            </w:r>
          </w:p>
        </w:tc>
      </w:tr>
      <w:tr w14:paraId="755DF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233B067E">
            <w:pPr>
              <w:pStyle w:val="18"/>
              <w:rPr>
                <w:lang w:val="en-US"/>
              </w:rPr>
            </w:pPr>
            <w:r>
              <w:rPr>
                <w:rFonts w:hint="eastAsia"/>
                <w:lang w:val="en-US"/>
              </w:rPr>
              <w:t>8</w:t>
            </w:r>
          </w:p>
        </w:tc>
        <w:tc>
          <w:tcPr>
            <w:tcW w:w="1003" w:type="pct"/>
            <w:shd w:val="clear" w:color="auto" w:fill="auto"/>
            <w:vAlign w:val="center"/>
          </w:tcPr>
          <w:p w14:paraId="294D1747">
            <w:pPr>
              <w:pStyle w:val="18"/>
              <w:rPr>
                <w:lang w:val="en-US"/>
              </w:rPr>
            </w:pPr>
            <w:r>
              <w:rPr>
                <w:rFonts w:hint="eastAsia"/>
                <w:lang w:val="en-US"/>
              </w:rPr>
              <w:t>资料员</w:t>
            </w:r>
          </w:p>
        </w:tc>
        <w:tc>
          <w:tcPr>
            <w:tcW w:w="403" w:type="pct"/>
            <w:shd w:val="clear" w:color="auto" w:fill="auto"/>
            <w:vAlign w:val="center"/>
          </w:tcPr>
          <w:p w14:paraId="7AB4EAF8">
            <w:pPr>
              <w:pStyle w:val="18"/>
              <w:rPr>
                <w:lang w:val="en-US"/>
              </w:rPr>
            </w:pPr>
            <w:r>
              <w:rPr>
                <w:rFonts w:hint="eastAsia"/>
                <w:lang w:val="en-US"/>
              </w:rPr>
              <w:t>**</w:t>
            </w:r>
          </w:p>
        </w:tc>
        <w:tc>
          <w:tcPr>
            <w:tcW w:w="403" w:type="pct"/>
            <w:shd w:val="clear" w:color="auto" w:fill="auto"/>
            <w:vAlign w:val="center"/>
          </w:tcPr>
          <w:p w14:paraId="5CB6CE2B">
            <w:pPr>
              <w:pStyle w:val="18"/>
              <w:rPr>
                <w:lang w:val="en-US"/>
              </w:rPr>
            </w:pPr>
            <w:r>
              <w:rPr>
                <w:rFonts w:hint="eastAsia"/>
                <w:lang w:val="en-US"/>
              </w:rPr>
              <w:t>**</w:t>
            </w:r>
          </w:p>
        </w:tc>
        <w:tc>
          <w:tcPr>
            <w:tcW w:w="1252" w:type="pct"/>
            <w:shd w:val="clear" w:color="auto" w:fill="auto"/>
            <w:vAlign w:val="center"/>
          </w:tcPr>
          <w:p w14:paraId="4D11E286">
            <w:pPr>
              <w:pStyle w:val="18"/>
              <w:rPr>
                <w:lang w:val="en-US"/>
              </w:rPr>
            </w:pPr>
            <w:r>
              <w:rPr>
                <w:rFonts w:hint="eastAsia"/>
                <w:lang w:val="en-US"/>
              </w:rPr>
              <w:t>岗位证书</w:t>
            </w:r>
          </w:p>
        </w:tc>
        <w:tc>
          <w:tcPr>
            <w:tcW w:w="493" w:type="pct"/>
            <w:shd w:val="clear" w:color="auto" w:fill="auto"/>
            <w:vAlign w:val="center"/>
          </w:tcPr>
          <w:p w14:paraId="71CCBB3E">
            <w:pPr>
              <w:pStyle w:val="18"/>
              <w:rPr>
                <w:lang w:val="en-US"/>
              </w:rPr>
            </w:pPr>
            <w:r>
              <w:rPr>
                <w:rFonts w:hint="eastAsia"/>
                <w:lang w:val="en-US"/>
              </w:rPr>
              <w:t>初级</w:t>
            </w:r>
          </w:p>
        </w:tc>
        <w:tc>
          <w:tcPr>
            <w:tcW w:w="493" w:type="pct"/>
            <w:shd w:val="clear" w:color="auto" w:fill="auto"/>
            <w:vAlign w:val="center"/>
          </w:tcPr>
          <w:p w14:paraId="3C751527">
            <w:pPr>
              <w:pStyle w:val="18"/>
              <w:rPr>
                <w:lang w:val="en-US"/>
              </w:rPr>
            </w:pPr>
            <w:r>
              <w:rPr>
                <w:rFonts w:hint="eastAsia"/>
                <w:lang w:val="en-US"/>
              </w:rPr>
              <w:t>**</w:t>
            </w:r>
          </w:p>
        </w:tc>
        <w:tc>
          <w:tcPr>
            <w:tcW w:w="494" w:type="pct"/>
            <w:shd w:val="clear" w:color="auto" w:fill="auto"/>
            <w:vAlign w:val="center"/>
          </w:tcPr>
          <w:p w14:paraId="3E38DA26">
            <w:pPr>
              <w:pStyle w:val="18"/>
              <w:rPr>
                <w:lang w:val="en-US"/>
              </w:rPr>
            </w:pPr>
            <w:r>
              <w:rPr>
                <w:rFonts w:hint="eastAsia"/>
                <w:lang w:val="en-US"/>
              </w:rPr>
              <w:t>**</w:t>
            </w:r>
          </w:p>
        </w:tc>
      </w:tr>
      <w:tr w14:paraId="22F4B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74597D4E">
            <w:pPr>
              <w:pStyle w:val="18"/>
              <w:rPr>
                <w:lang w:val="en-US"/>
              </w:rPr>
            </w:pPr>
            <w:r>
              <w:rPr>
                <w:rFonts w:hint="eastAsia"/>
                <w:lang w:val="en-US"/>
              </w:rPr>
              <w:t>9</w:t>
            </w:r>
          </w:p>
        </w:tc>
        <w:tc>
          <w:tcPr>
            <w:tcW w:w="1003" w:type="pct"/>
            <w:shd w:val="clear" w:color="auto" w:fill="auto"/>
            <w:vAlign w:val="center"/>
          </w:tcPr>
          <w:p w14:paraId="42A476E6">
            <w:pPr>
              <w:pStyle w:val="18"/>
              <w:rPr>
                <w:lang w:val="en-US"/>
              </w:rPr>
            </w:pPr>
            <w:r>
              <w:rPr>
                <w:rFonts w:hint="eastAsia"/>
                <w:lang w:val="en-US"/>
              </w:rPr>
              <w:t>材料员</w:t>
            </w:r>
          </w:p>
        </w:tc>
        <w:tc>
          <w:tcPr>
            <w:tcW w:w="403" w:type="pct"/>
            <w:shd w:val="clear" w:color="auto" w:fill="auto"/>
            <w:vAlign w:val="center"/>
          </w:tcPr>
          <w:p w14:paraId="6CE7A781">
            <w:pPr>
              <w:pStyle w:val="18"/>
              <w:rPr>
                <w:lang w:val="en-US"/>
              </w:rPr>
            </w:pPr>
            <w:r>
              <w:rPr>
                <w:rFonts w:hint="eastAsia"/>
                <w:lang w:val="en-US"/>
              </w:rPr>
              <w:t>**</w:t>
            </w:r>
          </w:p>
        </w:tc>
        <w:tc>
          <w:tcPr>
            <w:tcW w:w="403" w:type="pct"/>
            <w:shd w:val="clear" w:color="auto" w:fill="auto"/>
            <w:vAlign w:val="center"/>
          </w:tcPr>
          <w:p w14:paraId="281A5D57">
            <w:pPr>
              <w:pStyle w:val="18"/>
              <w:rPr>
                <w:lang w:val="en-US"/>
              </w:rPr>
            </w:pPr>
            <w:r>
              <w:rPr>
                <w:rFonts w:hint="eastAsia"/>
                <w:lang w:val="en-US"/>
              </w:rPr>
              <w:t>**</w:t>
            </w:r>
          </w:p>
        </w:tc>
        <w:tc>
          <w:tcPr>
            <w:tcW w:w="1252" w:type="pct"/>
            <w:shd w:val="clear" w:color="auto" w:fill="auto"/>
            <w:vAlign w:val="center"/>
          </w:tcPr>
          <w:p w14:paraId="7DE289C2">
            <w:pPr>
              <w:pStyle w:val="18"/>
              <w:rPr>
                <w:lang w:val="en-US"/>
              </w:rPr>
            </w:pPr>
            <w:r>
              <w:rPr>
                <w:rFonts w:hint="eastAsia"/>
                <w:lang w:val="en-US"/>
              </w:rPr>
              <w:t>岗位证书</w:t>
            </w:r>
          </w:p>
        </w:tc>
        <w:tc>
          <w:tcPr>
            <w:tcW w:w="493" w:type="pct"/>
            <w:shd w:val="clear" w:color="auto" w:fill="auto"/>
            <w:vAlign w:val="center"/>
          </w:tcPr>
          <w:p w14:paraId="78A10873">
            <w:pPr>
              <w:pStyle w:val="18"/>
              <w:rPr>
                <w:lang w:val="en-US"/>
              </w:rPr>
            </w:pPr>
            <w:r>
              <w:rPr>
                <w:rFonts w:hint="eastAsia"/>
                <w:lang w:val="en-US"/>
              </w:rPr>
              <w:t>初级</w:t>
            </w:r>
          </w:p>
        </w:tc>
        <w:tc>
          <w:tcPr>
            <w:tcW w:w="493" w:type="pct"/>
            <w:shd w:val="clear" w:color="auto" w:fill="auto"/>
            <w:vAlign w:val="center"/>
          </w:tcPr>
          <w:p w14:paraId="112B3AFE">
            <w:pPr>
              <w:pStyle w:val="18"/>
              <w:rPr>
                <w:lang w:val="en-US"/>
              </w:rPr>
            </w:pPr>
            <w:r>
              <w:rPr>
                <w:rFonts w:hint="eastAsia"/>
                <w:lang w:val="en-US"/>
              </w:rPr>
              <w:t>**</w:t>
            </w:r>
          </w:p>
        </w:tc>
        <w:tc>
          <w:tcPr>
            <w:tcW w:w="494" w:type="pct"/>
            <w:shd w:val="clear" w:color="auto" w:fill="auto"/>
            <w:vAlign w:val="center"/>
          </w:tcPr>
          <w:p w14:paraId="07CE888A">
            <w:pPr>
              <w:pStyle w:val="18"/>
              <w:rPr>
                <w:lang w:val="en-US"/>
              </w:rPr>
            </w:pPr>
            <w:r>
              <w:rPr>
                <w:rFonts w:hint="eastAsia"/>
                <w:lang w:val="en-US"/>
              </w:rPr>
              <w:t>**</w:t>
            </w:r>
          </w:p>
        </w:tc>
      </w:tr>
      <w:tr w14:paraId="1406F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24E2567C">
            <w:pPr>
              <w:pStyle w:val="18"/>
              <w:rPr>
                <w:lang w:val="en-US"/>
              </w:rPr>
            </w:pPr>
            <w:r>
              <w:rPr>
                <w:rFonts w:hint="eastAsia"/>
                <w:lang w:val="en-US"/>
              </w:rPr>
              <w:t>10</w:t>
            </w:r>
          </w:p>
        </w:tc>
        <w:tc>
          <w:tcPr>
            <w:tcW w:w="1003" w:type="pct"/>
            <w:shd w:val="clear" w:color="auto" w:fill="auto"/>
            <w:vAlign w:val="center"/>
          </w:tcPr>
          <w:p w14:paraId="0326D691">
            <w:pPr>
              <w:pStyle w:val="18"/>
              <w:rPr>
                <w:lang w:val="en-US"/>
              </w:rPr>
            </w:pPr>
            <w:r>
              <w:rPr>
                <w:rFonts w:hint="eastAsia"/>
                <w:lang w:val="en-US"/>
              </w:rPr>
              <w:t>预算员</w:t>
            </w:r>
          </w:p>
        </w:tc>
        <w:tc>
          <w:tcPr>
            <w:tcW w:w="403" w:type="pct"/>
            <w:shd w:val="clear" w:color="auto" w:fill="auto"/>
            <w:vAlign w:val="center"/>
          </w:tcPr>
          <w:p w14:paraId="7ACA089D">
            <w:pPr>
              <w:pStyle w:val="18"/>
              <w:rPr>
                <w:lang w:val="en-US"/>
              </w:rPr>
            </w:pPr>
            <w:r>
              <w:rPr>
                <w:rFonts w:hint="eastAsia"/>
                <w:lang w:val="en-US"/>
              </w:rPr>
              <w:t>**</w:t>
            </w:r>
          </w:p>
        </w:tc>
        <w:tc>
          <w:tcPr>
            <w:tcW w:w="403" w:type="pct"/>
            <w:shd w:val="clear" w:color="auto" w:fill="auto"/>
            <w:vAlign w:val="center"/>
          </w:tcPr>
          <w:p w14:paraId="2A58BE6D">
            <w:pPr>
              <w:pStyle w:val="18"/>
              <w:rPr>
                <w:lang w:val="en-US"/>
              </w:rPr>
            </w:pPr>
            <w:r>
              <w:rPr>
                <w:rFonts w:hint="eastAsia"/>
                <w:lang w:val="en-US"/>
              </w:rPr>
              <w:t>**</w:t>
            </w:r>
          </w:p>
        </w:tc>
        <w:tc>
          <w:tcPr>
            <w:tcW w:w="1252" w:type="pct"/>
            <w:shd w:val="clear" w:color="auto" w:fill="auto"/>
            <w:vAlign w:val="center"/>
          </w:tcPr>
          <w:p w14:paraId="7EF732F7">
            <w:pPr>
              <w:pStyle w:val="18"/>
              <w:rPr>
                <w:lang w:val="en-US"/>
              </w:rPr>
            </w:pPr>
            <w:r>
              <w:rPr>
                <w:rFonts w:hint="eastAsia"/>
                <w:lang w:val="en-US"/>
              </w:rPr>
              <w:t>岗位证书</w:t>
            </w:r>
          </w:p>
        </w:tc>
        <w:tc>
          <w:tcPr>
            <w:tcW w:w="493" w:type="pct"/>
            <w:shd w:val="clear" w:color="auto" w:fill="auto"/>
            <w:vAlign w:val="center"/>
          </w:tcPr>
          <w:p w14:paraId="72E02B10">
            <w:pPr>
              <w:pStyle w:val="18"/>
              <w:rPr>
                <w:lang w:val="en-US"/>
              </w:rPr>
            </w:pPr>
            <w:r>
              <w:rPr>
                <w:rFonts w:hint="eastAsia"/>
                <w:lang w:val="en-US"/>
              </w:rPr>
              <w:t>初级</w:t>
            </w:r>
          </w:p>
        </w:tc>
        <w:tc>
          <w:tcPr>
            <w:tcW w:w="493" w:type="pct"/>
            <w:shd w:val="clear" w:color="auto" w:fill="auto"/>
            <w:vAlign w:val="center"/>
          </w:tcPr>
          <w:p w14:paraId="569DB2FB">
            <w:pPr>
              <w:pStyle w:val="18"/>
              <w:rPr>
                <w:lang w:val="en-US"/>
              </w:rPr>
            </w:pPr>
            <w:r>
              <w:rPr>
                <w:rFonts w:hint="eastAsia"/>
                <w:lang w:val="en-US"/>
              </w:rPr>
              <w:t>**</w:t>
            </w:r>
          </w:p>
        </w:tc>
        <w:tc>
          <w:tcPr>
            <w:tcW w:w="494" w:type="pct"/>
            <w:shd w:val="clear" w:color="auto" w:fill="auto"/>
            <w:vAlign w:val="center"/>
          </w:tcPr>
          <w:p w14:paraId="2B65F279">
            <w:pPr>
              <w:pStyle w:val="18"/>
              <w:rPr>
                <w:lang w:val="en-US"/>
              </w:rPr>
            </w:pPr>
            <w:r>
              <w:rPr>
                <w:rFonts w:hint="eastAsia"/>
                <w:lang w:val="en-US"/>
              </w:rPr>
              <w:t>**</w:t>
            </w:r>
          </w:p>
        </w:tc>
      </w:tr>
      <w:tr w14:paraId="0E8F5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20F19638">
            <w:pPr>
              <w:pStyle w:val="18"/>
              <w:rPr>
                <w:lang w:val="en-US"/>
              </w:rPr>
            </w:pPr>
            <w:r>
              <w:rPr>
                <w:rFonts w:hint="eastAsia"/>
                <w:lang w:val="en-US"/>
              </w:rPr>
              <w:t>11</w:t>
            </w:r>
          </w:p>
        </w:tc>
        <w:tc>
          <w:tcPr>
            <w:tcW w:w="1003" w:type="pct"/>
            <w:shd w:val="clear" w:color="auto" w:fill="auto"/>
            <w:vAlign w:val="center"/>
          </w:tcPr>
          <w:p w14:paraId="530F858A">
            <w:pPr>
              <w:pStyle w:val="18"/>
              <w:rPr>
                <w:lang w:val="en-US"/>
              </w:rPr>
            </w:pPr>
            <w:r>
              <w:rPr>
                <w:rFonts w:hint="eastAsia"/>
                <w:lang w:val="en-US"/>
              </w:rPr>
              <w:t>劳资专员</w:t>
            </w:r>
          </w:p>
        </w:tc>
        <w:tc>
          <w:tcPr>
            <w:tcW w:w="403" w:type="pct"/>
            <w:shd w:val="clear" w:color="auto" w:fill="auto"/>
            <w:vAlign w:val="center"/>
          </w:tcPr>
          <w:p w14:paraId="31216A9A">
            <w:pPr>
              <w:pStyle w:val="18"/>
              <w:rPr>
                <w:lang w:val="en-US"/>
              </w:rPr>
            </w:pPr>
            <w:r>
              <w:rPr>
                <w:rFonts w:hint="eastAsia"/>
                <w:lang w:val="en-US"/>
              </w:rPr>
              <w:t>**</w:t>
            </w:r>
          </w:p>
        </w:tc>
        <w:tc>
          <w:tcPr>
            <w:tcW w:w="403" w:type="pct"/>
            <w:shd w:val="clear" w:color="auto" w:fill="auto"/>
            <w:vAlign w:val="center"/>
          </w:tcPr>
          <w:p w14:paraId="30F9A048">
            <w:pPr>
              <w:pStyle w:val="18"/>
              <w:rPr>
                <w:lang w:val="en-US"/>
              </w:rPr>
            </w:pPr>
            <w:r>
              <w:rPr>
                <w:rFonts w:hint="eastAsia"/>
                <w:lang w:val="en-US"/>
              </w:rPr>
              <w:t>**</w:t>
            </w:r>
          </w:p>
        </w:tc>
        <w:tc>
          <w:tcPr>
            <w:tcW w:w="1252" w:type="pct"/>
            <w:shd w:val="clear" w:color="auto" w:fill="auto"/>
            <w:vAlign w:val="center"/>
          </w:tcPr>
          <w:p w14:paraId="752CF525">
            <w:pPr>
              <w:pStyle w:val="18"/>
              <w:rPr>
                <w:lang w:val="en-US"/>
              </w:rPr>
            </w:pPr>
            <w:r>
              <w:rPr>
                <w:rFonts w:hint="eastAsia"/>
                <w:lang w:val="en-US"/>
              </w:rPr>
              <w:t>岗位证书</w:t>
            </w:r>
          </w:p>
        </w:tc>
        <w:tc>
          <w:tcPr>
            <w:tcW w:w="493" w:type="pct"/>
            <w:shd w:val="clear" w:color="auto" w:fill="auto"/>
            <w:vAlign w:val="center"/>
          </w:tcPr>
          <w:p w14:paraId="5A2F88B5">
            <w:pPr>
              <w:pStyle w:val="18"/>
              <w:rPr>
                <w:lang w:val="en-US"/>
              </w:rPr>
            </w:pPr>
            <w:r>
              <w:rPr>
                <w:rFonts w:hint="eastAsia"/>
                <w:lang w:val="en-US"/>
              </w:rPr>
              <w:t>初级</w:t>
            </w:r>
          </w:p>
        </w:tc>
        <w:tc>
          <w:tcPr>
            <w:tcW w:w="493" w:type="pct"/>
            <w:shd w:val="clear" w:color="auto" w:fill="auto"/>
            <w:vAlign w:val="center"/>
          </w:tcPr>
          <w:p w14:paraId="294FA633">
            <w:pPr>
              <w:pStyle w:val="18"/>
              <w:rPr>
                <w:lang w:val="en-US"/>
              </w:rPr>
            </w:pPr>
            <w:r>
              <w:rPr>
                <w:rFonts w:hint="eastAsia"/>
                <w:lang w:val="en-US"/>
              </w:rPr>
              <w:t>**</w:t>
            </w:r>
          </w:p>
        </w:tc>
        <w:tc>
          <w:tcPr>
            <w:tcW w:w="494" w:type="pct"/>
            <w:shd w:val="clear" w:color="auto" w:fill="auto"/>
            <w:vAlign w:val="center"/>
          </w:tcPr>
          <w:p w14:paraId="3972FC1E">
            <w:pPr>
              <w:pStyle w:val="18"/>
              <w:rPr>
                <w:lang w:val="en-US"/>
              </w:rPr>
            </w:pPr>
            <w:r>
              <w:rPr>
                <w:rFonts w:hint="eastAsia"/>
                <w:lang w:val="en-US"/>
              </w:rPr>
              <w:t>**</w:t>
            </w:r>
          </w:p>
        </w:tc>
      </w:tr>
      <w:tr w14:paraId="425E8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pct"/>
            <w:shd w:val="clear" w:color="auto" w:fill="auto"/>
            <w:vAlign w:val="center"/>
          </w:tcPr>
          <w:p w14:paraId="21EE1DF6">
            <w:pPr>
              <w:pStyle w:val="18"/>
              <w:rPr>
                <w:lang w:val="en-US"/>
              </w:rPr>
            </w:pPr>
            <w:r>
              <w:rPr>
                <w:rFonts w:hint="eastAsia"/>
                <w:lang w:val="en-US"/>
              </w:rPr>
              <w:t>12</w:t>
            </w:r>
          </w:p>
        </w:tc>
        <w:tc>
          <w:tcPr>
            <w:tcW w:w="1003" w:type="pct"/>
            <w:shd w:val="clear" w:color="auto" w:fill="auto"/>
            <w:vAlign w:val="center"/>
          </w:tcPr>
          <w:p w14:paraId="63043FEC">
            <w:pPr>
              <w:pStyle w:val="18"/>
              <w:rPr>
                <w:lang w:val="en-US"/>
              </w:rPr>
            </w:pPr>
            <w:r>
              <w:rPr>
                <w:rFonts w:hint="eastAsia"/>
                <w:lang w:val="en-US"/>
              </w:rPr>
              <w:t>BIM工程师</w:t>
            </w:r>
          </w:p>
        </w:tc>
        <w:tc>
          <w:tcPr>
            <w:tcW w:w="403" w:type="pct"/>
            <w:shd w:val="clear" w:color="auto" w:fill="auto"/>
            <w:vAlign w:val="center"/>
          </w:tcPr>
          <w:p w14:paraId="5B889C08">
            <w:pPr>
              <w:pStyle w:val="18"/>
              <w:rPr>
                <w:lang w:val="en-US"/>
              </w:rPr>
            </w:pPr>
            <w:r>
              <w:rPr>
                <w:rFonts w:hint="eastAsia"/>
                <w:lang w:val="en-US"/>
              </w:rPr>
              <w:t>**</w:t>
            </w:r>
          </w:p>
        </w:tc>
        <w:tc>
          <w:tcPr>
            <w:tcW w:w="403" w:type="pct"/>
            <w:shd w:val="clear" w:color="auto" w:fill="auto"/>
            <w:vAlign w:val="center"/>
          </w:tcPr>
          <w:p w14:paraId="2D150B96">
            <w:pPr>
              <w:pStyle w:val="18"/>
              <w:rPr>
                <w:lang w:val="en-US"/>
              </w:rPr>
            </w:pPr>
            <w:r>
              <w:rPr>
                <w:rFonts w:hint="eastAsia"/>
                <w:lang w:val="en-US"/>
              </w:rPr>
              <w:t>**</w:t>
            </w:r>
          </w:p>
        </w:tc>
        <w:tc>
          <w:tcPr>
            <w:tcW w:w="1252" w:type="pct"/>
            <w:shd w:val="clear" w:color="auto" w:fill="auto"/>
            <w:vAlign w:val="center"/>
          </w:tcPr>
          <w:p w14:paraId="42E3398F">
            <w:pPr>
              <w:pStyle w:val="18"/>
              <w:rPr>
                <w:lang w:val="en-US"/>
              </w:rPr>
            </w:pPr>
            <w:r>
              <w:rPr>
                <w:rFonts w:hint="eastAsia"/>
                <w:lang w:val="en-US"/>
              </w:rPr>
              <w:t>资格证</w:t>
            </w:r>
          </w:p>
        </w:tc>
        <w:tc>
          <w:tcPr>
            <w:tcW w:w="493" w:type="pct"/>
            <w:shd w:val="clear" w:color="auto" w:fill="auto"/>
            <w:vAlign w:val="center"/>
          </w:tcPr>
          <w:p w14:paraId="7E7C223E">
            <w:pPr>
              <w:pStyle w:val="18"/>
              <w:rPr>
                <w:lang w:val="en-US"/>
              </w:rPr>
            </w:pPr>
            <w:r>
              <w:rPr>
                <w:rFonts w:hint="eastAsia"/>
                <w:lang w:val="en-US"/>
              </w:rPr>
              <w:t>中级</w:t>
            </w:r>
          </w:p>
        </w:tc>
        <w:tc>
          <w:tcPr>
            <w:tcW w:w="493" w:type="pct"/>
            <w:shd w:val="clear" w:color="auto" w:fill="auto"/>
            <w:vAlign w:val="center"/>
          </w:tcPr>
          <w:p w14:paraId="2CFF10C2">
            <w:pPr>
              <w:pStyle w:val="18"/>
              <w:rPr>
                <w:lang w:val="en-US"/>
              </w:rPr>
            </w:pPr>
            <w:r>
              <w:rPr>
                <w:rFonts w:hint="eastAsia"/>
                <w:lang w:val="en-US"/>
              </w:rPr>
              <w:t>**</w:t>
            </w:r>
          </w:p>
        </w:tc>
        <w:tc>
          <w:tcPr>
            <w:tcW w:w="494" w:type="pct"/>
            <w:shd w:val="clear" w:color="auto" w:fill="auto"/>
            <w:vAlign w:val="center"/>
          </w:tcPr>
          <w:p w14:paraId="377319F2">
            <w:pPr>
              <w:pStyle w:val="18"/>
              <w:rPr>
                <w:lang w:val="en-US"/>
              </w:rPr>
            </w:pPr>
            <w:r>
              <w:rPr>
                <w:rFonts w:hint="eastAsia"/>
                <w:lang w:val="en-US"/>
              </w:rPr>
              <w:t>**</w:t>
            </w:r>
          </w:p>
        </w:tc>
      </w:tr>
    </w:tbl>
    <w:p w14:paraId="2FA6E754">
      <w:pPr>
        <w:pStyle w:val="4"/>
        <w:spacing w:before="93" w:after="31"/>
      </w:pPr>
      <w:bookmarkStart w:id="10649" w:name="_Toc24437"/>
      <w:bookmarkStart w:id="10650" w:name="_Toc19469"/>
      <w:bookmarkStart w:id="10651" w:name="_Toc19847"/>
      <w:bookmarkStart w:id="10652" w:name="_Toc13222"/>
      <w:r>
        <w:rPr>
          <w:rFonts w:hint="eastAsia"/>
        </w:rPr>
        <w:t>四、管理人员职责</w:t>
      </w:r>
      <w:bookmarkEnd w:id="10649"/>
      <w:bookmarkEnd w:id="10650"/>
      <w:bookmarkEnd w:id="10651"/>
      <w:bookmarkEnd w:id="10652"/>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57FE7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1E8CE49E">
            <w:pPr>
              <w:ind w:firstLine="560"/>
            </w:pPr>
            <w:r>
              <w:rPr>
                <w:rFonts w:hint="eastAsia"/>
              </w:rPr>
              <w:t>1.项目经理</w:t>
            </w:r>
          </w:p>
        </w:tc>
      </w:tr>
      <w:tr w14:paraId="241D2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3447287">
            <w:pPr>
              <w:ind w:firstLine="560"/>
            </w:pPr>
            <w:r>
              <w:rPr>
                <w:rFonts w:hint="eastAsia"/>
              </w:rPr>
              <w:t>受公司法人代表委托，代表公司履行工程合同,完成公司下达的各项任务和指标，全面负责项目的各项管理工作,主要工作包括：</w:t>
            </w:r>
          </w:p>
          <w:p w14:paraId="3020D269">
            <w:pPr>
              <w:ind w:firstLine="560"/>
            </w:pPr>
            <w:r>
              <w:rPr>
                <w:rFonts w:hint="eastAsia"/>
              </w:rPr>
              <w:t>（1）贯彻实施公司质量方针和质量目标，对所负责的工程项目施工过程中的工程质量负全面领导责任。履行工程承包合同，根据公司有关规定组织进行有关经济合同和协议的签定及招投标工作。</w:t>
            </w:r>
          </w:p>
          <w:p w14:paraId="0AA820D3">
            <w:pPr>
              <w:ind w:firstLine="560"/>
            </w:pPr>
            <w:r>
              <w:rPr>
                <w:rFonts w:hint="eastAsia"/>
              </w:rPr>
              <w:t>（2）与公司领导协商组建项目经理部，设计项目组织形式,制定项目经理部管理职责，对项目的人员、资金及各项资产进行监督管理。</w:t>
            </w:r>
          </w:p>
          <w:p w14:paraId="702303B3">
            <w:pPr>
              <w:ind w:firstLine="560"/>
            </w:pPr>
            <w:r>
              <w:rPr>
                <w:rFonts w:hint="eastAsia"/>
              </w:rPr>
              <w:t>（3）负责主持对工程进行质量策划，制定工程项目质量目标责任制，对工程进度、工程质量状况及质量体系文件的执行情况进行监督检查，组织做好纠正和预防措施的实施工作。</w:t>
            </w:r>
          </w:p>
          <w:p w14:paraId="20669C4E">
            <w:pPr>
              <w:ind w:firstLine="560"/>
            </w:pPr>
            <w:r>
              <w:rPr>
                <w:rFonts w:hint="eastAsia"/>
              </w:rPr>
              <w:t>（4）负责分供方、分包商的选择工作，代表公司签定物资采购合同、工程分包合同和劳务分包合同。</w:t>
            </w:r>
          </w:p>
          <w:p w14:paraId="7A124015">
            <w:pPr>
              <w:ind w:firstLine="560"/>
            </w:pPr>
            <w:r>
              <w:rPr>
                <w:rFonts w:hint="eastAsia"/>
              </w:rPr>
              <w:t>（5）负责加强内外协调，指导分包协调小组，进行总包方与分包商协调工作。</w:t>
            </w:r>
          </w:p>
          <w:p w14:paraId="686F4B15">
            <w:pPr>
              <w:ind w:firstLine="560"/>
            </w:pPr>
            <w:r>
              <w:rPr>
                <w:rFonts w:hint="eastAsia"/>
              </w:rPr>
              <w:t>保证工程施工中的资源供给，合理组织施工力量,保证工程质量和工期，满足合同要求，处理好合同变更。</w:t>
            </w:r>
          </w:p>
          <w:p w14:paraId="174ABA6D">
            <w:pPr>
              <w:ind w:firstLine="560"/>
            </w:pPr>
            <w:r>
              <w:rPr>
                <w:rFonts w:hint="eastAsia"/>
              </w:rPr>
              <w:t>（6）制定战略性实施计划,确保项目关键目标，对完成公司下达的生产任务、创优计划、利润指标和安全指标负责。</w:t>
            </w:r>
          </w:p>
          <w:p w14:paraId="4AFFC0C0">
            <w:pPr>
              <w:ind w:firstLine="560"/>
            </w:pPr>
            <w:r>
              <w:rPr>
                <w:rFonts w:hint="eastAsia"/>
              </w:rPr>
              <w:t>（7）完善内部基础管理，指导下级工作，分配合理，奖优罚劣。</w:t>
            </w:r>
          </w:p>
          <w:p w14:paraId="031DAB61">
            <w:pPr>
              <w:ind w:firstLine="560"/>
            </w:pPr>
            <w:r>
              <w:rPr>
                <w:rFonts w:hint="eastAsia"/>
              </w:rPr>
              <w:t>（8）主持项目工作会议，审定签发对内、外各类文件。</w:t>
            </w:r>
          </w:p>
        </w:tc>
      </w:tr>
      <w:tr w14:paraId="16B1B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CD77133">
            <w:pPr>
              <w:ind w:firstLine="560"/>
            </w:pPr>
            <w:r>
              <w:rPr>
                <w:rFonts w:hint="eastAsia"/>
              </w:rPr>
              <w:t>2.项目总工</w:t>
            </w:r>
          </w:p>
        </w:tc>
      </w:tr>
      <w:tr w14:paraId="6FD2D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421AF8F">
            <w:pPr>
              <w:ind w:firstLine="560"/>
            </w:pPr>
            <w:r>
              <w:rPr>
                <w:rFonts w:hint="eastAsia"/>
              </w:rPr>
              <w:t>项目总工的主要职责是负责项目的技术、质量管理工作,主要工作包括：</w:t>
            </w:r>
          </w:p>
          <w:p w14:paraId="3CB1BBEE">
            <w:pPr>
              <w:ind w:firstLine="560"/>
            </w:pPr>
            <w:r>
              <w:rPr>
                <w:rFonts w:hint="eastAsia"/>
              </w:rPr>
              <w:t>（1）在项目经理的领导下，对项目质量目标负主要责任。主管项目技术和质量管理工作，认真贯彻执行国家有关规范、标准，监督施工现场各级人员履行质量职责，对工程施工质量进行技术指导和监督。</w:t>
            </w:r>
          </w:p>
          <w:p w14:paraId="5CFC5E2C">
            <w:pPr>
              <w:ind w:firstLine="560"/>
            </w:pPr>
            <w:r>
              <w:rPr>
                <w:rFonts w:hint="eastAsia"/>
              </w:rPr>
              <w:t>（2）负责主持编制项目工程施工组织设计、质量计划、环境管理计划及重要分项施工方案、措施和作业指导书；负责主持编制施工总进度计划、月施工进度计划和施工总备料计划，负责月材料计划的审核，协助材料室做好材料、设备的选型、定货工作;主持基底验槽和结构验收以及工程竣工验收等工作。</w:t>
            </w:r>
          </w:p>
          <w:p w14:paraId="6D38B7CF">
            <w:pPr>
              <w:ind w:firstLine="560"/>
            </w:pPr>
            <w:r>
              <w:rPr>
                <w:rFonts w:hint="eastAsia"/>
              </w:rPr>
              <w:t>（3）对项目工程质量管理及创优活动进行策划、控制、管理及监督,主持对工程质量的定期检查、评议、整改及工程质量验评，召开质量专题会；负责从施工前的质量预控，到施工中的质量过程控制，以及施工完的质量检查验评等全过程质量管理工作；负责对工程中出现的不合格品进行控制，并制定和组织实施纠正预防措施。</w:t>
            </w:r>
          </w:p>
          <w:p w14:paraId="158058FA">
            <w:pPr>
              <w:ind w:firstLine="560"/>
            </w:pPr>
            <w:r>
              <w:rPr>
                <w:rFonts w:hint="eastAsia"/>
              </w:rPr>
              <w:t>（4）制定措施确保工程中测量标识的准确性，对工程定位线、水准点等重要的测量标识亲自复检。指导、监督项目经理部文件和资料的控制工作、质量记录的控制工作。</w:t>
            </w:r>
          </w:p>
          <w:p w14:paraId="623E4917">
            <w:pPr>
              <w:ind w:firstLine="560"/>
            </w:pPr>
            <w:r>
              <w:rPr>
                <w:rFonts w:hint="eastAsia"/>
              </w:rPr>
              <w:t>（5）负责编制项目经理部的日常培训计划；领导开展小组活动和技术、质量攻关工作，推行全面质量管理活动，保证工程质量合格率100％，优良率90％以上；负责组织项目新技术、新材料、新工艺的推广和应用，及时做出科技总结。</w:t>
            </w:r>
          </w:p>
          <w:p w14:paraId="177E3512">
            <w:pPr>
              <w:ind w:firstLine="560"/>
            </w:pPr>
            <w:r>
              <w:rPr>
                <w:rFonts w:hint="eastAsia"/>
              </w:rPr>
              <w:t>（6）加强对劳务队的质量管理，把施工质量与施工队工费紧密挂钩，调动参加施工的全体人员搞好质量的积极性，保证分部分项工程都达到预定的质量目标；</w:t>
            </w:r>
          </w:p>
          <w:p w14:paraId="707CA012">
            <w:pPr>
              <w:ind w:firstLine="560"/>
            </w:pPr>
            <w:r>
              <w:rPr>
                <w:rFonts w:hint="eastAsia"/>
              </w:rPr>
              <w:t>参加经营管理决策,参与分供方和分包商的选择和考评工作，对物资采购合同、工程分包合同、劳务分包合同的签订以及付款,行使“质量”一票否决权。</w:t>
            </w:r>
          </w:p>
          <w:p w14:paraId="306EE7BB">
            <w:pPr>
              <w:ind w:firstLine="560"/>
            </w:pPr>
            <w:r>
              <w:rPr>
                <w:rFonts w:hint="eastAsia"/>
              </w:rPr>
              <w:t>（7）采用新技术、新工艺,分析经济、技术指标，优化施工方案，努力降低施工成本，实施好成本节约计划；</w:t>
            </w:r>
          </w:p>
          <w:p w14:paraId="33E800C4">
            <w:pPr>
              <w:ind w:firstLine="560"/>
            </w:pPr>
            <w:r>
              <w:rPr>
                <w:rFonts w:hint="eastAsia"/>
              </w:rPr>
              <w:t>（8）结合ISO9000《质量体系程序文件》、ISO14000《环境管理体系程序文件》、OSHMS《职业安全健康管理体系程序文件》要求，完善各项管理制度，目标明确，责任到人。负责对技术人员的工作进行日常管理和考评，认真抓好基础工作。</w:t>
            </w:r>
          </w:p>
        </w:tc>
      </w:tr>
      <w:tr w14:paraId="4EA4A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07AAAE3">
            <w:pPr>
              <w:ind w:firstLine="560"/>
            </w:pPr>
            <w:r>
              <w:rPr>
                <w:rFonts w:hint="eastAsia"/>
              </w:rPr>
              <w:t>3.工程经理</w:t>
            </w:r>
          </w:p>
        </w:tc>
      </w:tr>
      <w:tr w14:paraId="47F5E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670F3FD">
            <w:pPr>
              <w:ind w:firstLine="560"/>
            </w:pPr>
            <w:r>
              <w:rPr>
                <w:rFonts w:hint="eastAsia"/>
              </w:rPr>
              <w:t>工程经理的主要职责是负责项目的进度、安全文明施工管理工作，主要工作包括：</w:t>
            </w:r>
          </w:p>
          <w:p w14:paraId="51B8692E">
            <w:pPr>
              <w:ind w:firstLine="560"/>
            </w:pPr>
            <w:r>
              <w:rPr>
                <w:rFonts w:hint="eastAsia"/>
              </w:rPr>
              <w:t>（1）在项目经理的领导下，对项目进度目标和安全文明施工目标负主要责任。</w:t>
            </w:r>
          </w:p>
          <w:p w14:paraId="19E6A6D2">
            <w:pPr>
              <w:ind w:firstLine="560"/>
            </w:pPr>
            <w:r>
              <w:rPr>
                <w:rFonts w:hint="eastAsia"/>
              </w:rPr>
              <w:t>按照施工总进度计划要求组织现场施工，对施工进度、现场安全文明生产、施工过程中的质量控制及环境保护负总责。</w:t>
            </w:r>
          </w:p>
          <w:p w14:paraId="239F8BC6">
            <w:pPr>
              <w:ind w:firstLine="560"/>
            </w:pPr>
            <w:r>
              <w:rPr>
                <w:rFonts w:hint="eastAsia"/>
              </w:rPr>
              <w:t>（2）组织施工中所需劳务队伍、工程分包商、机械设备租赁商的招标、评标工作，通过考察评议选择合格的劳务、工程分包商、机械设备租赁商,负责对劳务队、工程分包商、机械设备进退场等工作的全面管理。</w:t>
            </w:r>
          </w:p>
          <w:p w14:paraId="64A3FCBC">
            <w:pPr>
              <w:ind w:firstLine="560"/>
            </w:pPr>
            <w:r>
              <w:rPr>
                <w:rFonts w:hint="eastAsia"/>
              </w:rPr>
              <w:t>（3）认真熟悉图纸及施工规范，了解施工动态，根据技术室制定的总进度计划和月进度计划安排每周每日的工作，对施工任务、施工材料、施工机械等的完成（进场）时间、要求、标准具体安排，并落实到人。调整人力物力，确保重点施工。</w:t>
            </w:r>
          </w:p>
          <w:p w14:paraId="0BD708E7">
            <w:pPr>
              <w:ind w:firstLine="560"/>
            </w:pPr>
            <w:r>
              <w:rPr>
                <w:rFonts w:hint="eastAsia"/>
              </w:rPr>
              <w:t>（4）主持召开每天工程协调会，将计划与现场实际进度进行对照，有问题及时调整,保证工程进度。</w:t>
            </w:r>
          </w:p>
          <w:p w14:paraId="3DB50161">
            <w:pPr>
              <w:ind w:firstLine="560"/>
            </w:pPr>
            <w:r>
              <w:rPr>
                <w:rFonts w:hint="eastAsia"/>
              </w:rPr>
              <w:t>（5）按上级要求和实际情况布置周、月、旬、季施工生产任务，检查工作落实情况；统一协调现场工程、技术、材料三个室的工作，协调各业务口的关系,解决施工过程中的矛盾。</w:t>
            </w:r>
          </w:p>
          <w:p w14:paraId="0756188B">
            <w:pPr>
              <w:ind w:firstLine="560"/>
            </w:pPr>
            <w:r>
              <w:rPr>
                <w:rFonts w:hint="eastAsia"/>
              </w:rPr>
              <w:t>（6）对安全工作进行领导，建立健全安全组织机构,作好现场安全及人员的管理工作；负责施工现场的平面布置和场容管理,抓好文明施工和环境保护工作；防止浪费,节约材料。</w:t>
            </w:r>
          </w:p>
          <w:p w14:paraId="28EFA64C">
            <w:pPr>
              <w:ind w:firstLine="560"/>
            </w:pPr>
            <w:r>
              <w:rPr>
                <w:rFonts w:hint="eastAsia"/>
              </w:rPr>
              <w:t>（7）每星期组织一次工程全面检查,对施工现场的进度、质量、安全等情况随时做到了如指掌，常组织现场会，及时解决发现的问题；带领各专业、各队完成各种指标，做好上级检查的现场接待工作;建立工程施工日志。</w:t>
            </w:r>
          </w:p>
          <w:p w14:paraId="246B0AC5">
            <w:pPr>
              <w:ind w:firstLine="560"/>
            </w:pPr>
            <w:r>
              <w:rPr>
                <w:rFonts w:hint="eastAsia"/>
              </w:rPr>
              <w:t>（8）为各专业分包商协调现场、机械、水电、库房、办公等条件，为各专业分包商提供良好服务。</w:t>
            </w:r>
          </w:p>
          <w:p w14:paraId="2A1D1D1E">
            <w:pPr>
              <w:ind w:firstLine="560"/>
            </w:pPr>
            <w:r>
              <w:rPr>
                <w:rFonts w:hint="eastAsia"/>
              </w:rPr>
              <w:t>（9）负责履行合同要求的工程交付后的维修保驾工作。</w:t>
            </w:r>
          </w:p>
        </w:tc>
      </w:tr>
      <w:tr w14:paraId="38AE5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27A485A">
            <w:pPr>
              <w:ind w:firstLine="560"/>
            </w:pPr>
            <w:r>
              <w:rPr>
                <w:rFonts w:hint="eastAsia"/>
              </w:rPr>
              <w:t>4.商务经理</w:t>
            </w:r>
          </w:p>
        </w:tc>
      </w:tr>
      <w:tr w14:paraId="64804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3734672">
            <w:pPr>
              <w:ind w:firstLine="560"/>
            </w:pPr>
            <w:r>
              <w:rPr>
                <w:rFonts w:hint="eastAsia"/>
              </w:rPr>
              <w:t>商务经理的主要职责是合约管理、预算管理、财务管理和成本管理，主要工作包括：</w:t>
            </w:r>
          </w:p>
          <w:p w14:paraId="484EC44D">
            <w:pPr>
              <w:ind w:firstLine="560"/>
            </w:pPr>
            <w:r>
              <w:rPr>
                <w:rFonts w:hint="eastAsia"/>
              </w:rPr>
              <w:t>（1）在项目经理领导下，对项目成本目标负主要责任.负责本项目的成本管理、合约管理、预算、核算、统计工作；</w:t>
            </w:r>
          </w:p>
          <w:p w14:paraId="2FB1508F">
            <w:pPr>
              <w:ind w:firstLine="560"/>
            </w:pPr>
            <w:r>
              <w:rPr>
                <w:rFonts w:hint="eastAsia"/>
              </w:rPr>
              <w:t>（2）认真熟悉图纸,组织编制工程概、预算及年度、季度、月度成本分析报告，及时准确建立统计台帐，作好成本核算工作。做好分项工程的工、机、料分析，负责材料计划的定额用量审批；</w:t>
            </w:r>
          </w:p>
          <w:p w14:paraId="5F0C7204">
            <w:pPr>
              <w:ind w:firstLine="560"/>
            </w:pPr>
            <w:r>
              <w:rPr>
                <w:rFonts w:hint="eastAsia"/>
              </w:rPr>
              <w:t>（3）根据工程洽商及时办理经济变更签证，根据工程进度，办理月份验工计价、工程请款计划；</w:t>
            </w:r>
          </w:p>
          <w:p w14:paraId="7D55DC60">
            <w:pPr>
              <w:ind w:firstLine="560"/>
            </w:pPr>
            <w:r>
              <w:rPr>
                <w:rFonts w:hint="eastAsia"/>
              </w:rPr>
              <w:t>（4）负责劳务、机械及工程分包合同的招标、签订、评审、报批和日常管理工作；</w:t>
            </w:r>
          </w:p>
          <w:p w14:paraId="296C3D1C">
            <w:pPr>
              <w:ind w:firstLine="560"/>
            </w:pPr>
            <w:r>
              <w:rPr>
                <w:rFonts w:hint="eastAsia"/>
              </w:rPr>
              <w:t>（5）向业主提各种合理化建议，评审工程变更经济性、可行性,协助业主进行费用控制；</w:t>
            </w:r>
          </w:p>
          <w:p w14:paraId="399E8E87">
            <w:pPr>
              <w:ind w:firstLine="560"/>
            </w:pPr>
            <w:r>
              <w:rPr>
                <w:rFonts w:hint="eastAsia"/>
              </w:rPr>
              <w:t>（6）负责组织有关人员及时编制工程竣工结算报告。</w:t>
            </w:r>
          </w:p>
        </w:tc>
      </w:tr>
      <w:tr w14:paraId="4662E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15EEF89A">
            <w:pPr>
              <w:ind w:firstLine="560"/>
            </w:pPr>
            <w:r>
              <w:rPr>
                <w:rFonts w:hint="eastAsia"/>
              </w:rPr>
              <w:t>5.技术部</w:t>
            </w:r>
          </w:p>
        </w:tc>
      </w:tr>
      <w:tr w14:paraId="56BEB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B062AD3">
            <w:pPr>
              <w:ind w:firstLine="560"/>
            </w:pPr>
            <w:r>
              <w:rPr>
                <w:rFonts w:hint="eastAsia"/>
              </w:rPr>
              <w:t>技术部的主要职责是负责全项目的技术管理工作，对项目贯标工作进行指导、检查和监督，技术部的主要工作包括：</w:t>
            </w:r>
          </w:p>
          <w:p w14:paraId="31616572">
            <w:pPr>
              <w:ind w:firstLine="560"/>
            </w:pPr>
            <w:r>
              <w:rPr>
                <w:rFonts w:hint="eastAsia"/>
              </w:rPr>
              <w:t>（1）负责编制项目施工组织设计、质量计划、环境和职业安全管理计划及特殊过程和关键工序的施工方案、技术措施，对工程中各工序进行书面技术交底；</w:t>
            </w:r>
          </w:p>
          <w:p w14:paraId="784C3A70">
            <w:pPr>
              <w:ind w:firstLine="560"/>
            </w:pPr>
            <w:r>
              <w:rPr>
                <w:rFonts w:hint="eastAsia"/>
              </w:rPr>
              <w:t>（2）指导和协助各专业分包商做好施工图深化设计，组织各专业进行图纸会审，提前发现各专业图纸矛盾和冲突,并协助设计院在施工前进行解决；</w:t>
            </w:r>
          </w:p>
          <w:p w14:paraId="0BBD4017">
            <w:pPr>
              <w:ind w:firstLine="560"/>
            </w:pPr>
            <w:r>
              <w:rPr>
                <w:rFonts w:hint="eastAsia"/>
              </w:rPr>
              <w:t>（3）负责工程中测量标识,对合同中明确规定有可追溯性要求的范围负责重点标识；</w:t>
            </w:r>
          </w:p>
          <w:p w14:paraId="6927F085">
            <w:pPr>
              <w:ind w:firstLine="560"/>
            </w:pPr>
            <w:r>
              <w:rPr>
                <w:rFonts w:hint="eastAsia"/>
              </w:rPr>
              <w:t>（4）负责编制材料计划，帮助材料室做好材料、设备的选型、定货工作，和材料室一同做好材料进场验证工作.对业主提供的产品进行技术性能确认，对业主提供的不合格品组织评审，提出处置方案；</w:t>
            </w:r>
          </w:p>
          <w:p w14:paraId="29839EE2">
            <w:pPr>
              <w:ind w:firstLine="560"/>
            </w:pPr>
            <w:r>
              <w:rPr>
                <w:rFonts w:hint="eastAsia"/>
              </w:rPr>
              <w:t>（5）负责项目经理部范围内技术性文件和资料的统一管理,对竣工图及竣工资料及时移交、归档负全面责任。负责竣工资料的编目、组卷移交工作；</w:t>
            </w:r>
          </w:p>
          <w:p w14:paraId="4FCDCB31">
            <w:pPr>
              <w:ind w:firstLine="560"/>
            </w:pPr>
            <w:r>
              <w:rPr>
                <w:rFonts w:hint="eastAsia"/>
              </w:rPr>
              <w:t>（6）负责组织新技术、新材料、新设备、新工艺的推广应用和实施。做好技术总结和统计技术的推广应用；</w:t>
            </w:r>
          </w:p>
          <w:p w14:paraId="5AFDFE67">
            <w:pPr>
              <w:ind w:firstLine="560"/>
            </w:pPr>
            <w:r>
              <w:rPr>
                <w:rFonts w:hint="eastAsia"/>
              </w:rPr>
              <w:t>（7）负责编制项目经理部职工年度培训计划。</w:t>
            </w:r>
          </w:p>
          <w:p w14:paraId="79AC60E9">
            <w:pPr>
              <w:ind w:firstLine="560"/>
            </w:pPr>
            <w:r>
              <w:rPr>
                <w:rFonts w:hint="eastAsia"/>
              </w:rPr>
              <w:t>（8）材料、设备系统的选型优化，专业施工详图的复审与施工协调。</w:t>
            </w:r>
          </w:p>
          <w:p w14:paraId="68833E17">
            <w:pPr>
              <w:ind w:firstLine="560"/>
            </w:pPr>
            <w:r>
              <w:rPr>
                <w:rFonts w:hint="eastAsia"/>
              </w:rPr>
              <w:t>（9）机电设备与材料的询价，数据库的建立与信息管理。</w:t>
            </w:r>
          </w:p>
          <w:p w14:paraId="17B685B3">
            <w:pPr>
              <w:ind w:firstLine="560"/>
            </w:pPr>
            <w:r>
              <w:rPr>
                <w:rFonts w:hint="eastAsia"/>
              </w:rPr>
              <w:t>（10）为业主编制专业分包工程招标文件并组织评标。</w:t>
            </w:r>
          </w:p>
          <w:p w14:paraId="219CFD6D">
            <w:pPr>
              <w:ind w:firstLine="560"/>
            </w:pPr>
            <w:r>
              <w:rPr>
                <w:rFonts w:hint="eastAsia"/>
              </w:rPr>
              <w:t>（11）对机电安装工程的技术、质量、进度负责,为项目合约预算部提供机电安装工程的预算资料。</w:t>
            </w:r>
          </w:p>
          <w:p w14:paraId="05CD794B">
            <w:pPr>
              <w:ind w:firstLine="560"/>
            </w:pPr>
            <w:r>
              <w:rPr>
                <w:rFonts w:hint="eastAsia"/>
              </w:rPr>
              <w:t>（12）与机电积极配合，解决交叉作业时出现的各种问题。</w:t>
            </w:r>
          </w:p>
        </w:tc>
      </w:tr>
      <w:tr w14:paraId="4991E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101E77D">
            <w:pPr>
              <w:ind w:firstLine="560"/>
            </w:pPr>
            <w:r>
              <w:rPr>
                <w:rFonts w:hint="eastAsia"/>
              </w:rPr>
              <w:t>6.质量部</w:t>
            </w:r>
          </w:p>
        </w:tc>
      </w:tr>
      <w:tr w14:paraId="1130F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F8A5A4C">
            <w:pPr>
              <w:ind w:firstLine="560"/>
            </w:pPr>
            <w:r>
              <w:rPr>
                <w:rFonts w:hint="eastAsia"/>
              </w:rPr>
              <w:t>质量部的主要职责是负责项目质量管理工作，主要工作包括：</w:t>
            </w:r>
          </w:p>
          <w:p w14:paraId="01BF8011">
            <w:pPr>
              <w:ind w:firstLine="560"/>
            </w:pPr>
            <w:r>
              <w:rPr>
                <w:rFonts w:hint="eastAsia"/>
              </w:rPr>
              <w:t>（1）组织隐、预检和分项工程验收,对工程的每一分项分部工程进行质量检查和评定；</w:t>
            </w:r>
          </w:p>
          <w:p w14:paraId="159596DC">
            <w:pPr>
              <w:ind w:firstLine="560"/>
            </w:pPr>
            <w:r>
              <w:rPr>
                <w:rFonts w:hint="eastAsia"/>
              </w:rPr>
              <w:t>（2）负责对工程中出现的不合格品进行控制，并制定和组织实施纠正预防措施；</w:t>
            </w:r>
          </w:p>
          <w:p w14:paraId="1D03E0C6">
            <w:pPr>
              <w:ind w:firstLine="560"/>
            </w:pPr>
            <w:r>
              <w:rPr>
                <w:rFonts w:hint="eastAsia"/>
              </w:rPr>
              <w:t>（3）负责对进场材料设备的检查、检验工作。</w:t>
            </w:r>
          </w:p>
        </w:tc>
      </w:tr>
      <w:tr w14:paraId="768A2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8203E02">
            <w:pPr>
              <w:ind w:firstLine="560"/>
            </w:pPr>
            <w:r>
              <w:rPr>
                <w:rFonts w:hint="eastAsia"/>
              </w:rPr>
              <w:t>7.工程部</w:t>
            </w:r>
          </w:p>
        </w:tc>
      </w:tr>
      <w:tr w14:paraId="79F36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3BC8E8C">
            <w:pPr>
              <w:ind w:firstLine="560"/>
            </w:pPr>
            <w:r>
              <w:rPr>
                <w:rFonts w:hint="eastAsia"/>
              </w:rPr>
              <w:t>工程部的主要职责是进度管理和现场文明施工和环保管理,主要工作包括：</w:t>
            </w:r>
          </w:p>
          <w:p w14:paraId="65EE6A55">
            <w:pPr>
              <w:ind w:firstLine="560"/>
            </w:pPr>
            <w:r>
              <w:rPr>
                <w:rFonts w:hint="eastAsia"/>
              </w:rPr>
              <w:t>（1）与项目总工程师共同编制项目总工期控制进度计划与年度计划，按照年度计划要求，编制季度、月度和周进度计划，并对施工进度管理进行策划和控制，确保总工期的实现；</w:t>
            </w:r>
          </w:p>
          <w:p w14:paraId="3B80BAF6">
            <w:pPr>
              <w:ind w:firstLine="560"/>
            </w:pPr>
            <w:r>
              <w:rPr>
                <w:rFonts w:hint="eastAsia"/>
              </w:rPr>
              <w:t>（2）负责对包括其他承包人在内的工程总体施工计划的安排、日常协调和管理，做好各专业工程间的交叉作业综合平衡工作；</w:t>
            </w:r>
          </w:p>
          <w:p w14:paraId="0CC8C2BD">
            <w:pPr>
              <w:ind w:firstLine="560"/>
            </w:pPr>
            <w:r>
              <w:rPr>
                <w:rFonts w:hint="eastAsia"/>
              </w:rPr>
              <w:t>（3）为业主指定分包商作好配合服务工作.向业主指定分包商提供足够和无障碍的工作面、临时水电接口、所需的脚手架、垂直运输机械(现场已有）等支持配合；</w:t>
            </w:r>
          </w:p>
          <w:p w14:paraId="54174F19">
            <w:pPr>
              <w:ind w:firstLine="560"/>
            </w:pPr>
            <w:r>
              <w:rPr>
                <w:rFonts w:hint="eastAsia"/>
              </w:rPr>
              <w:t>（4）负责现场总平面布置、文明施工、环保和成品保护管理工作；</w:t>
            </w:r>
          </w:p>
          <w:p w14:paraId="3920249E">
            <w:pPr>
              <w:ind w:firstLine="560"/>
            </w:pPr>
            <w:r>
              <w:rPr>
                <w:rFonts w:hint="eastAsia"/>
              </w:rPr>
              <w:t>（5）掌握现场施工进度、人员、机械状况，编制月度报告提供给监理工程师；</w:t>
            </w:r>
          </w:p>
          <w:p w14:paraId="770972AB">
            <w:pPr>
              <w:ind w:firstLine="560"/>
            </w:pPr>
            <w:r>
              <w:rPr>
                <w:rFonts w:hint="eastAsia"/>
              </w:rPr>
              <w:t>（6）负责工程保修服务工作。</w:t>
            </w:r>
          </w:p>
        </w:tc>
      </w:tr>
      <w:tr w14:paraId="5EF33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9576807">
            <w:pPr>
              <w:ind w:firstLine="560"/>
            </w:pPr>
            <w:r>
              <w:rPr>
                <w:rFonts w:hint="eastAsia"/>
              </w:rPr>
              <w:t>8.机电部</w:t>
            </w:r>
          </w:p>
        </w:tc>
      </w:tr>
      <w:tr w14:paraId="59560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1687CA1D">
            <w:pPr>
              <w:ind w:firstLine="560"/>
            </w:pPr>
            <w:r>
              <w:rPr>
                <w:rFonts w:hint="eastAsia"/>
              </w:rPr>
              <w:t>机电部的主要职责是机电专业施工策划和管理，主要工作包括：</w:t>
            </w:r>
          </w:p>
          <w:p w14:paraId="0D632152">
            <w:pPr>
              <w:ind w:firstLine="560"/>
            </w:pPr>
            <w:r>
              <w:rPr>
                <w:rFonts w:hint="eastAsia"/>
              </w:rPr>
              <w:t>（1）设备系统的选型优化，专业施工详图的复审与施工协调;</w:t>
            </w:r>
          </w:p>
          <w:p w14:paraId="65F9D50B">
            <w:pPr>
              <w:ind w:firstLine="560"/>
            </w:pPr>
            <w:r>
              <w:rPr>
                <w:rFonts w:hint="eastAsia"/>
              </w:rPr>
              <w:t>（2）机电设备与材料的询价，数据库的建立与信息管理；</w:t>
            </w:r>
          </w:p>
          <w:p w14:paraId="17BECC32">
            <w:pPr>
              <w:ind w:firstLine="560"/>
            </w:pPr>
            <w:r>
              <w:rPr>
                <w:rFonts w:hint="eastAsia"/>
              </w:rPr>
              <w:t>（3）协助业主编制专业分包工程招标文件并组织评标；</w:t>
            </w:r>
          </w:p>
          <w:p w14:paraId="4450F378">
            <w:pPr>
              <w:ind w:firstLine="560"/>
            </w:pPr>
            <w:r>
              <w:rPr>
                <w:rFonts w:hint="eastAsia"/>
              </w:rPr>
              <w:t>（4）对机电安装工程的技术、质量、进度负责，为项目经营计划部提供机电安装工程的预算资料；</w:t>
            </w:r>
          </w:p>
          <w:p w14:paraId="346B3EE1">
            <w:pPr>
              <w:ind w:firstLine="560"/>
            </w:pPr>
            <w:r>
              <w:rPr>
                <w:rFonts w:hint="eastAsia"/>
              </w:rPr>
              <w:t>（5）与土建积极配合，解决交叉作业时出现的各种问题。</w:t>
            </w:r>
          </w:p>
        </w:tc>
      </w:tr>
      <w:tr w14:paraId="3F4F0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C84A27C">
            <w:pPr>
              <w:ind w:firstLine="560"/>
            </w:pPr>
            <w:r>
              <w:rPr>
                <w:rFonts w:hint="eastAsia"/>
              </w:rPr>
              <w:t>9.安全部</w:t>
            </w:r>
          </w:p>
        </w:tc>
      </w:tr>
      <w:tr w14:paraId="7E3E8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A085E33">
            <w:pPr>
              <w:ind w:firstLine="560"/>
            </w:pPr>
            <w:r>
              <w:rPr>
                <w:rFonts w:hint="eastAsia"/>
              </w:rPr>
              <w:t>安全部的主要职责是负责项目安全管理工作，主要工作包括：</w:t>
            </w:r>
          </w:p>
          <w:p w14:paraId="5398092A">
            <w:pPr>
              <w:ind w:firstLine="560"/>
            </w:pPr>
            <w:r>
              <w:rPr>
                <w:rFonts w:hint="eastAsia"/>
              </w:rPr>
              <w:t>（1）对所有进场人员进行安全意识教育，建立健全安全管理制度;</w:t>
            </w:r>
          </w:p>
          <w:p w14:paraId="3413E3B0">
            <w:pPr>
              <w:ind w:firstLine="560"/>
            </w:pPr>
            <w:r>
              <w:rPr>
                <w:rFonts w:hint="eastAsia"/>
              </w:rPr>
              <w:t>（2）保证各种安全技术资料和基础台帐齐全，并按时上报。</w:t>
            </w:r>
          </w:p>
          <w:p w14:paraId="56DB1E28">
            <w:pPr>
              <w:ind w:firstLine="560"/>
            </w:pPr>
            <w:r>
              <w:rPr>
                <w:rFonts w:hint="eastAsia"/>
              </w:rPr>
              <w:t>（3）督促各级各类人员履行安全生产职责，对特种作业人员持证上岗情况进行检查,定期对防护、外架、临电、机械进行安全检查，对发现的问题下发整改通知单并限期整改。</w:t>
            </w:r>
          </w:p>
        </w:tc>
      </w:tr>
      <w:tr w14:paraId="6BBB7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57FCA28">
            <w:pPr>
              <w:ind w:firstLine="560"/>
            </w:pPr>
            <w:r>
              <w:rPr>
                <w:rFonts w:hint="eastAsia"/>
              </w:rPr>
              <w:t>10.物资设备部</w:t>
            </w:r>
          </w:p>
        </w:tc>
      </w:tr>
      <w:tr w14:paraId="3D0FD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1F25839">
            <w:pPr>
              <w:ind w:firstLine="560"/>
            </w:pPr>
            <w:r>
              <w:rPr>
                <w:rFonts w:hint="eastAsia"/>
              </w:rPr>
              <w:t>物资设备部的主要职责是负责项目材料供应和管理工作，主要工作包括：</w:t>
            </w:r>
          </w:p>
          <w:p w14:paraId="2EE480FC">
            <w:pPr>
              <w:ind w:firstLine="560"/>
            </w:pPr>
            <w:r>
              <w:rPr>
                <w:rFonts w:hint="eastAsia"/>
              </w:rPr>
              <w:t>（1）负责工程施工所需物资的供应工作,执行《材料管理程序》，按《材料管理程序》分工采购供应工程施工中所需材料，负责按《材料管理程序》对现场物资进行产品标识和唯一性标识，并对其检验和试验状态进行有效性标识。</w:t>
            </w:r>
          </w:p>
          <w:p w14:paraId="3D21F04F">
            <w:pPr>
              <w:ind w:firstLine="560"/>
            </w:pPr>
            <w:r>
              <w:rPr>
                <w:rFonts w:hint="eastAsia"/>
              </w:rPr>
              <w:t>（2）负责安排、组织外购产品的运输、现场搬运、码放、储存工作，并做好记录。</w:t>
            </w:r>
          </w:p>
          <w:p w14:paraId="28FB683F">
            <w:pPr>
              <w:ind w:firstLine="560"/>
            </w:pPr>
            <w:r>
              <w:rPr>
                <w:rFonts w:hint="eastAsia"/>
              </w:rPr>
              <w:t>（3）负责及时收集、整理相关的材质证明文件,并交技术室存档。</w:t>
            </w:r>
          </w:p>
          <w:p w14:paraId="149734E8">
            <w:pPr>
              <w:ind w:firstLine="560"/>
            </w:pPr>
            <w:r>
              <w:rPr>
                <w:rFonts w:hint="eastAsia"/>
              </w:rPr>
              <w:t>（4）负责对项目经理部进场材料的接收记录、标识、存放和发放的管理。</w:t>
            </w:r>
          </w:p>
        </w:tc>
      </w:tr>
      <w:tr w14:paraId="685E0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EF2D8AC">
            <w:pPr>
              <w:ind w:firstLine="560"/>
            </w:pPr>
            <w:r>
              <w:rPr>
                <w:rFonts w:hint="eastAsia"/>
              </w:rPr>
              <w:t>11.经营计划部</w:t>
            </w:r>
          </w:p>
        </w:tc>
      </w:tr>
      <w:tr w14:paraId="43800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8E1648C">
            <w:pPr>
              <w:ind w:firstLine="560"/>
            </w:pPr>
            <w:r>
              <w:rPr>
                <w:rFonts w:hint="eastAsia"/>
              </w:rPr>
              <w:t>经营计划部的主要职责是负责工程招标管理、合同管理和成本管理，主要工作包括：</w:t>
            </w:r>
          </w:p>
          <w:p w14:paraId="4E3378B3">
            <w:pPr>
              <w:ind w:firstLine="560"/>
            </w:pPr>
            <w:r>
              <w:rPr>
                <w:rFonts w:hint="eastAsia"/>
              </w:rPr>
              <w:t>（1）负责工程分包合同、劳务合同及租赁合同的起草、洽谈、签订、报批工作，负责项目经理部合同的管理，监控各分包和材料供应商合同履约情况,定期向项目经理汇报合同履约情况,全面兑现对业主的承诺；</w:t>
            </w:r>
          </w:p>
          <w:p w14:paraId="54B08516">
            <w:pPr>
              <w:ind w:firstLine="560"/>
            </w:pPr>
            <w:r>
              <w:rPr>
                <w:rFonts w:hint="eastAsia"/>
              </w:rPr>
              <w:t>（2）认真熟悉图纸，编制工程概预算、年度、季度成本计划及分项工程工料分析；</w:t>
            </w:r>
          </w:p>
          <w:p w14:paraId="115BFFCF">
            <w:pPr>
              <w:ind w:firstLine="560"/>
            </w:pPr>
            <w:r>
              <w:rPr>
                <w:rFonts w:hint="eastAsia"/>
              </w:rPr>
              <w:t>（3）根据每月完成工程量、材料耗用量及各项费用开支，及时编制本月工程成本情况汇总表,并提出节约成本建议，掌握本单位过程用工情况,定期向项目经理及有关人员提供成本分析资料；</w:t>
            </w:r>
          </w:p>
          <w:p w14:paraId="31E96CB2">
            <w:pPr>
              <w:ind w:firstLine="560"/>
            </w:pPr>
            <w:r>
              <w:rPr>
                <w:rFonts w:hint="eastAsia"/>
              </w:rPr>
              <w:t>（4）根据工程进度，办理验工计价，负责向业主提交工程进度款请款计划、资金流量计划和月度请款单，审核各分包和材料供应商月进度款申请计划，按合同向分包和材料供应商付款；</w:t>
            </w:r>
          </w:p>
          <w:p w14:paraId="0F95BEB4">
            <w:pPr>
              <w:ind w:firstLine="560"/>
            </w:pPr>
            <w:r>
              <w:rPr>
                <w:rFonts w:hint="eastAsia"/>
              </w:rPr>
              <w:t>（5）根据变更洽商确定变更计价，上报给监理工程师。审核指定分包和指定供应部分变更计量和计价。办理工程结算；</w:t>
            </w:r>
          </w:p>
          <w:p w14:paraId="0A3CC8E6">
            <w:pPr>
              <w:ind w:firstLine="560"/>
            </w:pPr>
            <w:r>
              <w:rPr>
                <w:rFonts w:hint="eastAsia"/>
              </w:rPr>
              <w:t>（6）建立工作台帐，准确记录各种原始数据并整理装订,妥善保管。</w:t>
            </w:r>
          </w:p>
        </w:tc>
      </w:tr>
      <w:tr w14:paraId="40B61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BAB54EB">
            <w:pPr>
              <w:ind w:firstLine="560"/>
            </w:pPr>
            <w:r>
              <w:rPr>
                <w:rFonts w:hint="eastAsia"/>
              </w:rPr>
              <w:t>12.财务部</w:t>
            </w:r>
          </w:p>
        </w:tc>
      </w:tr>
      <w:tr w14:paraId="3713C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89FA0D8">
            <w:pPr>
              <w:ind w:firstLine="560"/>
            </w:pPr>
            <w:r>
              <w:rPr>
                <w:rFonts w:hint="eastAsia"/>
              </w:rPr>
              <w:t>财务部的主要职责是负责项目财务管理，主要工作包括：</w:t>
            </w:r>
          </w:p>
          <w:p w14:paraId="36BC138E">
            <w:pPr>
              <w:ind w:firstLine="560"/>
            </w:pPr>
            <w:r>
              <w:rPr>
                <w:rFonts w:hint="eastAsia"/>
              </w:rPr>
              <w:t>（1）加强会计监督,审核项目各项收支，监督项目部的各项经济行为,复核有关凭证、帐簿，贯彻国家财经政策、法令、制度，落实公司财务管理办法。</w:t>
            </w:r>
          </w:p>
          <w:p w14:paraId="45CFA8A9">
            <w:pPr>
              <w:ind w:firstLine="560"/>
            </w:pPr>
            <w:r>
              <w:rPr>
                <w:rFonts w:hint="eastAsia"/>
              </w:rPr>
              <w:t>（2）参与经济合同、协议的评审工作，对付款方式提出建议,对项目财力进行确认；按期核对帐目,核实库存。</w:t>
            </w:r>
          </w:p>
          <w:p w14:paraId="28727C21">
            <w:pPr>
              <w:ind w:firstLine="560"/>
            </w:pPr>
            <w:r>
              <w:rPr>
                <w:rFonts w:hint="eastAsia"/>
              </w:rPr>
              <w:t>（3）建立工程价款台帐及其他往来帐，经常与业主对帐，按月编制资金计划，按合同收付工程款。</w:t>
            </w:r>
          </w:p>
          <w:p w14:paraId="3FC8830A">
            <w:pPr>
              <w:ind w:firstLine="560"/>
            </w:pPr>
            <w:r>
              <w:rPr>
                <w:rFonts w:hint="eastAsia"/>
              </w:rPr>
              <w:t>（4）编制各种财务报表及核算表，及时向项目经理和公司财务部提供准确的会计资料，为改善经营管理提合理化建议。</w:t>
            </w:r>
          </w:p>
          <w:p w14:paraId="247CD554">
            <w:pPr>
              <w:ind w:firstLine="560"/>
            </w:pPr>
            <w:r>
              <w:rPr>
                <w:rFonts w:hint="eastAsia"/>
              </w:rPr>
              <w:t>（5）负责会计档案的整理和保存工作。</w:t>
            </w:r>
          </w:p>
        </w:tc>
      </w:tr>
      <w:tr w14:paraId="07543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1FBDBE6D">
            <w:pPr>
              <w:ind w:firstLine="560"/>
            </w:pPr>
            <w:r>
              <w:rPr>
                <w:rFonts w:hint="eastAsia"/>
              </w:rPr>
              <w:t>13.综合办公室</w:t>
            </w:r>
          </w:p>
        </w:tc>
      </w:tr>
      <w:tr w14:paraId="571BD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6BC8123">
            <w:pPr>
              <w:ind w:firstLine="560"/>
            </w:pPr>
            <w:r>
              <w:rPr>
                <w:rFonts w:hint="eastAsia"/>
              </w:rPr>
              <w:t>综合办公室的主要职责是负责项目宣传、行政管理和后勤保障工作，主要工作包括：</w:t>
            </w:r>
          </w:p>
          <w:p w14:paraId="7D286606">
            <w:pPr>
              <w:ind w:firstLine="560"/>
            </w:pPr>
            <w:r>
              <w:rPr>
                <w:rFonts w:hint="eastAsia"/>
              </w:rPr>
              <w:t>（1）负责项目部的对外公关协调,解决施工扰民问题,协调同交通、城管、环卫、环保、派出所及街道的关系，为项目施工创造良好的条件；</w:t>
            </w:r>
          </w:p>
          <w:p w14:paraId="566E8EE8">
            <w:pPr>
              <w:ind w:firstLine="560"/>
            </w:pPr>
            <w:r>
              <w:rPr>
                <w:rFonts w:hint="eastAsia"/>
              </w:rPr>
              <w:t>（2）负责项目安全保卫工作，负责项目门卫、值班制度管理；</w:t>
            </w:r>
          </w:p>
          <w:p w14:paraId="1AE34E96">
            <w:pPr>
              <w:ind w:firstLine="560"/>
            </w:pPr>
            <w:r>
              <w:rPr>
                <w:rFonts w:hint="eastAsia"/>
              </w:rPr>
              <w:t>（3）负责项目劳动纪律、考勤、请销假管理、办公室标准化管理、员工着装管理、员工胸牌管理、电话管理、班车管理等日常行政管理工作；</w:t>
            </w:r>
          </w:p>
          <w:p w14:paraId="5BC3D327">
            <w:pPr>
              <w:ind w:firstLine="560"/>
            </w:pPr>
            <w:r>
              <w:rPr>
                <w:rFonts w:hint="eastAsia"/>
              </w:rPr>
              <w:t>（4）负责施工队食堂、宿舍文明卫生、消防、安全管理，项目食堂管理及后勤保障供应工作；</w:t>
            </w:r>
          </w:p>
          <w:p w14:paraId="51AA9EF6">
            <w:pPr>
              <w:ind w:firstLine="560"/>
            </w:pPr>
            <w:r>
              <w:rPr>
                <w:rFonts w:hint="eastAsia"/>
              </w:rPr>
              <w:t>（5）负责项目临时工的管理，项目部对内、对外宣传工作；</w:t>
            </w:r>
          </w:p>
          <w:p w14:paraId="475280FA">
            <w:pPr>
              <w:ind w:firstLine="560"/>
            </w:pPr>
            <w:r>
              <w:rPr>
                <w:rFonts w:hint="eastAsia"/>
              </w:rPr>
              <w:t>（6）负责项目对外接待工作。</w:t>
            </w:r>
          </w:p>
        </w:tc>
      </w:tr>
      <w:tr w14:paraId="65320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51CB73C">
            <w:pPr>
              <w:ind w:firstLine="560"/>
            </w:pPr>
            <w:r>
              <w:rPr>
                <w:rFonts w:hint="eastAsia"/>
              </w:rPr>
              <w:t>14.分包协调部</w:t>
            </w:r>
          </w:p>
        </w:tc>
      </w:tr>
      <w:tr w14:paraId="36AC3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D0423F1">
            <w:pPr>
              <w:ind w:firstLine="560"/>
            </w:pPr>
            <w:r>
              <w:rPr>
                <w:rFonts w:hint="eastAsia"/>
              </w:rPr>
              <w:t>分包协调小组的主要职责是协调业主指定分包商与项目部的关系，为各业主指定分包商提供一站式服务，主要工作包括：</w:t>
            </w:r>
          </w:p>
          <w:p w14:paraId="58B8CD7A">
            <w:pPr>
              <w:ind w:firstLine="560"/>
            </w:pPr>
            <w:r>
              <w:rPr>
                <w:rFonts w:hint="eastAsia"/>
              </w:rPr>
              <w:t>（1）协助进场分包单位办理进场手续，为分包单位提供一站式服务；</w:t>
            </w:r>
          </w:p>
          <w:p w14:paraId="726A7205">
            <w:pPr>
              <w:ind w:firstLine="560"/>
            </w:pPr>
            <w:r>
              <w:rPr>
                <w:rFonts w:hint="eastAsia"/>
              </w:rPr>
              <w:t>（2）协调项目各部门为分包单位提供水、电、架子、提升架等服务；</w:t>
            </w:r>
          </w:p>
          <w:p w14:paraId="2E181B74">
            <w:pPr>
              <w:ind w:firstLine="560"/>
            </w:pPr>
            <w:r>
              <w:rPr>
                <w:rFonts w:hint="eastAsia"/>
              </w:rPr>
              <w:t>（3）负责各分包单位信息的上传下达。</w:t>
            </w:r>
          </w:p>
        </w:tc>
      </w:tr>
    </w:tbl>
    <w:p w14:paraId="32AAD5FF">
      <w:pPr>
        <w:pStyle w:val="4"/>
        <w:spacing w:before="93" w:after="31"/>
      </w:pPr>
      <w:bookmarkStart w:id="10653" w:name="_Toc1327"/>
      <w:bookmarkStart w:id="10654" w:name="_Toc1457"/>
      <w:bookmarkStart w:id="10655" w:name="_Toc29622"/>
      <w:bookmarkStart w:id="10656" w:name="_Toc23973"/>
      <w:r>
        <w:rPr>
          <w:rFonts w:hint="eastAsia"/>
        </w:rPr>
        <w:t>五、对项目管理工作的主要要求</w:t>
      </w:r>
      <w:bookmarkEnd w:id="10653"/>
      <w:bookmarkEnd w:id="10654"/>
      <w:bookmarkEnd w:id="10655"/>
      <w:bookmarkEnd w:id="10656"/>
    </w:p>
    <w:p w14:paraId="35265139">
      <w:pPr>
        <w:ind w:firstLine="560"/>
      </w:pPr>
      <w:r>
        <w:rPr>
          <w:rFonts w:hint="eastAsia"/>
        </w:rPr>
        <w:t>1.施工组织设计交底</w:t>
      </w:r>
    </w:p>
    <w:p w14:paraId="6613CCF1">
      <w:pPr>
        <w:ind w:firstLine="560"/>
      </w:pPr>
      <w:r>
        <w:rPr>
          <w:rFonts w:hint="eastAsia"/>
        </w:rPr>
        <w:t>施工队伍进场后，由项目经理召集工地所有人员进行技术总交底，对本工程操作、工期、质量、成本节约、防火、安全以及工地纪律等有关要求作详细说明，并作书面记录，参与人员签字后每人一份。</w:t>
      </w:r>
    </w:p>
    <w:p w14:paraId="2A1AF445">
      <w:pPr>
        <w:ind w:firstLine="560"/>
      </w:pPr>
      <w:r>
        <w:rPr>
          <w:rFonts w:hint="eastAsia"/>
        </w:rPr>
        <w:t>2.施工测量</w:t>
      </w:r>
    </w:p>
    <w:p w14:paraId="117D59CD">
      <w:pPr>
        <w:ind w:firstLine="560"/>
      </w:pPr>
      <w:r>
        <w:rPr>
          <w:rFonts w:hint="eastAsia"/>
        </w:rPr>
        <w:t>在进行施工前，对操作面进行实地测量，对照图纸是否有差异，若发现尺寸与图纸不符时，应及时与监理方联系处理，并做好更改有关手续。</w:t>
      </w:r>
    </w:p>
    <w:p w14:paraId="00C57DDB">
      <w:pPr>
        <w:ind w:firstLine="560"/>
      </w:pPr>
      <w:r>
        <w:rPr>
          <w:rFonts w:hint="eastAsia"/>
        </w:rPr>
        <w:t>3.施工调度</w:t>
      </w:r>
    </w:p>
    <w:p w14:paraId="1F96EA0C">
      <w:pPr>
        <w:ind w:firstLine="560"/>
      </w:pPr>
      <w:r>
        <w:rPr>
          <w:rFonts w:hint="eastAsia"/>
        </w:rPr>
        <w:t>根据施工进度及实际情况对人员、材料及机具进行合理调度，这对搞好施工调度管理、提高工作效率、缩短工期、提高经济效益有着重大意义。</w:t>
      </w:r>
    </w:p>
    <w:p w14:paraId="6F1DBBA2">
      <w:pPr>
        <w:ind w:firstLine="560"/>
      </w:pPr>
      <w:r>
        <w:rPr>
          <w:rFonts w:hint="eastAsia"/>
        </w:rPr>
        <w:t>4.施工日记</w:t>
      </w:r>
    </w:p>
    <w:p w14:paraId="70095685">
      <w:pPr>
        <w:ind w:firstLine="560"/>
      </w:pPr>
      <w:r>
        <w:rPr>
          <w:rFonts w:hint="eastAsia"/>
        </w:rPr>
        <w:t>施工日记，应反映整个工程施工详细过程，在工程管理中起到备忘、核对检查的作用。施工日记应记载明确施工日历天的日期、天气、施工的内容、施工人数、材料使用、工作进度、施工现场状况、隐蔽验收及有关工程事项，施工日记必须坚持每日写记。</w:t>
      </w:r>
    </w:p>
    <w:p w14:paraId="6C2540A4">
      <w:pPr>
        <w:ind w:firstLine="560"/>
      </w:pPr>
      <w:r>
        <w:rPr>
          <w:rFonts w:hint="eastAsia"/>
        </w:rPr>
        <w:t>5.施工检查</w:t>
      </w:r>
    </w:p>
    <w:p w14:paraId="5E63C5EB">
      <w:pPr>
        <w:ind w:firstLine="560"/>
      </w:pPr>
      <w:r>
        <w:rPr>
          <w:rFonts w:hint="eastAsia"/>
        </w:rPr>
        <w:t>施工检查是施工管理中一个不可缺少的重要环节。施工检查工作能反映管理人员的管理水平和责任心。施工检查分三个方面：</w:t>
      </w:r>
    </w:p>
    <w:p w14:paraId="5B80C711">
      <w:pPr>
        <w:ind w:firstLine="560"/>
      </w:pPr>
      <w:r>
        <w:rPr>
          <w:rFonts w:hint="eastAsia"/>
        </w:rPr>
        <w:t>（1）工艺质量检查</w:t>
      </w:r>
    </w:p>
    <w:p w14:paraId="6B9D9895">
      <w:pPr>
        <w:ind w:firstLine="560"/>
      </w:pPr>
      <w:r>
        <w:rPr>
          <w:rFonts w:hint="eastAsia"/>
        </w:rPr>
        <w:t>工地专职质量员，动态检查各阶段中各工序在施工中是否符合工程质量验收规范要求，发现问题及时进行纠正，以免发生大的损失。</w:t>
      </w:r>
    </w:p>
    <w:p w14:paraId="4E586EC8">
      <w:pPr>
        <w:ind w:firstLine="560"/>
      </w:pPr>
      <w:r>
        <w:rPr>
          <w:rFonts w:hint="eastAsia"/>
        </w:rPr>
        <w:t>（2）安全检查</w:t>
      </w:r>
    </w:p>
    <w:p w14:paraId="1AC0D9C4">
      <w:pPr>
        <w:ind w:firstLine="560"/>
      </w:pPr>
      <w:r>
        <w:rPr>
          <w:rFonts w:hint="eastAsia"/>
        </w:rPr>
        <w:t>严格检查施工现场，防火措施及设施是否到位，施工现场禁止吸烟，工地禁止用电炉、电热锅等烧煮食物，严禁非电气人员安装及维修电路，以防发生触电伤亡事故。施工人员在现场必须佩带安全三宝。</w:t>
      </w:r>
    </w:p>
    <w:p w14:paraId="11903AEA">
      <w:pPr>
        <w:ind w:firstLine="560"/>
      </w:pPr>
      <w:r>
        <w:rPr>
          <w:rFonts w:hint="eastAsia"/>
        </w:rPr>
        <w:t>（3）施工质量检查</w:t>
      </w:r>
    </w:p>
    <w:p w14:paraId="2D6BDBE5">
      <w:pPr>
        <w:ind w:firstLine="560"/>
      </w:pPr>
      <w:r>
        <w:rPr>
          <w:rFonts w:hint="eastAsia"/>
        </w:rPr>
        <w:t>①施工操作质量的巡视检查</w:t>
      </w:r>
    </w:p>
    <w:p w14:paraId="66601B32">
      <w:pPr>
        <w:ind w:firstLine="560"/>
      </w:pPr>
      <w:r>
        <w:rPr>
          <w:rFonts w:hint="eastAsia"/>
        </w:rPr>
        <w:t>质量员必须注意加强对操作质量的巡视检查，隐蔽部分须会同监理单位一起作隐蔽工程验收，并作记录，对违章操作及不符合质量要求及时纠正，以防患于未然。</w:t>
      </w:r>
    </w:p>
    <w:p w14:paraId="374F1EE1">
      <w:pPr>
        <w:ind w:firstLine="560"/>
      </w:pPr>
      <w:r>
        <w:rPr>
          <w:rFonts w:hint="eastAsia"/>
        </w:rPr>
        <w:t>②工序质量交底检查</w:t>
      </w:r>
    </w:p>
    <w:p w14:paraId="2B4E77AA">
      <w:pPr>
        <w:ind w:firstLine="560"/>
      </w:pPr>
      <w:r>
        <w:rPr>
          <w:rFonts w:hint="eastAsia"/>
        </w:rPr>
        <w:t>工序质量交底检查是指上道工序质量经检查签证认可后方能交给下一道工序，这样一环扣一环，环环不放松，使整个工程的质量能得到有力保障。坚持上道工序不合格就不能转入下道工序的施工原则。</w:t>
      </w:r>
    </w:p>
    <w:p w14:paraId="6BC88CA4">
      <w:pPr>
        <w:ind w:firstLine="560"/>
      </w:pPr>
      <w:r>
        <w:rPr>
          <w:rFonts w:hint="eastAsia"/>
        </w:rPr>
        <w:t>6.完工后工作</w:t>
      </w:r>
    </w:p>
    <w:p w14:paraId="4ABD7BE8">
      <w:pPr>
        <w:ind w:firstLine="560"/>
      </w:pPr>
      <w:r>
        <w:rPr>
          <w:rFonts w:hint="eastAsia"/>
        </w:rPr>
        <w:t>工程施工结束后，大部分施工人员撤离现场，应选择少数技术好、细心和责任心强、能胜任的多面手，留在施工现场。主要做好以下几方面工作：</w:t>
      </w:r>
    </w:p>
    <w:p w14:paraId="172D0F5B">
      <w:pPr>
        <w:ind w:firstLine="560"/>
      </w:pPr>
      <w:r>
        <w:rPr>
          <w:rFonts w:hint="eastAsia"/>
        </w:rPr>
        <w:t>（1）质量检查</w:t>
      </w:r>
    </w:p>
    <w:p w14:paraId="66C5F4A3">
      <w:pPr>
        <w:ind w:firstLine="560"/>
      </w:pPr>
      <w:r>
        <w:rPr>
          <w:rFonts w:hint="eastAsia"/>
        </w:rPr>
        <w:t>认真检查各施工项目的质量，有缺陷的地方限期改善、修整，对隐蔽的部位尤其需仔细检查。</w:t>
      </w:r>
    </w:p>
    <w:p w14:paraId="009CA163">
      <w:pPr>
        <w:ind w:firstLine="560"/>
      </w:pPr>
      <w:r>
        <w:rPr>
          <w:rFonts w:hint="eastAsia"/>
        </w:rPr>
        <w:t>（2）现场清理工作</w:t>
      </w:r>
    </w:p>
    <w:p w14:paraId="730F2F77">
      <w:pPr>
        <w:ind w:firstLine="560"/>
      </w:pPr>
      <w:r>
        <w:rPr>
          <w:rFonts w:hint="eastAsia"/>
        </w:rPr>
        <w:t>清理工地，使现场整齐干净，尤其是对污染部分要彻底清理干净。</w:t>
      </w:r>
    </w:p>
    <w:p w14:paraId="1D60A876">
      <w:pPr>
        <w:ind w:firstLine="560"/>
      </w:pPr>
      <w:r>
        <w:rPr>
          <w:rFonts w:hint="eastAsia"/>
        </w:rPr>
        <w:t>（3）内部初检</w:t>
      </w:r>
    </w:p>
    <w:p w14:paraId="7144EB7F">
      <w:pPr>
        <w:ind w:firstLine="560"/>
      </w:pPr>
      <w:r>
        <w:rPr>
          <w:rFonts w:hint="eastAsia"/>
        </w:rPr>
        <w:t>在正式验收前，项目班组会同公司有关人员，进行内部初检，力求正式验收时一次通过。</w:t>
      </w:r>
    </w:p>
    <w:p w14:paraId="318495A9">
      <w:pPr>
        <w:ind w:firstLine="560"/>
      </w:pPr>
      <w:r>
        <w:rPr>
          <w:rFonts w:hint="eastAsia"/>
        </w:rPr>
        <w:t>（4）经内部初检确认无问题，通知业主由监理方组织竣工验收，填写竣工验收中存在的问题，并作好记录，以便整改。</w:t>
      </w:r>
    </w:p>
    <w:p w14:paraId="035079FB">
      <w:pPr>
        <w:ind w:firstLine="560"/>
      </w:pPr>
      <w:r>
        <w:rPr>
          <w:rFonts w:hint="eastAsia"/>
        </w:rPr>
        <w:t>（5）现场机具余料撤场</w:t>
      </w:r>
    </w:p>
    <w:p w14:paraId="1C0E4BD8">
      <w:pPr>
        <w:ind w:firstLine="560"/>
      </w:pPr>
      <w:r>
        <w:rPr>
          <w:rFonts w:hint="eastAsia"/>
        </w:rPr>
        <w:t>将现场机具材料清点、检查，机具应封装后起运，以免损坏。对现场多余的材料应整理、捆绑，对易损污材料应加以保护，合理装车，避免造成不应有的经济损失。</w:t>
      </w:r>
    </w:p>
    <w:p w14:paraId="4778171F">
      <w:pPr>
        <w:ind w:firstLine="560"/>
      </w:pPr>
      <w:r>
        <w:rPr>
          <w:rFonts w:hint="eastAsia"/>
        </w:rPr>
        <w:t>（6）整理归档技术资料</w:t>
      </w:r>
    </w:p>
    <w:p w14:paraId="5AD43425">
      <w:pPr>
        <w:ind w:firstLine="560"/>
      </w:pPr>
      <w:r>
        <w:rPr>
          <w:rFonts w:hint="eastAsia"/>
        </w:rPr>
        <w:t>在工程竣工前，对平时积累的技术资料按公司要求整理装订册，一式五份，业主、监理方、质检部门、本项目部、城建档案管各一份。如业主或监方另有要求，应另行处理。</w:t>
      </w:r>
    </w:p>
    <w:p w14:paraId="57CE46E2">
      <w:pPr>
        <w:ind w:firstLine="560"/>
      </w:pPr>
      <w:r>
        <w:rPr>
          <w:rFonts w:hint="eastAsia"/>
        </w:rPr>
        <w:t>。</w:t>
      </w:r>
      <w:r>
        <w:rPr>
          <w:rFonts w:hint="eastAsia"/>
        </w:rPr>
        <w:br w:type="page"/>
      </w:r>
    </w:p>
    <w:p w14:paraId="151F8EFA">
      <w:pPr>
        <w:pStyle w:val="3"/>
      </w:pPr>
      <w:bookmarkStart w:id="10657" w:name="_Toc4944"/>
      <w:bookmarkStart w:id="10658" w:name="_Toc7060"/>
      <w:bookmarkStart w:id="10659" w:name="_Toc26607"/>
      <w:bookmarkStart w:id="10660" w:name="_Toc23994"/>
      <w:r>
        <w:rPr>
          <w:rFonts w:hint="eastAsia"/>
        </w:rPr>
        <w:t>第二节、人、财、物资源支持方案及优势</w:t>
      </w:r>
      <w:bookmarkEnd w:id="10657"/>
      <w:bookmarkEnd w:id="10658"/>
      <w:bookmarkEnd w:id="10659"/>
      <w:bookmarkEnd w:id="10660"/>
    </w:p>
    <w:p w14:paraId="209B0942">
      <w:pPr>
        <w:pStyle w:val="4"/>
        <w:spacing w:before="93" w:after="31"/>
      </w:pPr>
      <w:bookmarkStart w:id="10661" w:name="_Toc4380"/>
      <w:bookmarkStart w:id="10662" w:name="_Toc16404"/>
      <w:bookmarkStart w:id="10663" w:name="_Toc4803"/>
      <w:bookmarkStart w:id="10664" w:name="_Toc26312"/>
      <w:bookmarkStart w:id="10665" w:name="_Toc20110"/>
      <w:bookmarkStart w:id="10666" w:name="_Toc14005"/>
      <w:bookmarkStart w:id="10667" w:name="_Toc3538"/>
      <w:bookmarkStart w:id="10668" w:name="_Toc23136"/>
      <w:bookmarkStart w:id="10669" w:name="_Toc8337"/>
      <w:bookmarkStart w:id="10670" w:name="_Toc397"/>
      <w:bookmarkStart w:id="10671" w:name="_Toc22166"/>
      <w:bookmarkStart w:id="10672" w:name="_Toc7567"/>
      <w:bookmarkStart w:id="10673" w:name="_Toc19911"/>
      <w:bookmarkStart w:id="10674" w:name="_Toc9378"/>
      <w:bookmarkStart w:id="10675" w:name="_Toc31334"/>
      <w:bookmarkStart w:id="10676" w:name="_Toc26558"/>
      <w:bookmarkStart w:id="10677" w:name="_Toc12999"/>
      <w:bookmarkStart w:id="10678" w:name="_Toc21298"/>
      <w:bookmarkStart w:id="10679" w:name="_Toc15822"/>
      <w:r>
        <w:rPr>
          <w:rFonts w:hint="eastAsia"/>
        </w:rPr>
        <w:t>一、</w:t>
      </w:r>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r>
        <w:rPr>
          <w:rFonts w:hint="eastAsia"/>
        </w:rPr>
        <w:t>人力资源支持</w:t>
      </w:r>
      <w:bookmarkEnd w:id="10676"/>
      <w:bookmarkEnd w:id="10677"/>
      <w:bookmarkEnd w:id="10678"/>
      <w:bookmarkEnd w:id="10679"/>
    </w:p>
    <w:p w14:paraId="312B073B">
      <w:pPr>
        <w:ind w:firstLine="560"/>
      </w:pPr>
      <w:r>
        <w:rPr>
          <w:rFonts w:hint="eastAsia"/>
        </w:rPr>
        <w:t>我方承诺，若中标，项目经理、质量总监、总工程师、项目副经理（含安全负责人）不兼职其它项目职务；严格按投标文件提报的人员进场，未经贵方批准，不随意更换。</w:t>
      </w:r>
    </w:p>
    <w:p w14:paraId="70D36580">
      <w:pPr>
        <w:ind w:firstLine="560"/>
      </w:pPr>
      <w:r>
        <w:rPr>
          <w:rFonts w:hint="eastAsia"/>
        </w:rPr>
        <w:t>我方承诺，若中标，将按合同约定组织专业、劳务，签订合同，将队伍纳入工程项目的统一管理，接受发包人的监督检查。</w:t>
      </w:r>
    </w:p>
    <w:p w14:paraId="46629DD1">
      <w:pPr>
        <w:ind w:firstLine="560"/>
      </w:pPr>
      <w:r>
        <w:rPr>
          <w:rFonts w:hint="eastAsia"/>
        </w:rPr>
        <w:t>1.劳动力组织原则</w:t>
      </w:r>
    </w:p>
    <w:p w14:paraId="23E7A154">
      <w:pPr>
        <w:ind w:firstLine="560"/>
      </w:pPr>
      <w:r>
        <w:rPr>
          <w:rFonts w:hint="eastAsia"/>
        </w:rPr>
        <w:t>为确保本工程工程能优质、安全、高效地顺利完成，结合本工程的工程特点，本着满足施工需要，均衡生产，动态管理，组织专业化施工的原则，安排劳动力。选派懂技术会管理的项目经理组织施工；选派具有相应岗位资格的各级管理人员、具有相应施工经验的技术人员，雇佣具有相应资格的专业技工和合格普工，选派具有施工经验的技术人员组成高素质的技术队伍，按专业化施工要求，配备劳动力资源。对工程施工的关键岗位、关键工种，执行先培训后上岗的制度。特种作业人员应经过专门的安全作业培训，取得资格证书后方可上岗。</w:t>
      </w:r>
    </w:p>
    <w:p w14:paraId="16A33680">
      <w:pPr>
        <w:ind w:firstLine="560"/>
      </w:pPr>
      <w:r>
        <w:rPr>
          <w:rFonts w:hint="eastAsia"/>
        </w:rPr>
        <w:t>2.劳动力组织计划</w:t>
      </w:r>
    </w:p>
    <w:p w14:paraId="128864F9">
      <w:pPr>
        <w:ind w:firstLine="560"/>
      </w:pPr>
      <w:r>
        <w:rPr>
          <w:rFonts w:hint="eastAsia"/>
        </w:rPr>
        <w:t>本工程施工队伍将根据施工进度安排和工程进展情况分期分批进场。</w:t>
      </w:r>
    </w:p>
    <w:p w14:paraId="561F3042">
      <w:pPr>
        <w:ind w:firstLine="560"/>
      </w:pPr>
      <w:r>
        <w:rPr>
          <w:rFonts w:hint="eastAsia"/>
        </w:rPr>
        <w:t>项目主要管理人员及技术人员在接到中标通知书后5天内进场，进行施工准备；第一批施工人员在接到中标通知书15天内进驻现场，开始修建各种临时设施；第二批施工人员在项目开工前进驻现场，完善施工准备工作，尽快形成生产能力，确保工程按计划开工；其它施工人员在工程全面展开后根据工程进度要求及施工进展情况及时进入施工现场。</w:t>
      </w:r>
    </w:p>
    <w:p w14:paraId="79587D99">
      <w:pPr>
        <w:pStyle w:val="4"/>
        <w:spacing w:before="93" w:after="31"/>
      </w:pPr>
      <w:bookmarkStart w:id="10680" w:name="_Toc16752"/>
      <w:bookmarkStart w:id="10681" w:name="_Toc28826"/>
      <w:bookmarkStart w:id="10682" w:name="_Toc10246"/>
      <w:bookmarkStart w:id="10683" w:name="_Toc2827"/>
      <w:bookmarkStart w:id="10684" w:name="_Toc12229"/>
      <w:bookmarkStart w:id="10685" w:name="_Toc13036"/>
      <w:bookmarkStart w:id="10686" w:name="_Toc17877"/>
      <w:bookmarkStart w:id="10687" w:name="_Toc18936"/>
      <w:bookmarkStart w:id="10688" w:name="_Toc20143"/>
      <w:bookmarkStart w:id="10689" w:name="_Toc24137"/>
      <w:bookmarkStart w:id="10690" w:name="_Toc8276"/>
      <w:bookmarkStart w:id="10691" w:name="_Toc232"/>
      <w:bookmarkStart w:id="10692" w:name="_Toc18970"/>
      <w:bookmarkStart w:id="10693" w:name="_Toc6057"/>
      <w:bookmarkStart w:id="10694" w:name="_Toc1881"/>
      <w:bookmarkStart w:id="10695" w:name="_Toc11498"/>
      <w:bookmarkStart w:id="10696" w:name="_Toc19830"/>
      <w:bookmarkStart w:id="10697" w:name="_Toc28807"/>
      <w:bookmarkStart w:id="10698" w:name="_Toc786"/>
      <w:bookmarkStart w:id="10699" w:name="_Toc16495"/>
      <w:bookmarkStart w:id="10700" w:name="_Toc19683"/>
      <w:bookmarkStart w:id="10701" w:name="_Toc7314"/>
      <w:bookmarkStart w:id="10702" w:name="_Toc9080"/>
      <w:bookmarkStart w:id="10703" w:name="_Toc7097"/>
      <w:bookmarkStart w:id="10704" w:name="_Toc21587"/>
      <w:bookmarkStart w:id="10705" w:name="_Toc3820"/>
      <w:bookmarkStart w:id="10706" w:name="_Toc31249"/>
      <w:bookmarkStart w:id="10707" w:name="_Toc20499"/>
      <w:bookmarkStart w:id="10708" w:name="_Toc15126"/>
      <w:bookmarkStart w:id="10709" w:name="_Toc28765"/>
      <w:bookmarkStart w:id="10710" w:name="_Toc17365"/>
      <w:bookmarkStart w:id="10711" w:name="_Toc9643"/>
      <w:bookmarkStart w:id="10712" w:name="_Toc3152"/>
      <w:bookmarkStart w:id="10713" w:name="_Toc28393"/>
      <w:bookmarkStart w:id="10714" w:name="_Toc10612"/>
      <w:bookmarkStart w:id="10715" w:name="_Toc2884"/>
      <w:r>
        <w:rPr>
          <w:rFonts w:hint="eastAsia"/>
        </w:rPr>
        <w:t>二、</w:t>
      </w:r>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r>
        <w:rPr>
          <w:rFonts w:hint="eastAsia"/>
        </w:rPr>
        <w:t>财务支出支持</w:t>
      </w:r>
      <w:bookmarkEnd w:id="10695"/>
      <w:bookmarkEnd w:id="10696"/>
      <w:bookmarkEnd w:id="10697"/>
      <w:bookmarkEnd w:id="10698"/>
    </w:p>
    <w:p w14:paraId="47DDD99D">
      <w:pPr>
        <w:ind w:firstLine="560"/>
      </w:pPr>
      <w:r>
        <w:rPr>
          <w:rFonts w:hint="eastAsia"/>
        </w:rPr>
        <w:t>为完成本工程施工工程内容，在当地开设工程款结算户、将流动资金及甲方所拨付资金专项用于本工程工程建设，其具体措施为：</w:t>
      </w:r>
    </w:p>
    <w:p w14:paraId="2DD180F1">
      <w:pPr>
        <w:ind w:firstLine="560"/>
      </w:pPr>
      <w:r>
        <w:rPr>
          <w:rFonts w:hint="eastAsia"/>
        </w:rPr>
        <w:t>1.项目经理部成立以后，尽快在当地开设工程款结算户。</w:t>
      </w:r>
    </w:p>
    <w:p w14:paraId="73DEC9C3">
      <w:pPr>
        <w:ind w:firstLine="560"/>
      </w:pPr>
      <w:r>
        <w:rPr>
          <w:rFonts w:hint="eastAsia"/>
        </w:rPr>
        <w:t>2.确保本项目资金专款专用，不发生挪用、转移资金的现象；保证不通过权益转让、抵押、担保承担债务等任何其他方式使用基本结算户的资金。</w:t>
      </w:r>
    </w:p>
    <w:p w14:paraId="36EC2C01">
      <w:pPr>
        <w:ind w:firstLine="560"/>
      </w:pPr>
      <w:r>
        <w:rPr>
          <w:rFonts w:hint="eastAsia"/>
        </w:rPr>
        <w:t>3.办理材料、设备等采购业务（包括使用同城转帐支票）时，出示购货合同、协议和发票。</w:t>
      </w:r>
    </w:p>
    <w:p w14:paraId="5C1E6A24">
      <w:pPr>
        <w:ind w:firstLine="560"/>
      </w:pPr>
      <w:r>
        <w:rPr>
          <w:rFonts w:hint="eastAsia"/>
        </w:rPr>
        <w:t>4.购买应急材料、设备时可先办理支付手续，但事后必须补备有关资料。</w:t>
      </w:r>
    </w:p>
    <w:p w14:paraId="3C35B132">
      <w:pPr>
        <w:ind w:firstLine="560"/>
      </w:pPr>
      <w:r>
        <w:rPr>
          <w:rFonts w:hint="eastAsia"/>
        </w:rPr>
        <w:t>5.向上级单位缴纳管理费、机械设备及周转材料租赁摊销费、职工保险、养老及医疗统筹保险基金、工会经费等款项时，附上级单位出具的转帐通知等有关资料，以确保资金专款专用。</w:t>
      </w:r>
    </w:p>
    <w:p w14:paraId="43375CFD">
      <w:pPr>
        <w:ind w:firstLine="560"/>
      </w:pPr>
      <w:r>
        <w:rPr>
          <w:rFonts w:hint="eastAsia"/>
        </w:rPr>
        <w:t>6.施工中将根据初步的形象进度计划，编制资金使用流动计划。由计划合同财务部依据流动计划监督和管理资金的使用，确保建设资金专款专用，使各项施工管理得以正常进行。</w:t>
      </w:r>
    </w:p>
    <w:p w14:paraId="182BE173">
      <w:pPr>
        <w:pStyle w:val="5"/>
        <w:spacing w:before="31" w:after="31"/>
        <w:ind w:firstLine="562"/>
      </w:pPr>
      <w:bookmarkStart w:id="10716" w:name="_Toc14292"/>
      <w:bookmarkStart w:id="10717" w:name="_Toc23671"/>
      <w:bookmarkStart w:id="10718" w:name="_Toc6989"/>
      <w:bookmarkStart w:id="10719" w:name="_Toc13331"/>
      <w:bookmarkStart w:id="10720" w:name="_Toc1893"/>
      <w:bookmarkStart w:id="10721" w:name="_Toc24285"/>
      <w:bookmarkStart w:id="10722" w:name="_Toc8195"/>
      <w:bookmarkStart w:id="10723" w:name="_Toc13583"/>
      <w:bookmarkStart w:id="10724" w:name="_Toc33"/>
      <w:bookmarkStart w:id="10725" w:name="_Toc9126"/>
      <w:bookmarkStart w:id="10726" w:name="_Toc11210"/>
      <w:bookmarkStart w:id="10727" w:name="_Toc10737"/>
      <w:bookmarkStart w:id="10728" w:name="_Toc28971"/>
      <w:bookmarkStart w:id="10729" w:name="_Toc169"/>
      <w:bookmarkStart w:id="10730" w:name="_Toc20376"/>
      <w:bookmarkStart w:id="10731" w:name="_Toc30002"/>
      <w:bookmarkStart w:id="10732" w:name="_Toc14393"/>
      <w:bookmarkStart w:id="10733" w:name="_Toc27859"/>
      <w:bookmarkStart w:id="10734" w:name="_Toc18407"/>
      <w:bookmarkStart w:id="10735" w:name="_Toc18075"/>
      <w:bookmarkStart w:id="10736" w:name="_Toc29996"/>
      <w:bookmarkStart w:id="10737" w:name="_Toc30339"/>
      <w:bookmarkStart w:id="10738" w:name="_Toc12087"/>
      <w:bookmarkStart w:id="10739" w:name="_Toc21907"/>
      <w:bookmarkStart w:id="10740" w:name="_Toc17405"/>
      <w:bookmarkStart w:id="10741" w:name="_Toc18617"/>
      <w:bookmarkStart w:id="10742" w:name="_Toc5646"/>
      <w:bookmarkStart w:id="10743" w:name="_Toc18806"/>
      <w:bookmarkStart w:id="10744" w:name="_Toc21529"/>
      <w:bookmarkStart w:id="10745" w:name="_Toc30789"/>
      <w:bookmarkStart w:id="10746" w:name="_Toc4911"/>
      <w:r>
        <w:rPr>
          <w:rFonts w:hint="eastAsia"/>
        </w:rPr>
        <w:t>（一）</w:t>
      </w:r>
      <w:r>
        <w:t>物资采购资金管理制度</w:t>
      </w:r>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8872"/>
      </w:tblGrid>
      <w:tr w14:paraId="77A9C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tcPr>
          <w:p w14:paraId="69AFA74E">
            <w:pPr>
              <w:ind w:firstLine="560"/>
            </w:pPr>
            <w:r>
              <w:t>（一）总则</w:t>
            </w:r>
          </w:p>
        </w:tc>
      </w:tr>
      <w:tr w14:paraId="2E960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tcPr>
          <w:p w14:paraId="188E9AF3">
            <w:pPr>
              <w:ind w:firstLine="560"/>
            </w:pPr>
            <w:r>
              <w:rPr>
                <w:rFonts w:hint="eastAsia"/>
              </w:rPr>
              <w:t>一、为了加强对公司货币资金的内部控制和管理，保证货币资金的安全，提高货币资金的使用效率，根据《中华人民共和国会计法》和《加强货币资金会计控制的若干规定（征求意见稿）》、《现金管理暂行条例》等法律法规，结合公司的实际情况，制定本制度。</w:t>
            </w:r>
          </w:p>
          <w:p w14:paraId="3C99759A">
            <w:pPr>
              <w:ind w:firstLine="560"/>
            </w:pPr>
            <w:r>
              <w:rPr>
                <w:rFonts w:hint="eastAsia"/>
              </w:rPr>
              <w:t>二、本制度所称货币资金是指公司所拥有的现金、银行存款和其他货币资金。</w:t>
            </w:r>
          </w:p>
          <w:p w14:paraId="018C4DB4">
            <w:pPr>
              <w:ind w:firstLine="560"/>
            </w:pPr>
            <w:r>
              <w:rPr>
                <w:rFonts w:hint="eastAsia"/>
              </w:rPr>
              <w:t>三、本制度适用于公司的各职能部门和施工项目。</w:t>
            </w:r>
          </w:p>
          <w:p w14:paraId="21CF3D64">
            <w:pPr>
              <w:ind w:firstLine="560"/>
            </w:pPr>
            <w:r>
              <w:rPr>
                <w:rFonts w:hint="eastAsia"/>
              </w:rPr>
              <w:t>四、办理有关货币资金的收入、支付、保管事宜时，应遵循本制度的规定。</w:t>
            </w:r>
          </w:p>
          <w:p w14:paraId="6EBF8EA7">
            <w:pPr>
              <w:ind w:firstLine="560"/>
            </w:pPr>
            <w:r>
              <w:rPr>
                <w:rFonts w:hint="eastAsia"/>
              </w:rPr>
              <w:t>1、为适应公司发展战略的需要,建立与之相配套的劳动工资管理制度,规范劳动工资管理行为,根据《公司法》、《劳动法》等法律、法规,结合公司公司实际,制定本办法。</w:t>
            </w:r>
          </w:p>
          <w:p w14:paraId="4FEB8760">
            <w:pPr>
              <w:ind w:firstLine="560"/>
            </w:pPr>
            <w:r>
              <w:rPr>
                <w:rFonts w:hint="eastAsia"/>
              </w:rPr>
              <w:t>2、本办法适用于公司各二级单位和职能部门(以下简称单位)。</w:t>
            </w:r>
          </w:p>
          <w:p w14:paraId="74A0370A">
            <w:pPr>
              <w:ind w:firstLine="560"/>
            </w:pPr>
            <w:r>
              <w:rPr>
                <w:rFonts w:hint="eastAsia"/>
              </w:rPr>
              <w:t>3、公司对所属单位实行工资总额和工资水平宏观调控政策。工资水平原则上控制在企业工资指导线之内,工资总额控制在工效挂钩结算的范围之内。</w:t>
            </w:r>
          </w:p>
          <w:p w14:paraId="1DDFB0AA">
            <w:pPr>
              <w:ind w:firstLine="560"/>
            </w:pPr>
            <w:r>
              <w:rPr>
                <w:rFonts w:hint="eastAsia"/>
              </w:rPr>
              <w:t>4、公司根据企业生产经营特点和经济效益,依法自主确定工资分配方式和工资水平。健全和完善以岗位工资为主要形式的工资分配制度。薪随效提,在效益增加的同时,相应提高职工工资收入。</w:t>
            </w:r>
          </w:p>
          <w:p w14:paraId="60DFD9D4">
            <w:pPr>
              <w:ind w:firstLine="560"/>
            </w:pPr>
            <w:r>
              <w:rPr>
                <w:rFonts w:hint="eastAsia"/>
              </w:rPr>
              <w:t>五、考勤、验收和工资发放管理</w:t>
            </w:r>
          </w:p>
        </w:tc>
      </w:tr>
      <w:tr w14:paraId="5B211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tcPr>
          <w:p w14:paraId="2851A360">
            <w:pPr>
              <w:ind w:firstLine="0" w:firstLineChars="0"/>
              <w:jc w:val="center"/>
            </w:pPr>
            <w:r>
              <w:drawing>
                <wp:inline distT="0" distB="0" distL="114300" distR="114300">
                  <wp:extent cx="5269865" cy="2858135"/>
                  <wp:effectExtent l="0" t="0" r="6985" b="18415"/>
                  <wp:docPr id="4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7"/>
                          <pic:cNvPicPr>
                            <a:picLocks noChangeAspect="1"/>
                          </pic:cNvPicPr>
                        </pic:nvPicPr>
                        <pic:blipFill>
                          <a:blip r:embed="rId96">
                            <a:grayscl/>
                          </a:blip>
                          <a:stretch>
                            <a:fillRect/>
                          </a:stretch>
                        </pic:blipFill>
                        <pic:spPr>
                          <a:xfrm>
                            <a:off x="0" y="0"/>
                            <a:ext cx="5269865" cy="2858135"/>
                          </a:xfrm>
                          <a:prstGeom prst="rect">
                            <a:avLst/>
                          </a:prstGeom>
                          <a:noFill/>
                          <a:ln>
                            <a:noFill/>
                          </a:ln>
                        </pic:spPr>
                      </pic:pic>
                    </a:graphicData>
                  </a:graphic>
                </wp:inline>
              </w:drawing>
            </w:r>
          </w:p>
        </w:tc>
      </w:tr>
      <w:tr w14:paraId="27AD2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tcPr>
          <w:p w14:paraId="72C9B06A">
            <w:pPr>
              <w:ind w:firstLine="560"/>
            </w:pPr>
            <w:r>
              <w:rPr>
                <w:rFonts w:hint="eastAsia"/>
              </w:rPr>
              <w:t>1、加强职工考勤基础管理工作。各单位职工均必须实行逐日考勤制度,严格执行出勤记工,不出勤不记工的规定,杜绝不上班报出勤、不考勤发工资的不正常现象。积极利用高科技手段强化考勤管理,建立扫描考勤、工票考勤、现场点名的“三位一体”考勤制度。公司将通过网络系统直接查询各司的出勤情况。职工考勤工作,由单位的劳资(人事)部门统一负责管理,按照“三位一体”的考勤制度进一步完善职工考勤具体实施办法,办法报公司备案。</w:t>
            </w:r>
          </w:p>
          <w:p w14:paraId="60C0D2EC">
            <w:pPr>
              <w:ind w:firstLine="560"/>
            </w:pPr>
            <w:r>
              <w:rPr>
                <w:rFonts w:hint="eastAsia"/>
              </w:rPr>
              <w:t>2、各单位要加大对考勤工作的监督检查力度,单位劳资(人事)部门会同有关部门采取不定期的方式到工作现场进行跟踪监督检查。公司纪检、监察、工会、劳资等部门亦将对各二级单位的考勤工作进行现场抽查。对查出违规现象除按照有关规定严肃处理外,并扣罚单位当月工资总额的10%和当事人当月工资的30%。</w:t>
            </w:r>
          </w:p>
          <w:p w14:paraId="1397AA26">
            <w:pPr>
              <w:ind w:firstLine="560"/>
            </w:pPr>
            <w:r>
              <w:rPr>
                <w:rFonts w:hint="eastAsia"/>
              </w:rPr>
              <w:t>3、为合理支付计件工资提供真实可靠的原始数据,必须加强作业现场验收记录工作。验收员应会同当班工长和接班工长,按照规定的规格和质量要求进行验收,并将验收结果准确、真实地填写在验收记录单中,作为支付职工计件工资的依据。</w:t>
            </w:r>
          </w:p>
          <w:p w14:paraId="70FC93A6">
            <w:pPr>
              <w:ind w:firstLine="560"/>
            </w:pPr>
            <w:r>
              <w:rPr>
                <w:rFonts w:hint="eastAsia"/>
              </w:rPr>
              <w:t>4、职工工资必须按照出勤情况和工作任务、工作质量完成情况进行考核,按考核结果计发和发放。出勤达不到规定和工作任务、工作质量完成不好的要按照考核规定减法工资。不出勤、不考勤的不得发工资。</w:t>
            </w:r>
          </w:p>
          <w:p w14:paraId="38276B8C">
            <w:pPr>
              <w:ind w:firstLine="560"/>
            </w:pPr>
            <w:r>
              <w:rPr>
                <w:rFonts w:hint="eastAsia"/>
              </w:rPr>
              <w:t>5、规范工资发放,实行职工工资发放一卡制。各单位职工工资发放均要实行银行代发制度,不再用现金发工资。即职工每月工资直接拨付到工资卡中,职工凭工资卡到银行领取工资。逐步过渡到职工签定劳动合同的,发公司统一的工资卡,不签订劳动合同的不发卡,没有卡就不发工资,以堵塞工资发放的漏洞。</w:t>
            </w:r>
          </w:p>
        </w:tc>
      </w:tr>
      <w:tr w14:paraId="7F9BF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tcPr>
          <w:p w14:paraId="69483CE9">
            <w:pPr>
              <w:ind w:firstLine="560"/>
            </w:pPr>
            <w:r>
              <w:t>（二）货币资金管理原则与依据</w:t>
            </w:r>
          </w:p>
        </w:tc>
      </w:tr>
      <w:tr w14:paraId="52BF0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tcPr>
          <w:p w14:paraId="756E387C">
            <w:pPr>
              <w:ind w:firstLine="560"/>
            </w:pPr>
            <w:r>
              <w:t>一、为了加强公司的资金管理，提高资金的使用效率，公司实施资金预算制度，资金预算的编制和审批严格遵循资金预算流程的规定。</w:t>
            </w:r>
          </w:p>
          <w:p w14:paraId="35C5EB30">
            <w:pPr>
              <w:ind w:firstLine="560"/>
            </w:pPr>
            <w:r>
              <w:t>（一）公司根据实际情况，制定年度资金预算，对公司的资金管理工作起指导性作用。</w:t>
            </w:r>
          </w:p>
          <w:p w14:paraId="561167B7">
            <w:pPr>
              <w:ind w:firstLine="560"/>
            </w:pPr>
            <w:r>
              <w:t>（二）公司根据年度资金预算和月度工作计划，编制月度资金预算，是公司月度资金管理的指令性标准。</w:t>
            </w:r>
          </w:p>
          <w:p w14:paraId="5228CAA9">
            <w:pPr>
              <w:ind w:firstLine="560"/>
            </w:pPr>
            <w:r>
              <w:t>二、公司财务部设资金管理岗，负责收集和各部门的月度资金收支计划，编制公司的月度资金预算，提交公司月度工作会议讨论批准。</w:t>
            </w:r>
          </w:p>
          <w:p w14:paraId="6E955B32">
            <w:pPr>
              <w:ind w:firstLine="560"/>
            </w:pPr>
            <w:r>
              <w:t>三、批准后的月度资金预算是公司下月资金使用的准则，必须严格遵守。预算外资金的使用由使用部门申请，主管副总经理、总经理共同批准后,财务部方可办理。</w:t>
            </w:r>
          </w:p>
          <w:p w14:paraId="6D8E3678">
            <w:pPr>
              <w:ind w:firstLine="560"/>
            </w:pPr>
            <w:r>
              <w:t>四、办理货币资金业务的人员应当具备良好的职业品质，忠于职守，廉洁奉公，遵纪守法，客观公正，不断提高会计业务素质和职业道德水平。</w:t>
            </w:r>
          </w:p>
          <w:p w14:paraId="35160856">
            <w:pPr>
              <w:ind w:firstLine="560"/>
            </w:pPr>
            <w:r>
              <w:t>五、单位应当按照规定的程序办理货币资金支付业务。</w:t>
            </w:r>
          </w:p>
        </w:tc>
      </w:tr>
      <w:tr w14:paraId="6F653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pct"/>
            <w:shd w:val="clear" w:color="auto" w:fill="auto"/>
            <w:vAlign w:val="center"/>
          </w:tcPr>
          <w:p w14:paraId="257559EC">
            <w:pPr>
              <w:ind w:firstLine="0" w:firstLineChars="0"/>
              <w:jc w:val="center"/>
            </w:pPr>
            <w:r>
              <w:rPr>
                <w:rFonts w:hint="eastAsia"/>
              </w:rPr>
              <w:t>支付申请</w:t>
            </w:r>
          </w:p>
        </w:tc>
        <w:tc>
          <w:tcPr>
            <w:tcW w:w="4152" w:type="pct"/>
            <w:shd w:val="clear" w:color="auto" w:fill="auto"/>
          </w:tcPr>
          <w:p w14:paraId="50AFFE49">
            <w:pPr>
              <w:ind w:firstLine="560"/>
            </w:pPr>
            <w:r>
              <w:t>单位有关部门或个人用款时，应当提前向审批人提交货币资金支付申请，注明款项的用途、金额、预算、支付方式等内容，并附有效经济合同或相关证明。</w:t>
            </w:r>
          </w:p>
        </w:tc>
      </w:tr>
      <w:tr w14:paraId="28732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pct"/>
            <w:shd w:val="clear" w:color="auto" w:fill="auto"/>
            <w:vAlign w:val="center"/>
          </w:tcPr>
          <w:p w14:paraId="0539FBC0">
            <w:pPr>
              <w:ind w:firstLine="0" w:firstLineChars="0"/>
              <w:jc w:val="center"/>
            </w:pPr>
            <w:r>
              <w:rPr>
                <w:rFonts w:hint="eastAsia"/>
              </w:rPr>
              <w:t>支付审核</w:t>
            </w:r>
          </w:p>
        </w:tc>
        <w:tc>
          <w:tcPr>
            <w:tcW w:w="4152" w:type="pct"/>
            <w:shd w:val="clear" w:color="auto" w:fill="auto"/>
          </w:tcPr>
          <w:p w14:paraId="11B04523">
            <w:pPr>
              <w:ind w:firstLine="560"/>
            </w:pPr>
            <w:r>
              <w:t>审批人应当根据货币资金授权批准制度的规定，在授权范围内进行审批，不得超越审批权限。对不符合规定的货币资金支付，审批人应当拒绝批准。</w:t>
            </w:r>
          </w:p>
        </w:tc>
      </w:tr>
      <w:tr w14:paraId="4167A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pct"/>
            <w:shd w:val="clear" w:color="auto" w:fill="auto"/>
            <w:vAlign w:val="center"/>
          </w:tcPr>
          <w:p w14:paraId="073086DC">
            <w:pPr>
              <w:ind w:firstLine="0" w:firstLineChars="0"/>
              <w:jc w:val="center"/>
            </w:pPr>
            <w:r>
              <w:rPr>
                <w:rFonts w:hint="eastAsia"/>
              </w:rPr>
              <w:t>支付复核</w:t>
            </w:r>
          </w:p>
        </w:tc>
        <w:tc>
          <w:tcPr>
            <w:tcW w:w="4152" w:type="pct"/>
            <w:shd w:val="clear" w:color="auto" w:fill="auto"/>
          </w:tcPr>
          <w:p w14:paraId="4AEF331D">
            <w:pPr>
              <w:ind w:firstLine="560"/>
            </w:pPr>
            <w:r>
              <w:t>复核人应当对批准后的货币资金支付申请进行复核，复核货币资金支付申请的批准程序是否正确、手续及相关单证是否齐备、金额计算是否准确、支付方式是否妥当等。复核无误后，交由出纳人员办理支付手续。</w:t>
            </w:r>
          </w:p>
        </w:tc>
      </w:tr>
      <w:tr w14:paraId="511C1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pct"/>
            <w:shd w:val="clear" w:color="auto" w:fill="auto"/>
            <w:vAlign w:val="center"/>
          </w:tcPr>
          <w:p w14:paraId="63131397">
            <w:pPr>
              <w:ind w:firstLine="0" w:firstLineChars="0"/>
              <w:jc w:val="center"/>
            </w:pPr>
            <w:r>
              <w:rPr>
                <w:rFonts w:hint="eastAsia"/>
              </w:rPr>
              <w:t>办理支付</w:t>
            </w:r>
          </w:p>
        </w:tc>
        <w:tc>
          <w:tcPr>
            <w:tcW w:w="4152" w:type="pct"/>
            <w:shd w:val="clear" w:color="auto" w:fill="auto"/>
          </w:tcPr>
          <w:p w14:paraId="66C91F9A">
            <w:pPr>
              <w:ind w:firstLine="560"/>
            </w:pPr>
            <w:r>
              <w:t>出纳人员应当根据复核无误的支付申请，按规定办理货币资金支付手续，及时登记现金和银行存款日记账册。</w:t>
            </w:r>
          </w:p>
        </w:tc>
      </w:tr>
      <w:tr w14:paraId="37657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vAlign w:val="center"/>
          </w:tcPr>
          <w:p w14:paraId="3A044C0B">
            <w:pPr>
              <w:ind w:firstLine="560"/>
            </w:pPr>
            <w:r>
              <w:rPr>
                <w:rFonts w:hint="eastAsia"/>
              </w:rPr>
              <w:t>（三）现金管理</w:t>
            </w:r>
          </w:p>
        </w:tc>
      </w:tr>
      <w:tr w14:paraId="687E4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vAlign w:val="center"/>
          </w:tcPr>
          <w:p w14:paraId="639FE616">
            <w:pPr>
              <w:ind w:firstLine="560"/>
            </w:pPr>
            <w:r>
              <w:rPr>
                <w:rFonts w:hint="eastAsia"/>
              </w:rPr>
              <w:t>一、公司办理有关现金收支业务时，应严格遵守国务院发布的《现金管理暂行条例》及其实施细则与本制度的规定。</w:t>
            </w:r>
          </w:p>
          <w:p w14:paraId="366EBB1D">
            <w:pPr>
              <w:ind w:firstLine="560"/>
            </w:pPr>
            <w:r>
              <w:rPr>
                <w:rFonts w:hint="eastAsia"/>
              </w:rPr>
              <w:t>二、部是公司会计核算、财务管理的职能管理部门，公司的现金收支和保管业务均由财务部统一办理。</w:t>
            </w:r>
          </w:p>
          <w:p w14:paraId="39E73D76">
            <w:pPr>
              <w:ind w:firstLine="560"/>
            </w:pPr>
            <w:r>
              <w:rPr>
                <w:rFonts w:hint="eastAsia"/>
              </w:rPr>
              <w:t>三、会计、出纳人员应严格职责分工，出纳人员的资格由财务部和企管部审查认可，现金的收入、支出和保管只限于出纳人员负责办理，非出纳人员不得经管现金。</w:t>
            </w:r>
          </w:p>
          <w:p w14:paraId="0C3D7922">
            <w:pPr>
              <w:ind w:firstLine="560"/>
            </w:pPr>
            <w:r>
              <w:rPr>
                <w:rFonts w:hint="eastAsia"/>
              </w:rPr>
              <w:t>四、现金收入要当天入账，当天联系存入银行，禁止坐支。邮寄、邮汇的收、付款应有专门登记簿登记，记录汇款来源及汇款去向，经济业务事项、金额、转交和签收的事项。</w:t>
            </w:r>
          </w:p>
          <w:p w14:paraId="68ECF726">
            <w:pPr>
              <w:ind w:firstLine="560"/>
            </w:pPr>
            <w:r>
              <w:rPr>
                <w:rFonts w:hint="eastAsia"/>
              </w:rPr>
              <w:t>五、现金收入须由会计人员开出收据或发票，及时编制收款凭证，出纳清点现金后，在凭证上加盖“现金收讫”章后方可入账。</w:t>
            </w:r>
          </w:p>
          <w:p w14:paraId="151CB7D0">
            <w:pPr>
              <w:ind w:firstLine="560"/>
            </w:pPr>
            <w:r>
              <w:rPr>
                <w:rFonts w:hint="eastAsia"/>
              </w:rPr>
              <w:t>六、现金付款业务必须有原始凭证，有经办人签字和公司制度规定的有关负责人审核批准，并经会计复核、填制付款凭证后，出纳才能付款并在付款凭证上加盖“现金付讫”章后入账。现金付款的原始凭证必须是合法凭证，付款内容真实，数字准确，不得涂改。</w:t>
            </w:r>
          </w:p>
          <w:p w14:paraId="1FE12767">
            <w:pPr>
              <w:ind w:firstLine="560"/>
            </w:pPr>
            <w:r>
              <w:rPr>
                <w:rFonts w:hint="eastAsia"/>
              </w:rPr>
              <w:t>七、现金的使用范围</w:t>
            </w:r>
          </w:p>
          <w:p w14:paraId="68B7DB12">
            <w:pPr>
              <w:ind w:firstLine="560"/>
            </w:pPr>
            <w:r>
              <w:rPr>
                <w:rFonts w:hint="eastAsia"/>
              </w:rPr>
              <w:t>（一）职工工资、津贴；</w:t>
            </w:r>
          </w:p>
          <w:p w14:paraId="1DD25F54">
            <w:pPr>
              <w:ind w:firstLine="560"/>
            </w:pPr>
            <w:r>
              <w:rPr>
                <w:rFonts w:hint="eastAsia"/>
              </w:rPr>
              <w:t>（二）个人劳务报酬；</w:t>
            </w:r>
          </w:p>
          <w:p w14:paraId="39EC87A3">
            <w:pPr>
              <w:ind w:firstLine="560"/>
            </w:pPr>
            <w:r>
              <w:rPr>
                <w:rFonts w:hint="eastAsia"/>
              </w:rPr>
              <w:t>（三）根据国家规定发给个人的各种奖金；</w:t>
            </w:r>
          </w:p>
          <w:p w14:paraId="5AD8B301">
            <w:pPr>
              <w:ind w:firstLine="560"/>
            </w:pPr>
            <w:r>
              <w:rPr>
                <w:rFonts w:hint="eastAsia"/>
              </w:rPr>
              <w:t>（四）各种劳保、福利费用以及国家规定对个人的其它支付；</w:t>
            </w:r>
          </w:p>
          <w:p w14:paraId="0D0BFBAB">
            <w:pPr>
              <w:ind w:firstLine="560"/>
            </w:pPr>
            <w:r>
              <w:rPr>
                <w:rFonts w:hint="eastAsia"/>
              </w:rPr>
              <w:t>（五）出差人员必须随身携带的差旅费；</w:t>
            </w:r>
          </w:p>
          <w:p w14:paraId="7DC78FAF">
            <w:pPr>
              <w:ind w:firstLine="560"/>
            </w:pPr>
            <w:r>
              <w:rPr>
                <w:rFonts w:hint="eastAsia"/>
              </w:rPr>
              <w:t>（六）结算起点1000元以下的零星支出；</w:t>
            </w:r>
          </w:p>
          <w:p w14:paraId="0FC0277D">
            <w:pPr>
              <w:ind w:firstLine="560"/>
            </w:pPr>
            <w:r>
              <w:rPr>
                <w:rFonts w:hint="eastAsia"/>
              </w:rPr>
              <w:t>（七）中国人民银行确定需要支付现金的其它支出。</w:t>
            </w:r>
          </w:p>
          <w:p w14:paraId="1B6ABDB6">
            <w:pPr>
              <w:ind w:firstLine="560"/>
            </w:pPr>
            <w:r>
              <w:rPr>
                <w:rFonts w:hint="eastAsia"/>
              </w:rPr>
              <w:t>八、为了认真执行有关库存现金限额的规定，并保证公司费用开支、公出借款和医药费报销等业务使用现金。凡一次借款或报销在2000元以上的，应提前一天告知财务部出纳人员，以便出纳筹款备付。</w:t>
            </w:r>
          </w:p>
          <w:p w14:paraId="48D2CEE6">
            <w:pPr>
              <w:ind w:firstLine="560"/>
            </w:pPr>
            <w:r>
              <w:rPr>
                <w:rFonts w:hint="eastAsia"/>
              </w:rPr>
              <w:t>九、任何个人不得私用或私借公款，凡因公需要借用现金，按照本制度借款报销的有关规定执行。</w:t>
            </w:r>
          </w:p>
          <w:p w14:paraId="1236E37A">
            <w:pPr>
              <w:ind w:firstLine="560"/>
            </w:pPr>
            <w:r>
              <w:rPr>
                <w:rFonts w:hint="eastAsia"/>
              </w:rPr>
              <w:t>十、公司应该按不同的币种，设现金日记账，出纳根据收付款凭证，按业务发生顺序逐笔登记现金日记账，做到日清月结，保证账款相符，发现差错应及时查明原因，并报财务部负责人处理。</w:t>
            </w:r>
          </w:p>
          <w:p w14:paraId="5644287C">
            <w:pPr>
              <w:ind w:firstLine="560"/>
            </w:pPr>
            <w:r>
              <w:rPr>
                <w:rFonts w:hint="eastAsia"/>
              </w:rPr>
              <w:t>十一、公司财务部应按照开户银行核定的库存现金限额提取和保留现金，库存现金限额需要变动时，必须报经开户银行批准，从开户银行提取现金，应当写明用途。</w:t>
            </w:r>
          </w:p>
          <w:p w14:paraId="19CA58CE">
            <w:pPr>
              <w:ind w:firstLine="560"/>
            </w:pPr>
            <w:r>
              <w:rPr>
                <w:rFonts w:hint="eastAsia"/>
              </w:rPr>
              <w:t>十二、在节假日、公休日期间，严禁存放大量现金，出纳人员应作好保险柜的安全管理工作。</w:t>
            </w:r>
          </w:p>
          <w:p w14:paraId="65F590FD">
            <w:pPr>
              <w:ind w:firstLine="560"/>
            </w:pPr>
            <w:r>
              <w:rPr>
                <w:rFonts w:hint="eastAsia"/>
              </w:rPr>
              <w:t>十三、提取一万元以上的现金时，财务部门应有两人以上同往，应使用本单位车辆。本单位车辆管理部门应保证财务部门提取现金使用车辆，提取现金在五万元以上时，应有保卫部门派员同往。</w:t>
            </w:r>
          </w:p>
          <w:p w14:paraId="09A3D7F9">
            <w:pPr>
              <w:ind w:firstLine="560"/>
            </w:pPr>
            <w:r>
              <w:rPr>
                <w:rFonts w:hint="eastAsia"/>
              </w:rPr>
              <w:t>十四、本制度禁止下列行为：</w:t>
            </w:r>
          </w:p>
          <w:p w14:paraId="0ACBC9B8">
            <w:pPr>
              <w:ind w:firstLine="560"/>
            </w:pPr>
            <w:r>
              <w:rPr>
                <w:rFonts w:hint="eastAsia"/>
              </w:rPr>
              <w:t>（一）超出规定范围、限额使用现金；</w:t>
            </w:r>
          </w:p>
          <w:p w14:paraId="43EE478B">
            <w:pPr>
              <w:ind w:firstLine="560"/>
            </w:pPr>
            <w:r>
              <w:rPr>
                <w:rFonts w:hint="eastAsia"/>
              </w:rPr>
              <w:t>（二）超出核定的库存现金限额留存现金；</w:t>
            </w:r>
          </w:p>
          <w:p w14:paraId="78BCCE2C">
            <w:pPr>
              <w:ind w:firstLine="560"/>
            </w:pPr>
            <w:r>
              <w:rPr>
                <w:rFonts w:hint="eastAsia"/>
              </w:rPr>
              <w:t>（三）用不符合财务会计制度规定的凭证顶替库存现金；</w:t>
            </w:r>
          </w:p>
          <w:p w14:paraId="5DDA1CBB">
            <w:pPr>
              <w:ind w:firstLine="560"/>
            </w:pPr>
            <w:r>
              <w:rPr>
                <w:rFonts w:hint="eastAsia"/>
              </w:rPr>
              <w:t>（四）编造用途套取现金；</w:t>
            </w:r>
          </w:p>
          <w:p w14:paraId="5C74ABF1">
            <w:pPr>
              <w:ind w:firstLine="560"/>
            </w:pPr>
            <w:r>
              <w:rPr>
                <w:rFonts w:hint="eastAsia"/>
              </w:rPr>
              <w:t>（五）与其它单位间相互借用货币资金；</w:t>
            </w:r>
          </w:p>
          <w:p w14:paraId="09A19A3D">
            <w:pPr>
              <w:ind w:firstLine="560"/>
            </w:pPr>
            <w:r>
              <w:rPr>
                <w:rFonts w:hint="eastAsia"/>
              </w:rPr>
              <w:t>（六）利用账户替其它单位和个人套取现金；</w:t>
            </w:r>
          </w:p>
          <w:p w14:paraId="4E0422B5">
            <w:pPr>
              <w:ind w:firstLine="560"/>
            </w:pPr>
            <w:r>
              <w:rPr>
                <w:rFonts w:hint="eastAsia"/>
              </w:rPr>
              <w:t>（七）将公司的现金收入按个人储蓄方式存入银行；</w:t>
            </w:r>
          </w:p>
          <w:p w14:paraId="31FF1EC2">
            <w:pPr>
              <w:ind w:firstLine="560"/>
            </w:pPr>
            <w:r>
              <w:rPr>
                <w:rFonts w:hint="eastAsia"/>
              </w:rPr>
              <w:t>（八）设立“小金库”或保留账外公款；</w:t>
            </w:r>
          </w:p>
          <w:p w14:paraId="1900EC3E">
            <w:pPr>
              <w:ind w:firstLine="560"/>
            </w:pPr>
            <w:r>
              <w:rPr>
                <w:rFonts w:hint="eastAsia"/>
              </w:rPr>
              <w:t>十五、公司应当定期和不定期地进行现金盘点，确保现金账面余额与实际库存相符。现金盘点的方式方法见财物盘点制度。</w:t>
            </w:r>
          </w:p>
        </w:tc>
      </w:tr>
      <w:tr w14:paraId="3ED3A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vAlign w:val="center"/>
          </w:tcPr>
          <w:p w14:paraId="2D1C9EB5">
            <w:pPr>
              <w:ind w:firstLine="560"/>
            </w:pPr>
            <w:r>
              <w:rPr>
                <w:rFonts w:hint="eastAsia"/>
              </w:rPr>
              <w:t>（四）银行存款管理</w:t>
            </w:r>
          </w:p>
        </w:tc>
      </w:tr>
      <w:tr w14:paraId="79339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vAlign w:val="center"/>
          </w:tcPr>
          <w:p w14:paraId="6E09A49B">
            <w:pPr>
              <w:ind w:firstLine="560"/>
            </w:pPr>
            <w:r>
              <w:rPr>
                <w:rFonts w:hint="eastAsia"/>
              </w:rPr>
              <w:t>一、公司除了在本制度规定的范围内直接使用现金结算外，其它收付业务，都必须通过银行办理结算。</w:t>
            </w:r>
          </w:p>
          <w:p w14:paraId="16DB1FF0">
            <w:pPr>
              <w:ind w:firstLine="560"/>
            </w:pPr>
            <w:r>
              <w:rPr>
                <w:rFonts w:hint="eastAsia"/>
              </w:rPr>
              <w:t>二、公司加强银行账户的管理，严格按照国家的规定开设和使用银行账户。</w:t>
            </w:r>
          </w:p>
          <w:p w14:paraId="391E4AF5">
            <w:pPr>
              <w:ind w:firstLine="560"/>
            </w:pPr>
            <w:r>
              <w:rPr>
                <w:rFonts w:hint="eastAsia"/>
              </w:rPr>
              <w:t>（一）公司银行账户由财务部根据需要提出，报总经理复核，经法人代表批准后，方可开设和使用。</w:t>
            </w:r>
          </w:p>
          <w:p w14:paraId="72EF33D6">
            <w:pPr>
              <w:ind w:firstLine="560"/>
            </w:pPr>
            <w:r>
              <w:rPr>
                <w:rFonts w:hint="eastAsia"/>
              </w:rPr>
              <w:t>（二）公司只开设一个基本户，不得在同一银行的不同分支机构开设银行账户。</w:t>
            </w:r>
          </w:p>
          <w:p w14:paraId="297D1FCA">
            <w:pPr>
              <w:ind w:firstLine="560"/>
            </w:pPr>
            <w:r>
              <w:rPr>
                <w:rFonts w:hint="eastAsia"/>
              </w:rPr>
              <w:t>（三）公司银行账户只供公司经营业务收支结算使用，严禁出借账户供外单位或个人使用，严禁为外单位或个人代收代支、转账套现。</w:t>
            </w:r>
          </w:p>
          <w:p w14:paraId="133C8256">
            <w:pPr>
              <w:ind w:firstLine="560"/>
            </w:pPr>
            <w:r>
              <w:rPr>
                <w:rFonts w:hint="eastAsia"/>
              </w:rPr>
              <w:t>三、银行账户的账号必须保密，非因业务需要不准外泄。</w:t>
            </w:r>
          </w:p>
          <w:p w14:paraId="71AF9973">
            <w:pPr>
              <w:ind w:firstLine="560"/>
            </w:pPr>
            <w:r>
              <w:rPr>
                <w:rFonts w:hint="eastAsia"/>
              </w:rPr>
              <w:t>四、公司财务专用章和个人章由会计和出纳分别保管，不准１人统一保管使用。印鉴保管人临时出差时由其委托他人代管。按规定需要有关负责人签字或盖章的经济业务，必须严格履行签字或盖章手续。</w:t>
            </w:r>
          </w:p>
          <w:p w14:paraId="0F5BBA05">
            <w:pPr>
              <w:ind w:firstLine="560"/>
            </w:pPr>
            <w:r>
              <w:rPr>
                <w:rFonts w:hint="eastAsia"/>
              </w:rPr>
              <w:t>五、对外支付的大额款项，必须按照公司规定的付款程序，经各级负责人逐级审核同意后，方可办理。</w:t>
            </w:r>
          </w:p>
          <w:p w14:paraId="5BD6AA56">
            <w:pPr>
              <w:ind w:firstLine="560"/>
            </w:pPr>
            <w:r>
              <w:rPr>
                <w:rFonts w:hint="eastAsia"/>
              </w:rPr>
              <w:t>六、出纳人员应该逐笔序时登记银行存款日记账，每日终了结出余额。定期核对银行账户，每月至少核对一次，编制银行存款余额调节表，使银行存款账面余额与银行对账单调节相符。如调节不符，应查明原因，并报财务部经理处理。</w:t>
            </w:r>
          </w:p>
          <w:p w14:paraId="3ACD417A">
            <w:pPr>
              <w:ind w:firstLine="560"/>
            </w:pPr>
            <w:r>
              <w:rPr>
                <w:rFonts w:hint="eastAsia"/>
              </w:rPr>
              <w:t>七、银行存款发生收支业务时，对各项原始凭证，如发票、合同、协议和其他结算凭证等，必须由经办人签字和有关负责人审核批准，财会人员复核填制收付款凭证，财务部经理审核同意后，方可进行收付结算。</w:t>
            </w:r>
          </w:p>
          <w:p w14:paraId="1BB5B659">
            <w:pPr>
              <w:ind w:firstLine="560"/>
            </w:pPr>
            <w:r>
              <w:rPr>
                <w:rFonts w:hint="eastAsia"/>
              </w:rPr>
              <w:t>八、建立健全支票领用登记制度。财务部必须设置支票领用登记簿，登记支票领用的日期、领用人、用途、金额、限额、批准人、签发人等事项。</w:t>
            </w:r>
          </w:p>
          <w:p w14:paraId="0C4107EE">
            <w:pPr>
              <w:ind w:firstLine="560"/>
            </w:pPr>
            <w:r>
              <w:rPr>
                <w:rFonts w:hint="eastAsia"/>
              </w:rPr>
              <w:t>九、对于确实无法填写支票金额的，在签发支票时，除加盖银行预留印鉴外，必须注明日期、用途和以大写金额书写的限额，以防止超限额使用或银行账户出现透支。同时还必须在签发支票时填写收款单位，个别确实无法填写收款单位的小额支票除外。</w:t>
            </w:r>
          </w:p>
          <w:p w14:paraId="3841A1F7">
            <w:pPr>
              <w:ind w:firstLine="560"/>
            </w:pPr>
            <w:r>
              <w:rPr>
                <w:rFonts w:hint="eastAsia"/>
              </w:rPr>
              <w:t>十、支票领用后，应在5天之内报销，以便财务人员及时核对银行存款。支票如在5天之内没有使用，应及时将未使用支票交回财务部。</w:t>
            </w:r>
          </w:p>
          <w:p w14:paraId="13F03055">
            <w:pPr>
              <w:ind w:firstLine="560"/>
            </w:pPr>
            <w:r>
              <w:rPr>
                <w:rFonts w:hint="eastAsia"/>
              </w:rPr>
              <w:t>十一、公司应当严格遵守银行结算纪律，不准签发没有资金保证的票据或远期支票，不准签发、取得和转让没有真实交易和债权债务的票据。</w:t>
            </w:r>
          </w:p>
        </w:tc>
      </w:tr>
      <w:tr w14:paraId="1F139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vAlign w:val="center"/>
          </w:tcPr>
          <w:p w14:paraId="5A4578F4">
            <w:pPr>
              <w:ind w:firstLine="560"/>
            </w:pPr>
            <w:r>
              <w:rPr>
                <w:rFonts w:hint="eastAsia"/>
              </w:rPr>
              <w:t>（五）资金报告</w:t>
            </w:r>
          </w:p>
        </w:tc>
      </w:tr>
      <w:tr w14:paraId="1E45A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shd w:val="clear" w:color="auto" w:fill="auto"/>
            <w:vAlign w:val="center"/>
          </w:tcPr>
          <w:p w14:paraId="2D1DC4F5">
            <w:pPr>
              <w:ind w:firstLine="560"/>
            </w:pPr>
            <w:r>
              <w:rPr>
                <w:rFonts w:hint="eastAsia"/>
              </w:rPr>
              <w:t>一、公司财务部向公司总经理及各副总经理每天上报资金流量日报表。</w:t>
            </w:r>
          </w:p>
          <w:p w14:paraId="3D108203">
            <w:pPr>
              <w:ind w:firstLine="560"/>
            </w:pPr>
            <w:r>
              <w:rPr>
                <w:rFonts w:hint="eastAsia"/>
              </w:rPr>
              <w:t>（一）资金流量日报表，分现金和不同银行账户报告前日余额、本日收入、本日支出、本日余额等资料。</w:t>
            </w:r>
          </w:p>
          <w:p w14:paraId="2FE5900C">
            <w:pPr>
              <w:ind w:firstLine="560"/>
            </w:pPr>
            <w:r>
              <w:rPr>
                <w:rFonts w:hint="eastAsia"/>
              </w:rPr>
              <w:t>（二）银行存款支出日报表，分部门报告不同银行账号的前日累计未报销余额、本日新开额、本日报销额和本日累计未报销额，对于累计五个工作日没有报销的已开支票，要注明原因。</w:t>
            </w:r>
          </w:p>
          <w:p w14:paraId="09DFAE09">
            <w:pPr>
              <w:ind w:firstLine="560"/>
            </w:pPr>
            <w:r>
              <w:rPr>
                <w:rFonts w:hint="eastAsia"/>
              </w:rPr>
              <w:t>（三）大额收支日报表，按部门，报告银行账户、对方单位名称、收付款金额、收付款原因。</w:t>
            </w:r>
          </w:p>
          <w:p w14:paraId="06C73D17">
            <w:pPr>
              <w:ind w:firstLine="560"/>
            </w:pPr>
            <w:r>
              <w:rPr>
                <w:rFonts w:hint="eastAsia"/>
              </w:rPr>
              <w:t>二、公司财务部向公司总经理及各副总经理每月上报费用开支表。</w:t>
            </w:r>
          </w:p>
          <w:p w14:paraId="06884C83">
            <w:pPr>
              <w:ind w:firstLine="560"/>
            </w:pPr>
            <w:r>
              <w:rPr>
                <w:rFonts w:hint="eastAsia"/>
              </w:rPr>
              <w:t>（一）费用开支月报表，分部门、按费用项目，报告费用开支的金额，并注明各部门和各费用项目的本月合计、本年合计，与月度资金预算差异超过20%的，要注明并说明原因。</w:t>
            </w:r>
          </w:p>
          <w:p w14:paraId="5DE16CFE">
            <w:pPr>
              <w:ind w:firstLine="560"/>
            </w:pPr>
            <w:r>
              <w:rPr>
                <w:rFonts w:hint="eastAsia"/>
              </w:rPr>
              <w:t>（二）基建费用月报表，按不同项目，分费用类别，上报月初累计、本月发生和月末累计。</w:t>
            </w:r>
          </w:p>
          <w:p w14:paraId="18F0A567">
            <w:pPr>
              <w:ind w:firstLine="560"/>
            </w:pPr>
            <w:r>
              <w:rPr>
                <w:rFonts w:hint="eastAsia"/>
              </w:rPr>
              <w:t>（三）资金预算执行情况分析表，按部门分析资金预算的执行情况，超出20%的差异，需要说明原因。</w:t>
            </w:r>
          </w:p>
          <w:p w14:paraId="2D0A0053">
            <w:pPr>
              <w:ind w:firstLine="560"/>
            </w:pPr>
            <w:r>
              <w:rPr>
                <w:rFonts w:hint="eastAsia"/>
              </w:rPr>
              <w:t>（四）资金审批流程</w:t>
            </w:r>
          </w:p>
          <w:p w14:paraId="29289300">
            <w:pPr>
              <w:ind w:firstLine="560"/>
            </w:pPr>
            <w:r>
              <w:rPr>
                <w:rFonts w:hint="eastAsia"/>
              </w:rPr>
              <w:t>具体流程如下:</w:t>
            </w:r>
          </w:p>
          <w:p w14:paraId="388B59F4">
            <w:pPr>
              <w:ind w:firstLine="560"/>
            </w:pPr>
            <w:r>
              <w:rPr>
                <w:rFonts w:hint="eastAsia"/>
              </w:rPr>
              <w:t>1、购办公用品、付电话费、车辆耗费、维修维护</w:t>
            </w:r>
          </w:p>
          <w:p w14:paraId="595ACFC0">
            <w:pPr>
              <w:ind w:firstLine="560"/>
            </w:pPr>
            <w:r>
              <w:rPr>
                <w:rFonts w:hint="eastAsia"/>
              </w:rPr>
              <w:t>由经办人到财务办理用款申请→财务部负责人根据经办人申请的内容与预算核对后填制审批单→经办人找部门负责人及单位负责人签字→会计做账务处理→财务部负责人审核凭证→出纳付款→程序结束</w:t>
            </w:r>
          </w:p>
          <w:p w14:paraId="4EFC52B4">
            <w:pPr>
              <w:ind w:firstLine="560"/>
            </w:pPr>
            <w:r>
              <w:rPr>
                <w:rFonts w:hint="eastAsia"/>
              </w:rPr>
              <w:t>2、购原材料</w:t>
            </w:r>
          </w:p>
          <w:p w14:paraId="070A652B">
            <w:pPr>
              <w:ind w:firstLine="560"/>
            </w:pPr>
            <w:r>
              <w:rPr>
                <w:rFonts w:hint="eastAsia"/>
              </w:rPr>
              <w:t>由经办人携带合同或协议到财务办理汇款申请→财务部负责人根据经办人提供合同内容及申请与预算核对后填制审批单→经办人找部门负责人及单位负责人签字→会计做账务处理→财务部负责人审核凭证→出纳付款→程序结束</w:t>
            </w:r>
          </w:p>
          <w:p w14:paraId="333BD82B">
            <w:pPr>
              <w:ind w:firstLine="560"/>
            </w:pPr>
            <w:r>
              <w:rPr>
                <w:rFonts w:hint="eastAsia"/>
              </w:rPr>
              <w:t>3、购固定资产、低值易耗品</w:t>
            </w:r>
          </w:p>
          <w:p w14:paraId="599CB8B0">
            <w:pPr>
              <w:ind w:firstLine="560"/>
            </w:pPr>
            <w:r>
              <w:rPr>
                <w:rFonts w:hint="eastAsia"/>
              </w:rPr>
              <w:t>由经办人携带经领导批准的购买“资产报告”到财务办理用款申请→财务部负责人根据经办人申请的内容与预算核对后填制审批单→经办人找部门负责人及单位负责人签字→会计做账务处理→财务部负责人审核凭证→出纳付款→程序结束</w:t>
            </w:r>
          </w:p>
          <w:p w14:paraId="06D6DD43">
            <w:pPr>
              <w:ind w:firstLine="560"/>
            </w:pPr>
            <w:r>
              <w:rPr>
                <w:rFonts w:hint="eastAsia"/>
              </w:rPr>
              <w:t>4、工资、保险</w:t>
            </w:r>
          </w:p>
          <w:p w14:paraId="429BFB81">
            <w:pPr>
              <w:ind w:firstLine="560"/>
            </w:pPr>
            <w:r>
              <w:rPr>
                <w:rFonts w:hint="eastAsia"/>
              </w:rPr>
              <w:t>由经办人携带经领导签字同意的工资表、保险表到财务办理用款申请→财务部负责人根据经办人提供的工资表、保险表中金额与预算核对后填制审批单→经办人找部门负责人及单位负责人签字会计做账务处理→财务部负责人审核凭证出纳取款发工资及付保险款→程序结束</w:t>
            </w:r>
          </w:p>
          <w:p w14:paraId="7B2CF667">
            <w:pPr>
              <w:ind w:firstLine="560"/>
            </w:pPr>
            <w:r>
              <w:rPr>
                <w:rFonts w:hint="eastAsia"/>
              </w:rPr>
              <w:t>5、差旅费</w:t>
            </w:r>
          </w:p>
          <w:p w14:paraId="4C825750">
            <w:pPr>
              <w:ind w:firstLine="560"/>
            </w:pPr>
            <w:r>
              <w:rPr>
                <w:rFonts w:hint="eastAsia"/>
              </w:rPr>
              <w:t>审批程序</w:t>
            </w:r>
          </w:p>
          <w:p w14:paraId="0C6D922B">
            <w:pPr>
              <w:ind w:firstLine="560"/>
            </w:pPr>
            <w:r>
              <w:rPr>
                <w:rFonts w:hint="eastAsia"/>
              </w:rPr>
              <w:t>因工作需要出差,无论是否借款,出差前均应到财务填制出差申请即:出差证→由经办人携带申请即:出差证找各级领导签字批准返回财务。</w:t>
            </w:r>
          </w:p>
          <w:p w14:paraId="3334B37C">
            <w:pPr>
              <w:ind w:firstLine="560"/>
            </w:pPr>
            <w:r>
              <w:rPr>
                <w:rFonts w:hint="eastAsia"/>
              </w:rPr>
              <w:t>差旅费报销程序</w:t>
            </w:r>
          </w:p>
          <w:p w14:paraId="108D6BB0">
            <w:pPr>
              <w:ind w:firstLine="560"/>
            </w:pPr>
            <w:r>
              <w:rPr>
                <w:rFonts w:hint="eastAsia"/>
              </w:rPr>
              <w:t>经批准出差办事人员到财务填写“差旅费报销单”→财务根据出差申请即:出差证和差旅费报销单的内容审核票据并与预算核对→出差办事人员找部门负责人及单位负责人签字会计做账务处理→财务部负责人审核凭证→出纳员根据审核后的凭证办理付款或还款业务→程序结束</w:t>
            </w:r>
          </w:p>
          <w:p w14:paraId="1457DAF8">
            <w:pPr>
              <w:ind w:firstLine="560"/>
            </w:pPr>
            <w:r>
              <w:rPr>
                <w:rFonts w:hint="eastAsia"/>
              </w:rPr>
              <w:t>6、业务招待</w:t>
            </w:r>
          </w:p>
          <w:p w14:paraId="2A317389">
            <w:pPr>
              <w:ind w:firstLine="560"/>
            </w:pPr>
            <w:r>
              <w:rPr>
                <w:rFonts w:hint="eastAsia"/>
              </w:rPr>
              <w:t>经办人到财务填写“业务招待报销单”→财务根据业务招待报销单的内容审核票据并与预算核对→经办人员找企管部负责人签字确认→部门负责人签字→财务审核签字→单位负责人签字→会计做账务处理→财务部负责人审核凭证→出纳员根据审核后的凭证办理付款或还款业务→程序结束</w:t>
            </w:r>
          </w:p>
        </w:tc>
      </w:tr>
    </w:tbl>
    <w:p w14:paraId="617651AF">
      <w:pPr>
        <w:pStyle w:val="5"/>
        <w:spacing w:before="31" w:after="31"/>
        <w:ind w:firstLine="562"/>
      </w:pPr>
      <w:bookmarkStart w:id="10747" w:name="_Toc9720"/>
      <w:bookmarkStart w:id="10748" w:name="_Toc848"/>
      <w:bookmarkStart w:id="10749" w:name="_Toc6863"/>
      <w:bookmarkStart w:id="10750" w:name="_Toc1689"/>
      <w:bookmarkStart w:id="10751" w:name="_Toc8465"/>
      <w:bookmarkStart w:id="10752" w:name="_Toc17951"/>
      <w:bookmarkStart w:id="10753" w:name="_Toc7929"/>
      <w:bookmarkStart w:id="10754" w:name="_Toc31234"/>
      <w:bookmarkStart w:id="10755" w:name="_Toc1308"/>
      <w:bookmarkStart w:id="10756" w:name="_Toc13905"/>
      <w:bookmarkStart w:id="10757" w:name="_Toc31797"/>
      <w:bookmarkStart w:id="10758" w:name="_Toc24914"/>
      <w:bookmarkStart w:id="10759" w:name="_Toc13196"/>
      <w:bookmarkStart w:id="10760" w:name="_Toc1380"/>
      <w:bookmarkStart w:id="10761" w:name="_Toc29778"/>
      <w:bookmarkStart w:id="10762" w:name="_Toc5600"/>
      <w:bookmarkStart w:id="10763" w:name="_Toc23753"/>
      <w:bookmarkStart w:id="10764" w:name="_Toc1004"/>
      <w:bookmarkStart w:id="10765" w:name="_Toc3709"/>
      <w:bookmarkStart w:id="10766" w:name="_Toc6689"/>
      <w:bookmarkStart w:id="10767" w:name="_Toc17533"/>
      <w:bookmarkStart w:id="10768" w:name="_Toc23722"/>
      <w:bookmarkStart w:id="10769" w:name="_Toc27995"/>
      <w:bookmarkStart w:id="10770" w:name="_Toc25751"/>
      <w:bookmarkStart w:id="10771" w:name="_Toc28451"/>
      <w:bookmarkStart w:id="10772" w:name="_Toc10813"/>
      <w:bookmarkStart w:id="10773" w:name="_Toc22943"/>
      <w:bookmarkStart w:id="10774" w:name="_Toc7727"/>
      <w:bookmarkStart w:id="10775" w:name="_Toc7840"/>
      <w:bookmarkStart w:id="10776" w:name="_Toc8646"/>
      <w:bookmarkStart w:id="10777" w:name="_Toc26504"/>
      <w:bookmarkStart w:id="10778" w:name="_Toc6738"/>
      <w:r>
        <w:rPr>
          <w:rFonts w:hint="eastAsia"/>
        </w:rPr>
        <w:t>（二）</w:t>
      </w:r>
      <w:r>
        <w:t>安全生产专项资金保证措施</w:t>
      </w:r>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p>
    <w:p w14:paraId="2AAAA7DF">
      <w:pPr>
        <w:ind w:firstLine="560"/>
      </w:pPr>
      <w:r>
        <w:t>为加强项目部安全生产管理，保证安全资金的有效投入，改善劳动条件，防止事故的发生，保障职工生命和身体健康和财产安全，按照国家有关法律法规，制定本管理制度。</w:t>
      </w:r>
    </w:p>
    <w:p w14:paraId="1633C398">
      <w:pPr>
        <w:ind w:firstLine="560"/>
      </w:pPr>
      <w:r>
        <w:t>1、实现成本目标基本措施</w:t>
      </w:r>
    </w:p>
    <w:p w14:paraId="636F1FF4">
      <w:pPr>
        <w:ind w:firstLine="560"/>
      </w:pPr>
      <w:r>
        <w:t>通过项目部建立起来的材料供应网络，采购货真价实的安全劳保用品及防护用品。</w:t>
      </w:r>
    </w:p>
    <w:p w14:paraId="3C84F613">
      <w:pPr>
        <w:ind w:firstLine="560"/>
      </w:pPr>
      <w:r>
        <w:t>严格按“产品采购程序”认真对材料供应商进行评定，去劣选优。设立安全资金专用帐户，保证工程款专款专用，决不将本工程款挪为他</w:t>
      </w:r>
      <w:r>
        <w:rPr>
          <w:rFonts w:hint="eastAsia"/>
        </w:rPr>
        <w:t>用。</w:t>
      </w:r>
    </w:p>
    <w:p w14:paraId="0D1DDD36">
      <w:pPr>
        <w:ind w:firstLine="560"/>
      </w:pPr>
      <w:r>
        <w:t>2、成本核算</w:t>
      </w:r>
    </w:p>
    <w:p w14:paraId="60642A22">
      <w:pPr>
        <w:ind w:firstLine="560"/>
      </w:pPr>
      <w:r>
        <w:t>（1）我项目经理部根据国家财务制度和会计制度的有关规定，明确项目成本核算工作的原则和要求，建立相关的核算工作制度，设置必要的核算台帐，正确记录原始数据资料。</w:t>
      </w:r>
    </w:p>
    <w:p w14:paraId="2B83DA66">
      <w:pPr>
        <w:ind w:firstLine="560"/>
      </w:pPr>
      <w:r>
        <w:t>（2）施工过程项目成本的核算，以每月为一核算期，在月末进行。核算对象宜按单位工程划分，与施工项目管理责任目标成本的界定范围相一致。施工产值及实际成本的归集，宜参照以下方法进行：</w:t>
      </w:r>
    </w:p>
    <w:p w14:paraId="475EB7CB">
      <w:pPr>
        <w:ind w:firstLine="560"/>
      </w:pPr>
      <w:r>
        <w:t>(a)材料费根据当月项目材料消耗和实际价格，计算当期消耗，计入工程成本；周转材料实行内部租赁制，按照当月租赁时间、数量、单价，计入工程成本。</w:t>
      </w:r>
    </w:p>
    <w:p w14:paraId="3C104C6A">
      <w:pPr>
        <w:ind w:firstLine="560"/>
      </w:pPr>
      <w:r>
        <w:t>(b)其他直接费根据有关核算资料进行帐务处理，计入工程成本。</w:t>
      </w:r>
    </w:p>
    <w:p w14:paraId="2F0AF790">
      <w:pPr>
        <w:ind w:firstLine="560"/>
      </w:pPr>
      <w:r>
        <w:t>(c)间接成本根据现场所发生的间接成本项目的有关资料，进行帐务处理，计入工程成本。</w:t>
      </w:r>
    </w:p>
    <w:p w14:paraId="3A7F9D91">
      <w:pPr>
        <w:ind w:firstLine="560"/>
      </w:pPr>
      <w:r>
        <w:t>（3）项目成本核算采取会计核算、统计核算和专业核算相结合的方法，做好以下几个方面的比较分析：</w:t>
      </w:r>
    </w:p>
    <w:p w14:paraId="4B8C946D">
      <w:pPr>
        <w:ind w:firstLine="560"/>
      </w:pPr>
      <w:r>
        <w:t>(a)实际成本与责任目标成本的比较分析，以反映本期施工结果对实现相关责任目标成本的贡献或差距。</w:t>
      </w:r>
    </w:p>
    <w:p w14:paraId="38DF2315">
      <w:pPr>
        <w:ind w:firstLine="560"/>
      </w:pPr>
      <w:r>
        <w:t>(b)实际成本与计划目标成本的比较，以反映本期施工结果的成本节超状况。辅以统计核算和专业核算资料，写明成本节超环节和原因。</w:t>
      </w:r>
    </w:p>
    <w:p w14:paraId="254997E6">
      <w:pPr>
        <w:ind w:firstLine="560"/>
      </w:pPr>
      <w:r>
        <w:t>（4）项目部在跟踪核算分析的基础上，编制月度项目成本报告，递交给企业主管部门检查、考核和指导。</w:t>
      </w:r>
    </w:p>
    <w:p w14:paraId="74291CE0">
      <w:pPr>
        <w:ind w:firstLine="560"/>
      </w:pPr>
      <w:r>
        <w:t>（5）项目部在每月跟踪核算分析的同时，根据分部分项成本的累计偏差和相应的计划目标成本余额，预测后期施工成本的变化趋势和状况；结合偏差原因分析总结经验，寻求改善成本状况的措施，通过下月施工计划的制订和付诸实施，促使施工成本在波动中总体上处于受控状况。</w:t>
      </w:r>
    </w:p>
    <w:p w14:paraId="6601D3D7">
      <w:pPr>
        <w:ind w:firstLine="560"/>
      </w:pPr>
      <w:r>
        <w:t>3、材料采购及使用上的节约措施</w:t>
      </w:r>
    </w:p>
    <w:p w14:paraId="59A46EAD">
      <w:pPr>
        <w:ind w:firstLine="560"/>
      </w:pPr>
      <w:r>
        <w:t>（1）把好材料采购、领用关，控制材料成本。</w:t>
      </w:r>
    </w:p>
    <w:p w14:paraId="02CBB37A">
      <w:pPr>
        <w:ind w:firstLine="560"/>
      </w:pPr>
      <w:r>
        <w:t>（2）严格控制材料的领用程序，仓库保管员按工料单发料，不见单不发料。成本核算人员（预结算员和财会）要按预算书编制材料采购计划、按行象进度计算材料理论用量、与实际进场材料进行及时比较，从中找出差值，并对此做出合理分析。对将有造计划用量可能的情况及时通报项目部，共同分析，共同做好材料成本控制工作。</w:t>
      </w:r>
    </w:p>
    <w:p w14:paraId="79C73CDF">
      <w:pPr>
        <w:ind w:firstLine="560"/>
      </w:pPr>
      <w:r>
        <w:t>4、组织保证措施</w:t>
      </w:r>
    </w:p>
    <w:p w14:paraId="2478EA31">
      <w:pPr>
        <w:ind w:firstLine="560"/>
      </w:pPr>
      <w:r>
        <w:t>项目部内设一名技术员，负责图纸会审；资料收集和整理；工料单的核算；材料采购计划等工作。</w:t>
      </w:r>
    </w:p>
    <w:p w14:paraId="7C0AA04D">
      <w:pPr>
        <w:ind w:firstLine="560"/>
      </w:pPr>
      <w:r>
        <w:t>项目部两名项目副经理为施工负责人，负责施工组织设计的实施；劳动力的安排；质量、安全和进度的控制。下设施工员、质检员、安全员。</w:t>
      </w:r>
    </w:p>
    <w:p w14:paraId="5F515294">
      <w:pPr>
        <w:ind w:firstLine="560"/>
      </w:pPr>
      <w:r>
        <w:t>项目部设财务负责人，负责本工程安全生产专项资金的专用、材料的采购、职工生活保障。</w:t>
      </w:r>
    </w:p>
    <w:p w14:paraId="1F897B49">
      <w:pPr>
        <w:ind w:firstLine="560"/>
      </w:pPr>
      <w:r>
        <w:t>项目部操作过程为：施工员下达施工任务书，统计员计算定额工和材料用量单（即工料单），由班组实施，施工、质检、安全员进行验收，并在工料单上签认，班组长上缴工料单至财务。在此过程中着重抓住各工种间上下工序的验收，坚持做到上道工序不合格下道工序不施工，做到一次性成优，减少返工，从而达到缩短工期的目的；质检员要做好技术工人的技术档案；资料员要及时做好相关资料；如发生质量、进度与计划不符要及时总结，找出原因，及时解决。但当进度、质量与安全相矛盾时一定要坚持安全第一的原则。</w:t>
      </w:r>
    </w:p>
    <w:p w14:paraId="3882CF96">
      <w:pPr>
        <w:ind w:firstLine="560"/>
      </w:pPr>
      <w:r>
        <w:t>5、劳资物品保证措施采购足够的劳动防护用品（安全帽、安全带等），确保职工的安全防护；采购足够的灭火装置（干粉灭火器、黄砂等），确保工程出现危情及时扑救；采购足够的安全防护设备，确保安全防护落实到位。</w:t>
      </w:r>
    </w:p>
    <w:p w14:paraId="05B4AC42">
      <w:pPr>
        <w:ind w:firstLine="560"/>
      </w:pPr>
      <w:r>
        <w:t>6、安全生产费用的提取安全生产费用严格按照规定标准提取，在成本中列支，专门用于完善和改进企业安全生产条件的资金。</w:t>
      </w:r>
    </w:p>
    <w:p w14:paraId="57E37930">
      <w:pPr>
        <w:ind w:firstLine="560"/>
      </w:pPr>
      <w:r>
        <w:t>7、安全生产费用的使用范围</w:t>
      </w:r>
    </w:p>
    <w:p w14:paraId="5548D008">
      <w:pPr>
        <w:ind w:firstLine="560"/>
      </w:pPr>
      <w:r>
        <w:t>7.1完善、改造和维护安全防护设备、设施支出。</w:t>
      </w:r>
    </w:p>
    <w:p w14:paraId="125A54F0">
      <w:pPr>
        <w:ind w:firstLine="560"/>
      </w:pPr>
      <w:r>
        <w:t>7.2配备必要的应急救援器材、设备和现场作业人员安全防护物品支出。</w:t>
      </w:r>
    </w:p>
    <w:p w14:paraId="19587F1A">
      <w:pPr>
        <w:ind w:firstLine="560"/>
      </w:pPr>
      <w:r>
        <w:t>7.3安全生产检查与评价支出。</w:t>
      </w:r>
    </w:p>
    <w:p w14:paraId="6E6DC68A">
      <w:pPr>
        <w:ind w:firstLine="560"/>
      </w:pPr>
      <w:r>
        <w:t>7.4重大危险源、重大事故隐患的评估、整改、监控支出。</w:t>
      </w:r>
    </w:p>
    <w:p w14:paraId="662A8673">
      <w:pPr>
        <w:ind w:firstLine="560"/>
      </w:pPr>
      <w:r>
        <w:t>7.5安全技能培训及进行应急救援演练支出。</w:t>
      </w:r>
    </w:p>
    <w:p w14:paraId="07565DE3">
      <w:pPr>
        <w:ind w:firstLine="560"/>
      </w:pPr>
      <w:r>
        <w:t>7.6安全设施、特种设备的检测、校验。</w:t>
      </w:r>
    </w:p>
    <w:p w14:paraId="0A4A6861">
      <w:pPr>
        <w:ind w:firstLine="560"/>
      </w:pPr>
      <w:r>
        <w:t>7.7其他与安全生产直接相关的支出</w:t>
      </w:r>
      <w:r>
        <w:rPr>
          <w:rFonts w:hint="eastAsia"/>
        </w:rPr>
        <w:t>。</w:t>
      </w:r>
    </w:p>
    <w:p w14:paraId="4DB81EA2">
      <w:pPr>
        <w:ind w:firstLine="560"/>
      </w:pPr>
      <w:r>
        <w:t>8、安全生产费用的使用</w:t>
      </w:r>
    </w:p>
    <w:p w14:paraId="52335A07">
      <w:pPr>
        <w:ind w:firstLine="560"/>
      </w:pPr>
      <w:r>
        <w:t>8.1财务部每月月初向安质部处报送安全费用的提取数额，安全总监负责对安全费用的使用进行审批，凡包括上述范围内的所有支出均可从安全生产费用中列支。使用安全费用时必须经安全总监审批签字后，方可交财务部办理使用手续。</w:t>
      </w:r>
    </w:p>
    <w:p w14:paraId="6C6E064D">
      <w:pPr>
        <w:ind w:firstLine="560"/>
      </w:pPr>
      <w:r>
        <w:t>8.2安质部负责对安全费用的提取和使用建立台帐，并同时负责向上级部门报送安全费用统计报表及其他要求报送的资料。</w:t>
      </w:r>
    </w:p>
    <w:p w14:paraId="7306E43C">
      <w:pPr>
        <w:pStyle w:val="5"/>
        <w:spacing w:before="31" w:after="31"/>
        <w:ind w:firstLine="562"/>
      </w:pPr>
      <w:bookmarkStart w:id="10779" w:name="_Toc4158"/>
      <w:bookmarkStart w:id="10780" w:name="_Toc26699"/>
      <w:bookmarkStart w:id="10781" w:name="_Toc23323"/>
      <w:bookmarkStart w:id="10782" w:name="_Toc26000"/>
      <w:bookmarkStart w:id="10783" w:name="_Toc20583"/>
      <w:bookmarkStart w:id="10784" w:name="_Toc10070"/>
      <w:bookmarkStart w:id="10785" w:name="_Toc2563"/>
      <w:bookmarkStart w:id="10786" w:name="_Toc5924"/>
      <w:bookmarkStart w:id="10787" w:name="_Toc26864"/>
      <w:bookmarkStart w:id="10788" w:name="_Toc14953"/>
      <w:bookmarkStart w:id="10789" w:name="_Toc29458"/>
      <w:bookmarkStart w:id="10790" w:name="_Toc23715"/>
      <w:bookmarkStart w:id="10791" w:name="_Toc26642"/>
      <w:bookmarkStart w:id="10792" w:name="_Toc18071"/>
      <w:bookmarkStart w:id="10793" w:name="_Toc4952"/>
      <w:bookmarkStart w:id="10794" w:name="_Toc6909"/>
      <w:bookmarkStart w:id="10795" w:name="_Toc31370"/>
      <w:bookmarkStart w:id="10796" w:name="_Toc30363"/>
      <w:bookmarkStart w:id="10797" w:name="_Toc9056"/>
      <w:bookmarkStart w:id="10798" w:name="_Toc2493"/>
      <w:bookmarkStart w:id="10799" w:name="_Toc20690"/>
      <w:bookmarkStart w:id="10800" w:name="_Toc14359"/>
      <w:bookmarkStart w:id="10801" w:name="_Toc27282"/>
      <w:bookmarkStart w:id="10802" w:name="_Toc29149"/>
      <w:bookmarkStart w:id="10803" w:name="_Toc13489"/>
      <w:bookmarkStart w:id="10804" w:name="_Toc7707"/>
      <w:bookmarkStart w:id="10805" w:name="_Toc5269"/>
      <w:bookmarkStart w:id="10806" w:name="_Toc27209"/>
      <w:bookmarkStart w:id="10807" w:name="_Toc27818"/>
      <w:bookmarkStart w:id="10808" w:name="_Toc3852"/>
      <w:bookmarkStart w:id="10809" w:name="_Toc17782"/>
      <w:r>
        <w:rPr>
          <w:rFonts w:hint="eastAsia"/>
        </w:rPr>
        <w:t>（三）</w:t>
      </w:r>
      <w:r>
        <w:t>文明施工资金保障制度</w:t>
      </w:r>
      <w:bookmarkEnd w:id="10779"/>
      <w:bookmarkEnd w:id="10780"/>
      <w:bookmarkEnd w:id="10781"/>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bookmarkEnd w:id="10809"/>
    </w:p>
    <w:p w14:paraId="3CF4A601">
      <w:pPr>
        <w:ind w:firstLine="560"/>
      </w:pPr>
      <w:r>
        <w:t>安全文明施工措施费,对于中标工程,中标合同中有相关单列约定的,项目部应严格按照相关约定执行,中标合同中安全生产措施费未进行约定的工程项目,安全生产措施费用按照当地地方政府参考费率标准采用差额定率累进计费方式计取;或者按照安全生产管理机构对施工现场安全生产管理的实际需要按计划计取。</w:t>
      </w:r>
    </w:p>
    <w:p w14:paraId="059372C8">
      <w:pPr>
        <w:ind w:firstLine="560"/>
      </w:pPr>
      <w:r>
        <w:t>(一)、公司对施工经营项目需具备安全生产条件所必须的资金投入,由施工经营项目的决策机构或主要负责人确保资金的及时到位,正确使用,并对由于安全生产所必需的资金投入不足导致的后果承担责任。</w:t>
      </w:r>
    </w:p>
    <w:p w14:paraId="5C20E1C3">
      <w:pPr>
        <w:ind w:firstLine="560"/>
      </w:pPr>
      <w:r>
        <w:t>(二)、公司安全生产专项资金的支出由公司安全管理部按计划报批,项目安全生产专项资金的支出由该项目安全生产科按计划报批。</w:t>
      </w:r>
    </w:p>
    <w:p w14:paraId="11E85F5D">
      <w:pPr>
        <w:ind w:firstLine="560"/>
      </w:pPr>
      <w:r>
        <w:t>(三)、对不按规定使用措施费或安全措施落实不到位的项目部,公司依照有关规章制度给予处分处罚。发生伤亡事故,危害职工身体健康的,应首先追究有关人员的责任。</w:t>
      </w:r>
    </w:p>
    <w:p w14:paraId="104A453F">
      <w:pPr>
        <w:ind w:firstLine="560"/>
      </w:pPr>
      <w:r>
        <w:t>(四)、公司对于安全生产工作成绩优异的项目部、班组、个人给予适当奖励,奖励资金不使用公司安全生产专项资金。</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727AD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781A2659">
            <w:pPr>
              <w:ind w:firstLine="560"/>
            </w:pPr>
            <w:r>
              <w:t>安全文明资金具体措施</w:t>
            </w:r>
          </w:p>
          <w:p w14:paraId="3893015F">
            <w:pPr>
              <w:ind w:firstLine="560"/>
            </w:pPr>
            <w:r>
              <w:t>为了进一步加强企业安全管理,确保企业对安全技术措施费使用的及时、到位,根据国家安全生产法并依据本公司《财务管理制度》和《资金运用制度》的规定,结合本公司实际,特制订安全生产资金保障制度如下:</w:t>
            </w:r>
          </w:p>
        </w:tc>
      </w:tr>
      <w:tr w14:paraId="598BD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5844F9A">
            <w:pPr>
              <w:ind w:firstLine="560"/>
            </w:pPr>
            <w:r>
              <w:t>一、公司设立安全生产专项资金专户,公司安全生产专项资金专户由公司安全生产领导小组管理。安全生产措施费专用于保障工程项目安全生产,实行专款专用,不得挪作他用;</w:t>
            </w:r>
          </w:p>
        </w:tc>
      </w:tr>
      <w:tr w14:paraId="4EDF3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8E4DAD7">
            <w:pPr>
              <w:ind w:firstLine="560"/>
            </w:pPr>
            <w:r>
              <w:rPr>
                <w:rFonts w:hint="eastAsia"/>
              </w:rPr>
              <w:t>二、安全生产措施费暂按工程造价的1.4%计取列入项目成本,统一由公司管理。安全生产施措施费的使用必须立项,原则上由公司具体掌握。工程项目开工初期,项目部必须按照轻、重、缓、急和实用的原则制定出安全生产措施、方案,以及措施费的支出计划,报所属承包部审核,再经公司综合管理部复审,送公司总经理审批后,由财务部安排资金支付,所列费用方可计入安全生产措施费。各种安全技术设备,由各承包部安排专业人员购买、验收、管理,用于改善施工作业环境和机械设备的安全状况等。安全生产措施费用根据劳动部、全国总工会发布《安全技术措施计划的项目总名称表》、《施工安全检查标准》(JGJ59-99)制订,其包括的范围如下:</w:t>
            </w:r>
          </w:p>
          <w:p w14:paraId="0A76C0D5">
            <w:pPr>
              <w:ind w:firstLine="560"/>
            </w:pPr>
            <w:r>
              <w:rPr>
                <w:rFonts w:hint="eastAsia"/>
              </w:rPr>
              <w:t>1.安全资料的编印、安全施工标志的购置及宣传栏的设置(包括报刊、宣传书籍、标语的购置)费用;</w:t>
            </w:r>
          </w:p>
          <w:p w14:paraId="5C6A0F14">
            <w:pPr>
              <w:ind w:firstLine="560"/>
            </w:pPr>
            <w:r>
              <w:rPr>
                <w:rFonts w:hint="eastAsia"/>
              </w:rPr>
              <w:t>2.安全培训及教育费用;</w:t>
            </w:r>
          </w:p>
          <w:p w14:paraId="72D88953">
            <w:pPr>
              <w:ind w:firstLine="560"/>
            </w:pPr>
            <w:r>
              <w:rPr>
                <w:rFonts w:hint="eastAsia"/>
              </w:rPr>
              <w:t>3.“三宝”、“四口”及临边防护的费用;</w:t>
            </w:r>
          </w:p>
          <w:p w14:paraId="4C581D62">
            <w:pPr>
              <w:ind w:firstLine="560"/>
            </w:pPr>
            <w:r>
              <w:rPr>
                <w:rFonts w:hint="eastAsia"/>
              </w:rPr>
              <w:t>4.施工安全用电的费用,包括:标准化电箱、电器保护装置、电源线路的敷设、外电防护措施等;</w:t>
            </w:r>
          </w:p>
          <w:p w14:paraId="1D56F4DD">
            <w:pPr>
              <w:ind w:firstLine="560"/>
            </w:pPr>
            <w:r>
              <w:rPr>
                <w:rFonts w:hint="eastAsia"/>
              </w:rPr>
              <w:t>5.设备及人员的安全防护等设施费用;</w:t>
            </w:r>
          </w:p>
          <w:p w14:paraId="3129E1FC">
            <w:pPr>
              <w:ind w:firstLine="560"/>
            </w:pPr>
            <w:r>
              <w:rPr>
                <w:rFonts w:hint="eastAsia"/>
              </w:rPr>
              <w:t>6.施工机具防护棚及其围栏的安全保护设施费用;</w:t>
            </w:r>
          </w:p>
          <w:p w14:paraId="0A088A1A">
            <w:pPr>
              <w:ind w:firstLine="560"/>
            </w:pPr>
            <w:r>
              <w:rPr>
                <w:rFonts w:hint="eastAsia"/>
              </w:rPr>
              <w:t>7.施工设备、器材及防护、警示设施费用;</w:t>
            </w:r>
          </w:p>
          <w:p w14:paraId="0E65B553">
            <w:pPr>
              <w:ind w:firstLine="560"/>
            </w:pPr>
            <w:r>
              <w:rPr>
                <w:rFonts w:hint="eastAsia"/>
              </w:rPr>
              <w:t>8.抢险应急措施;</w:t>
            </w:r>
          </w:p>
          <w:p w14:paraId="58E8AFE7">
            <w:pPr>
              <w:ind w:firstLine="560"/>
            </w:pPr>
            <w:r>
              <w:rPr>
                <w:rFonts w:hint="eastAsia"/>
              </w:rPr>
              <w:t>9.消防设施与消防器材的配置及保健急救措施费用;</w:t>
            </w:r>
          </w:p>
          <w:p w14:paraId="3A5B817D">
            <w:pPr>
              <w:ind w:firstLine="560"/>
            </w:pPr>
            <w:r>
              <w:rPr>
                <w:rFonts w:hint="eastAsia"/>
              </w:rPr>
              <w:t>10.安全网、安全帽、安全带的购置费用;</w:t>
            </w:r>
          </w:p>
          <w:p w14:paraId="75FDCD5E">
            <w:pPr>
              <w:ind w:firstLine="560"/>
            </w:pPr>
            <w:r>
              <w:rPr>
                <w:rFonts w:hint="eastAsia"/>
              </w:rPr>
              <w:t>11.按国家、施工所在省、市规定的其它安全生产措施所涉及的费用。</w:t>
            </w:r>
          </w:p>
          <w:p w14:paraId="08D6CC9C">
            <w:pPr>
              <w:ind w:firstLine="560"/>
            </w:pPr>
            <w:r>
              <w:rPr>
                <w:rFonts w:hint="eastAsia"/>
              </w:rPr>
              <w:t>12.上述费用中,1、2、7、8、10项由公司专项列支,其他由项目部列支并按季统计上报。</w:t>
            </w:r>
          </w:p>
        </w:tc>
      </w:tr>
      <w:tr w14:paraId="25FAD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A0FA394">
            <w:pPr>
              <w:ind w:firstLine="560"/>
            </w:pPr>
            <w:r>
              <w:t>三、安全文明施工措施费,对于中标工程,中标合同中有相关单列约定的,项目部应严格按照相关约定执行,中标合同中安全生产措施费未进行约定的工程项目,安全生产措施费用按照当地地方政府参考费率标准采用差额定率累进计费方式计取;</w:t>
            </w:r>
          </w:p>
        </w:tc>
      </w:tr>
      <w:tr w14:paraId="24F5E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3488878">
            <w:pPr>
              <w:ind w:firstLine="560"/>
            </w:pPr>
            <w:r>
              <w:t>四、公司对施工经营项目需具备安全生产条件所必须的资金投入,由施工经营项目的决策机构或主要负责人确保资金的及时到位,正确使用,并对由于安全生产所必需的资金投入不足导致的后果承担责任。</w:t>
            </w:r>
          </w:p>
        </w:tc>
      </w:tr>
      <w:tr w14:paraId="766F9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B0368D2">
            <w:pPr>
              <w:ind w:firstLine="560"/>
            </w:pPr>
            <w:r>
              <w:t>五、公司安全生产专项资金的支出由公司安全总监批准,项目安全生产专项资金的支出由该项目安全员批准。</w:t>
            </w:r>
          </w:p>
        </w:tc>
      </w:tr>
      <w:tr w14:paraId="1A365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3DAF41E">
            <w:pPr>
              <w:ind w:firstLine="560"/>
            </w:pPr>
            <w:r>
              <w:t>六、对不按规定使用措施费或安全措施落实不到位的项目部,公司依照有关规章制度给予处分处罚,罚款数额由公司安全总监核定,罚款的收入,应如数上缴公司安全生产专项资金专户,统一调配使用。发生伤亡事故,危害职工身体健康的,应首先追究有关人员的责任。</w:t>
            </w:r>
          </w:p>
        </w:tc>
      </w:tr>
      <w:tr w14:paraId="27127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5BF7401">
            <w:pPr>
              <w:ind w:firstLine="560"/>
            </w:pPr>
            <w:r>
              <w:t>七、项目部安全生产专项资金帐户在工程结束时的结余,应全额上缴公司安全生产专项资金专户。不得挪用。</w:t>
            </w:r>
          </w:p>
        </w:tc>
      </w:tr>
      <w:tr w14:paraId="59710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D1F1F6A">
            <w:pPr>
              <w:ind w:firstLine="560"/>
            </w:pPr>
            <w:r>
              <w:t>八、公司对于安全生产工作成绩优异的项目部、班组、个人给予适当奖励,奖励资金不使用公司安全生产专项资金。</w:t>
            </w:r>
          </w:p>
        </w:tc>
      </w:tr>
    </w:tbl>
    <w:p w14:paraId="6086E3B6">
      <w:pPr>
        <w:pStyle w:val="5"/>
        <w:spacing w:before="31" w:after="31"/>
        <w:ind w:firstLine="562"/>
      </w:pPr>
      <w:bookmarkStart w:id="10810" w:name="_Toc21657"/>
      <w:bookmarkStart w:id="10811" w:name="_Toc23588"/>
      <w:bookmarkStart w:id="10812" w:name="_Toc17647"/>
      <w:bookmarkStart w:id="10813" w:name="_Toc27062"/>
      <w:bookmarkStart w:id="10814" w:name="_Toc6557"/>
      <w:bookmarkStart w:id="10815" w:name="_Toc22022"/>
      <w:bookmarkStart w:id="10816" w:name="_Toc22340"/>
      <w:bookmarkStart w:id="10817" w:name="_Toc1935"/>
      <w:bookmarkStart w:id="10818" w:name="_Toc5036"/>
      <w:bookmarkStart w:id="10819" w:name="_Toc16988"/>
      <w:bookmarkStart w:id="10820" w:name="_Toc3289"/>
      <w:bookmarkStart w:id="10821" w:name="_Toc4600"/>
      <w:bookmarkStart w:id="10822" w:name="_Toc30367"/>
      <w:bookmarkStart w:id="10823" w:name="_Toc31963"/>
      <w:bookmarkStart w:id="10824" w:name="_Toc29165"/>
      <w:bookmarkStart w:id="10825" w:name="_Toc11927"/>
      <w:bookmarkStart w:id="10826" w:name="_Toc32538"/>
      <w:bookmarkStart w:id="10827" w:name="_Toc20664"/>
      <w:bookmarkStart w:id="10828" w:name="_Toc17073"/>
      <w:bookmarkStart w:id="10829" w:name="_Toc1188"/>
      <w:bookmarkStart w:id="10830" w:name="_Toc17844"/>
      <w:bookmarkStart w:id="10831" w:name="_Toc20038"/>
      <w:bookmarkStart w:id="10832" w:name="_Toc6686"/>
      <w:bookmarkStart w:id="10833" w:name="_Toc14098"/>
      <w:bookmarkStart w:id="10834" w:name="_Toc29529"/>
      <w:bookmarkStart w:id="10835" w:name="_Toc18333"/>
      <w:bookmarkStart w:id="10836" w:name="_Toc29020"/>
      <w:bookmarkStart w:id="10837" w:name="_Toc6239"/>
      <w:bookmarkStart w:id="10838" w:name="_Toc32298"/>
      <w:r>
        <w:rPr>
          <w:rFonts w:hint="eastAsia"/>
        </w:rPr>
        <w:t>（四）</w:t>
      </w:r>
      <w:r>
        <w:t>项目资金计划</w:t>
      </w:r>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bookmarkEnd w:id="10832"/>
      <w:bookmarkEnd w:id="10833"/>
      <w:bookmarkEnd w:id="10834"/>
      <w:bookmarkEnd w:id="10835"/>
      <w:bookmarkEnd w:id="10836"/>
      <w:bookmarkEnd w:id="10837"/>
      <w:bookmarkEnd w:id="10838"/>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4EDEB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73E7EEF6">
            <w:pPr>
              <w:ind w:firstLine="560"/>
            </w:pPr>
            <w:r>
              <w:t>一、选择合理的预测方法,依据有关文件定额,对施工项目成本作出判断和推测。工程中标后,项目经理部及时根据成本预测,编制成本计划,确定目标成本。</w:t>
            </w:r>
          </w:p>
        </w:tc>
      </w:tr>
      <w:tr w14:paraId="6D2EF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BA7F645">
            <w:pPr>
              <w:ind w:firstLine="560"/>
            </w:pPr>
            <w:r>
              <w:rPr>
                <w:rFonts w:hint="eastAsia"/>
              </w:rPr>
              <w:t>二、做好使用计划对工程款专款专用,在项目部资金有困难时公司负责调剂资金,保证工程正常进行。</w:t>
            </w:r>
          </w:p>
          <w:p w14:paraId="4C294421">
            <w:pPr>
              <w:ind w:firstLine="560"/>
            </w:pPr>
            <w:r>
              <w:rPr>
                <w:rFonts w:hint="eastAsia"/>
              </w:rPr>
              <w:t>项目部在完成规定的各项指标后,其超额利润全部奖励项目部。</w:t>
            </w:r>
          </w:p>
          <w:p w14:paraId="67DDBEC8">
            <w:pPr>
              <w:ind w:firstLine="560"/>
            </w:pPr>
            <w:r>
              <w:rPr>
                <w:rFonts w:hint="eastAsia"/>
              </w:rPr>
              <w:t>项目部取得的各项奖励收入及工程质量奖等,%由项目部使用,%充抵工程成本,保证项目成本与投入相一致。</w:t>
            </w:r>
          </w:p>
        </w:tc>
      </w:tr>
      <w:tr w14:paraId="09233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702031D">
            <w:pPr>
              <w:ind w:firstLine="560"/>
            </w:pPr>
            <w:r>
              <w:rPr>
                <w:rFonts w:hint="eastAsia"/>
              </w:rPr>
              <w:t>三、降低成本的措施选择科学先进经济合理的施工方案,合理布置施工现场。</w:t>
            </w:r>
          </w:p>
          <w:p w14:paraId="0DB611D1">
            <w:pPr>
              <w:ind w:firstLine="560"/>
            </w:pPr>
            <w:r>
              <w:rPr>
                <w:rFonts w:hint="eastAsia"/>
              </w:rPr>
              <w:t>组织均衡施工,合理安排各阶段施工工期,搞好现场调度和协作配合,加强工期与成本优化结合。</w:t>
            </w:r>
          </w:p>
          <w:p w14:paraId="75FDDC55">
            <w:pPr>
              <w:ind w:firstLine="560"/>
            </w:pPr>
            <w:r>
              <w:rPr>
                <w:rFonts w:hint="eastAsia"/>
              </w:rPr>
              <w:t>改善劳动组织,合理配备劳动力,减少窝工浪费,提高劳动效率。加强技术培训,提高工人文化素质和技术操作水平。实行合理的工资奖金分配制度。</w:t>
            </w:r>
          </w:p>
          <w:p w14:paraId="3EBC5CA9">
            <w:pPr>
              <w:ind w:firstLine="560"/>
            </w:pPr>
            <w:r>
              <w:rPr>
                <w:rFonts w:hint="eastAsia"/>
              </w:rPr>
              <w:t>加强质量管理,制定技术质量检验制度,确保工程质量达预期目标,以降低质量成本增加质量奖励收入。</w:t>
            </w:r>
          </w:p>
          <w:p w14:paraId="3C6BCF67">
            <w:pPr>
              <w:ind w:firstLine="560"/>
            </w:pPr>
            <w:r>
              <w:t>搞好机械设备保养维修,提高其完好率和使用效率。合理配置和正确使用周转材料机械设备,降低使用费用。</w:t>
            </w:r>
          </w:p>
          <w:p w14:paraId="7A23AB85">
            <w:pPr>
              <w:ind w:firstLine="560"/>
            </w:pPr>
            <w:r>
              <w:t>改进材料采购运输收发保管等工作,材料采购实行货比三家,有条件的实行工程材料招标采购,选择质优价廉的材料,减少各环节损耗,节约库存费用,减少资金占用,对施工班组实行材料限额领用制度,材料节约按比例提成,材料透支从劳务款中扣除。</w:t>
            </w:r>
          </w:p>
          <w:p w14:paraId="552336B7">
            <w:pPr>
              <w:ind w:firstLine="560"/>
            </w:pPr>
            <w:r>
              <w:t>合理堆置材料,减少二次搬运,严格材料进场验收和限额领料制度,制订并贯彻节约材料的技术措施,合理使用材料。抓好周转材料的回收废料的综合利用,杜绝浪费。</w:t>
            </w:r>
          </w:p>
          <w:p w14:paraId="0B2647A2">
            <w:pPr>
              <w:ind w:firstLine="560"/>
            </w:pPr>
            <w:r>
              <w:t>精简管理机构,减少管理层次,严格控制非生产人员比例,减少非生产费用开支。实行费用的定额管理,制订各部门定额指标,节约开支。</w:t>
            </w:r>
          </w:p>
        </w:tc>
      </w:tr>
      <w:tr w14:paraId="5301D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1026CEAB">
            <w:pPr>
              <w:ind w:firstLine="560"/>
            </w:pPr>
            <w:r>
              <w:rPr>
                <w:rFonts w:hint="eastAsia"/>
              </w:rPr>
              <w:t>四、实行成本控制和核算责任制项目经理全面负责项目成本控制工作。</w:t>
            </w:r>
          </w:p>
          <w:p w14:paraId="54D427B8">
            <w:pPr>
              <w:ind w:firstLine="560"/>
            </w:pPr>
            <w:r>
              <w:rPr>
                <w:rFonts w:hint="eastAsia"/>
              </w:rPr>
              <w:t>负责成本预测决策工作,主持制订审核项目目标成本,组织措施计划,建立项目成本控制责任体系,与各职能部门专业队签订成本承包责任状,并监督执行。</w:t>
            </w:r>
          </w:p>
          <w:p w14:paraId="2A0EF583">
            <w:pPr>
              <w:ind w:firstLine="560"/>
            </w:pPr>
            <w:r>
              <w:rPr>
                <w:rFonts w:hint="eastAsia"/>
              </w:rPr>
              <w:t>预算及财务管理预测项目成本,编制项目成本计划,进行成本计划的综合平衡。</w:t>
            </w:r>
          </w:p>
          <w:p w14:paraId="6D98DB60">
            <w:pPr>
              <w:ind w:firstLine="560"/>
            </w:pPr>
            <w:r>
              <w:rPr>
                <w:rFonts w:hint="eastAsia"/>
              </w:rPr>
              <w:t>根据施工需要,平衡调度资金,控制资金使用。</w:t>
            </w:r>
          </w:p>
          <w:p w14:paraId="573D8534">
            <w:pPr>
              <w:ind w:firstLine="560"/>
            </w:pPr>
            <w:r>
              <w:rPr>
                <w:rFonts w:hint="eastAsia"/>
              </w:rPr>
              <w:t>按照成本开支范围费用支出标准等有关财务制度,严格审核各项成本费用,控制成本支出。</w:t>
            </w:r>
          </w:p>
          <w:p w14:paraId="0393D302">
            <w:pPr>
              <w:ind w:firstLine="560"/>
            </w:pPr>
            <w:r>
              <w:rPr>
                <w:rFonts w:hint="eastAsia"/>
              </w:rPr>
              <w:t>对施工中出现成本亏损,视情节给予黄牌或红牌警告。</w:t>
            </w:r>
          </w:p>
          <w:p w14:paraId="3811AC46">
            <w:pPr>
              <w:ind w:firstLine="560"/>
            </w:pPr>
            <w:r>
              <w:rPr>
                <w:rFonts w:hint="eastAsia"/>
              </w:rPr>
              <w:t>对成本进行分部分项分阶段的核算与考核分析,发现问题及时调整成本计划,并制定相应控制措施。</w:t>
            </w:r>
          </w:p>
          <w:p w14:paraId="2DB36F3D">
            <w:pPr>
              <w:ind w:firstLine="560"/>
            </w:pPr>
            <w:r>
              <w:rPr>
                <w:rFonts w:hint="eastAsia"/>
              </w:rPr>
              <w:t>工程技术质量管理编制项目的技术组织措施计划,提出有效的技术节约,降低成本措施,合理规划布置现场,保证工程质量,降低质量成本,避免返工损失。</w:t>
            </w:r>
          </w:p>
          <w:p w14:paraId="5D5664F8">
            <w:pPr>
              <w:ind w:firstLine="560"/>
            </w:pPr>
            <w:r>
              <w:rPr>
                <w:rFonts w:hint="eastAsia"/>
              </w:rPr>
              <w:t>严格施工安全控制,确保安全生产,减少事故损失。加强技术管理,进行技术革新。</w:t>
            </w:r>
          </w:p>
          <w:p w14:paraId="55BCE9B9">
            <w:pPr>
              <w:ind w:firstLine="560"/>
            </w:pPr>
            <w:r>
              <w:rPr>
                <w:rFonts w:hint="eastAsia"/>
              </w:rPr>
              <w:t>大力加强科技推广应用,努力提高劳动生产率,降低成本。</w:t>
            </w:r>
          </w:p>
          <w:p w14:paraId="07E4DD10">
            <w:pPr>
              <w:ind w:firstLine="560"/>
            </w:pPr>
            <w:r>
              <w:rPr>
                <w:rFonts w:hint="eastAsia"/>
              </w:rPr>
              <w:t>积极开展小组活动,严把质量关,通过质量管理提高劳动生产率。</w:t>
            </w:r>
          </w:p>
          <w:p w14:paraId="28A8A2C6">
            <w:pPr>
              <w:ind w:firstLine="560"/>
            </w:pPr>
            <w:r>
              <w:rPr>
                <w:rFonts w:hint="eastAsia"/>
              </w:rPr>
              <w:t>材料管理控制合理组织和使用材料,材料费用占工程造价的%左右合理组织与使用材料是降低工程成本的重要因素。</w:t>
            </w:r>
          </w:p>
          <w:p w14:paraId="5B8FB74C">
            <w:pPr>
              <w:ind w:firstLine="560"/>
            </w:pPr>
            <w:r>
              <w:rPr>
                <w:rFonts w:hint="eastAsia"/>
              </w:rPr>
              <w:t>从选材采购运输仓储安装就位,每一步都要严格遵照工作标准执行。</w:t>
            </w:r>
          </w:p>
          <w:p w14:paraId="00DCFFED">
            <w:pPr>
              <w:ind w:firstLine="560"/>
            </w:pPr>
            <w:r>
              <w:rPr>
                <w:rFonts w:hint="eastAsia"/>
              </w:rPr>
              <w:t>a选材在满足设计要求与安全指标的情况下,选用物美价廉的材料。</w:t>
            </w:r>
          </w:p>
          <w:p w14:paraId="76D1711B">
            <w:pPr>
              <w:ind w:firstLine="560"/>
            </w:pPr>
            <w:r>
              <w:rPr>
                <w:rFonts w:hint="eastAsia"/>
              </w:rPr>
              <w:t>b采购在选定了材料的品牌和规格后,对供应商进行多家比较考察做到货比三家。</w:t>
            </w:r>
          </w:p>
          <w:p w14:paraId="7D8310A6">
            <w:pPr>
              <w:ind w:firstLine="560"/>
            </w:pPr>
            <w:r>
              <w:rPr>
                <w:rFonts w:hint="eastAsia"/>
              </w:rPr>
              <w:t>c运输根据材料的性能,合理包装选择运输工具,以降低运输损耗。</w:t>
            </w:r>
          </w:p>
          <w:p w14:paraId="0C241F7F">
            <w:pPr>
              <w:ind w:firstLine="560"/>
            </w:pPr>
            <w:r>
              <w:rPr>
                <w:rFonts w:hint="eastAsia"/>
              </w:rPr>
              <w:t>d仓储根据施工进度合理组织材料进场,以减少仓储面积和存放时间并根据材料性能进行堆放。</w:t>
            </w:r>
          </w:p>
          <w:p w14:paraId="2DFA3C1F">
            <w:pPr>
              <w:ind w:firstLine="560"/>
            </w:pPr>
            <w:r>
              <w:rPr>
                <w:rFonts w:hint="eastAsia"/>
              </w:rPr>
              <w:t>e安装:材料安装前对多个施工方案进行比较,达到合理使用材料之目的编制降低材料成本措施计划,控制材料采购成本,合理安排储备,降低材料管理损耗,减少资金占用,严格管理进料验收,限额领料,做好周转材料回收利用。</w:t>
            </w:r>
          </w:p>
          <w:p w14:paraId="1026B91E">
            <w:pPr>
              <w:ind w:firstLine="560"/>
            </w:pPr>
            <w:r>
              <w:rPr>
                <w:rFonts w:hint="eastAsia"/>
              </w:rPr>
              <w:t>做好材料收发存台账记录,提供材料耗用报表,考核材料实际消耗。</w:t>
            </w:r>
          </w:p>
          <w:p w14:paraId="5AE5AD65">
            <w:pPr>
              <w:ind w:firstLine="560"/>
            </w:pPr>
            <w:r>
              <w:rPr>
                <w:rFonts w:hint="eastAsia"/>
              </w:rPr>
              <w:t>后勤管理编制管理费用节约计划。</w:t>
            </w:r>
          </w:p>
          <w:p w14:paraId="113D3DAA">
            <w:pPr>
              <w:ind w:firstLine="560"/>
            </w:pPr>
            <w:r>
              <w:rPr>
                <w:rFonts w:hint="eastAsia"/>
              </w:rPr>
              <w:t>合理精简项目管理人员,服务人员,节约工资性支出。</w:t>
            </w:r>
          </w:p>
          <w:p w14:paraId="52AE22FB">
            <w:pPr>
              <w:ind w:firstLine="560"/>
            </w:pPr>
            <w:r>
              <w:rPr>
                <w:rFonts w:hint="eastAsia"/>
              </w:rPr>
              <w:t>执行费用开支标准和有关财务制度,控制非生产性开支,管好行政办公用财产物资,防止损坏和流失。</w:t>
            </w:r>
          </w:p>
          <w:p w14:paraId="12C07206">
            <w:pPr>
              <w:ind w:firstLine="560"/>
            </w:pPr>
            <w:r>
              <w:rPr>
                <w:rFonts w:hint="eastAsia"/>
              </w:rPr>
              <w:t>人工工资管理实行劳务招标制度,选择价格合理资信可靠的劳务队伍,及时签订劳务合同。</w:t>
            </w:r>
          </w:p>
          <w:p w14:paraId="4983B488">
            <w:pPr>
              <w:ind w:firstLine="560"/>
            </w:pPr>
            <w:r>
              <w:rPr>
                <w:rFonts w:hint="eastAsia"/>
              </w:rPr>
              <w:t>中标的劳务单价作为合同价,不得随意增加,在施工中严格控制点工的发生,按月结算劳务费用。</w:t>
            </w:r>
          </w:p>
          <w:p w14:paraId="4AE08CEA">
            <w:pPr>
              <w:ind w:firstLine="560"/>
            </w:pPr>
            <w:r>
              <w:rPr>
                <w:rFonts w:hint="eastAsia"/>
              </w:rPr>
              <w:t>将劳务费用的支出严格控制在总人工工资范围内,确保人工工资的成本达到目标计划。</w:t>
            </w:r>
          </w:p>
        </w:tc>
      </w:tr>
    </w:tbl>
    <w:p w14:paraId="09F7BAA8">
      <w:pPr>
        <w:pStyle w:val="5"/>
        <w:spacing w:before="31" w:after="31"/>
        <w:ind w:firstLine="562"/>
      </w:pPr>
      <w:bookmarkStart w:id="10839" w:name="_Toc12391"/>
      <w:bookmarkStart w:id="10840" w:name="_Toc32202"/>
      <w:bookmarkStart w:id="10841" w:name="_Toc3586"/>
      <w:bookmarkStart w:id="10842" w:name="_Toc27351"/>
      <w:bookmarkStart w:id="10843" w:name="_Toc8591"/>
      <w:bookmarkStart w:id="10844" w:name="_Toc25544"/>
      <w:bookmarkStart w:id="10845" w:name="_Toc16769"/>
      <w:bookmarkStart w:id="10846" w:name="_Toc17890"/>
      <w:bookmarkStart w:id="10847" w:name="_Toc150"/>
      <w:bookmarkStart w:id="10848" w:name="_Toc17974"/>
      <w:bookmarkStart w:id="10849" w:name="_Toc14416"/>
      <w:bookmarkStart w:id="10850" w:name="_Toc23716"/>
      <w:bookmarkStart w:id="10851" w:name="_Toc27600"/>
      <w:bookmarkStart w:id="10852" w:name="_Toc17220"/>
      <w:bookmarkStart w:id="10853" w:name="_Toc1271"/>
      <w:bookmarkStart w:id="10854" w:name="_Toc21822"/>
      <w:bookmarkStart w:id="10855" w:name="_Toc22358"/>
      <w:bookmarkStart w:id="10856" w:name="_Toc5248"/>
      <w:bookmarkStart w:id="10857" w:name="_Toc5612"/>
      <w:bookmarkStart w:id="10858" w:name="_Toc14774"/>
      <w:bookmarkStart w:id="10859" w:name="_Toc24540"/>
      <w:bookmarkStart w:id="10860" w:name="_Toc27531"/>
      <w:bookmarkStart w:id="10861" w:name="_Toc14789"/>
      <w:bookmarkStart w:id="10862" w:name="_Toc21826"/>
      <w:bookmarkStart w:id="10863" w:name="_Toc3274"/>
      <w:bookmarkStart w:id="10864" w:name="_Toc637"/>
      <w:bookmarkStart w:id="10865" w:name="_Toc306"/>
      <w:bookmarkStart w:id="10866" w:name="_Toc16889"/>
      <w:r>
        <w:rPr>
          <w:rFonts w:hint="eastAsia"/>
        </w:rPr>
        <w:t>（五）</w:t>
      </w:r>
      <w:r>
        <w:t>施工成本保证措施</w:t>
      </w:r>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bookmarkEnd w:id="10864"/>
      <w:bookmarkEnd w:id="10865"/>
      <w:bookmarkEnd w:id="10866"/>
    </w:p>
    <w:p w14:paraId="58F76E1D">
      <w:pPr>
        <w:ind w:firstLine="560"/>
      </w:pPr>
      <w:r>
        <w:t>一）成本控制措施</w:t>
      </w:r>
    </w:p>
    <w:p w14:paraId="3ED06765">
      <w:pPr>
        <w:ind w:firstLine="560"/>
      </w:pPr>
      <w:r>
        <w:t>1降低造价的原则</w:t>
      </w:r>
    </w:p>
    <w:p w14:paraId="6D85D47D">
      <w:pPr>
        <w:ind w:firstLine="560"/>
      </w:pPr>
      <w:r>
        <w:t>(1)保证工程质量，达到顾客满意。</w:t>
      </w:r>
    </w:p>
    <w:p w14:paraId="1CB2AD9F">
      <w:pPr>
        <w:ind w:firstLine="560"/>
      </w:pPr>
      <w:r>
        <w:t>(2)保证施工进度，确保工期目标。</w:t>
      </w:r>
    </w:p>
    <w:p w14:paraId="42AAAC3C">
      <w:pPr>
        <w:ind w:firstLine="560"/>
      </w:pPr>
      <w:r>
        <w:t>(3)保证安全施工和文明生产的需要。</w:t>
      </w:r>
    </w:p>
    <w:p w14:paraId="1D957192">
      <w:pPr>
        <w:ind w:firstLine="560"/>
      </w:pPr>
      <w:r>
        <w:t>(4)不使用含有有害物质的材料；不使用不合格的材料。</w:t>
      </w:r>
    </w:p>
    <w:p w14:paraId="5F926CD1">
      <w:pPr>
        <w:ind w:firstLine="560"/>
      </w:pPr>
      <w:r>
        <w:t>(5)加强管理节能降耗；加强管理消除浪费。</w:t>
      </w:r>
    </w:p>
    <w:p w14:paraId="4683540A">
      <w:pPr>
        <w:ind w:firstLine="560"/>
      </w:pPr>
      <w:r>
        <w:t>2降低成本的方法</w:t>
      </w:r>
    </w:p>
    <w:p w14:paraId="76C5CEB5">
      <w:pPr>
        <w:ind w:firstLine="560"/>
      </w:pPr>
      <w:r>
        <w:t>(1)采用新材料、新技术；</w:t>
      </w:r>
    </w:p>
    <w:p w14:paraId="4F6CCD96">
      <w:pPr>
        <w:ind w:firstLine="560"/>
      </w:pPr>
      <w:r>
        <w:rPr>
          <w:rFonts w:hint="eastAsia"/>
        </w:rPr>
        <w:t>(2)优化施工方案；</w:t>
      </w:r>
    </w:p>
    <w:p w14:paraId="5FD8E13C">
      <w:pPr>
        <w:ind w:firstLine="560"/>
      </w:pPr>
      <w:r>
        <w:rPr>
          <w:rFonts w:hint="eastAsia"/>
        </w:rPr>
        <w:t>(3)科学管理、提高工效；</w:t>
      </w:r>
    </w:p>
    <w:p w14:paraId="221D7C8C">
      <w:pPr>
        <w:ind w:firstLine="560"/>
      </w:pPr>
      <w:r>
        <w:rPr>
          <w:rFonts w:hint="eastAsia"/>
        </w:rPr>
        <w:t>3降低成本的目的</w:t>
      </w:r>
    </w:p>
    <w:p w14:paraId="46F7D0ED">
      <w:pPr>
        <w:ind w:firstLine="560"/>
      </w:pPr>
      <w:r>
        <w:rPr>
          <w:rFonts w:hint="eastAsia"/>
        </w:rPr>
        <w:t>(1)提高效益；</w:t>
      </w:r>
    </w:p>
    <w:p w14:paraId="40C587A3">
      <w:pPr>
        <w:ind w:firstLine="560"/>
      </w:pPr>
      <w:r>
        <w:rPr>
          <w:rFonts w:hint="eastAsia"/>
        </w:rPr>
        <w:t>(2)回报业主，回报社会；</w:t>
      </w:r>
    </w:p>
    <w:p w14:paraId="617011AF">
      <w:pPr>
        <w:ind w:firstLine="560"/>
      </w:pPr>
      <w:r>
        <w:rPr>
          <w:rFonts w:hint="eastAsia"/>
        </w:rPr>
        <w:t>(3)严格过程控制</w:t>
      </w:r>
    </w:p>
    <w:p w14:paraId="4B014282">
      <w:pPr>
        <w:ind w:firstLine="560"/>
      </w:pPr>
      <w:r>
        <w:rPr>
          <w:rFonts w:hint="eastAsia"/>
        </w:rPr>
        <w:t>严格执行公司《质量/环境管理体系程序文件》和《质量/环境手册》中有关的过程策划和控制程序。</w:t>
      </w:r>
    </w:p>
    <w:p w14:paraId="2B7CF8E6">
      <w:pPr>
        <w:ind w:firstLine="560"/>
      </w:pPr>
      <w:r>
        <w:rPr>
          <w:rFonts w:hint="eastAsia"/>
        </w:rPr>
        <w:t>a.选择专业性水平高的施工员和施工队伍，严格按过程控制程序施工，消除不合格品，以避免返修、返工而造成的浪费。</w:t>
      </w:r>
    </w:p>
    <w:p w14:paraId="57A88F01">
      <w:pPr>
        <w:ind w:firstLine="560"/>
      </w:pPr>
      <w:r>
        <w:rPr>
          <w:rFonts w:hint="eastAsia"/>
        </w:rPr>
        <w:t>b.加强施工过程中的材料管理，做到运输无遗洒、工完料净、现场清洁；有依据地合理利用下方料。</w:t>
      </w:r>
    </w:p>
    <w:p w14:paraId="0E0312EF">
      <w:pPr>
        <w:ind w:firstLine="560"/>
      </w:pPr>
      <w:r>
        <w:rPr>
          <w:rFonts w:hint="eastAsia"/>
        </w:rPr>
        <w:t>c.制定相应的规章制度，加强成品、半成品的保护工作，并应责任落实到人。</w:t>
      </w:r>
    </w:p>
    <w:p w14:paraId="1B0636FF">
      <w:pPr>
        <w:ind w:firstLine="560"/>
      </w:pPr>
      <w:r>
        <w:rPr>
          <w:rFonts w:hint="eastAsia"/>
        </w:rPr>
        <w:t>4劳动力的控制</w:t>
      </w:r>
    </w:p>
    <w:p w14:paraId="6F67E541">
      <w:pPr>
        <w:ind w:firstLine="560"/>
      </w:pPr>
      <w:r>
        <w:rPr>
          <w:rFonts w:hint="eastAsia"/>
        </w:rPr>
        <w:t>根据工程情况编制具体的劳动力使用量计划，合理地使用劳动力。根据施工方案，精心组织施工，严格工艺流程，合理安排施工顺序，做到布局合理、重点突出、全面展开、平行作业、交叉施工，各工序应紧密衔接，避免不必要的重复工作和窝工。</w:t>
      </w:r>
    </w:p>
    <w:p w14:paraId="62ED634F">
      <w:pPr>
        <w:ind w:firstLine="560"/>
      </w:pPr>
      <w:r>
        <w:rPr>
          <w:rFonts w:hint="eastAsia"/>
        </w:rPr>
        <w:t>5能源控制</w:t>
      </w:r>
    </w:p>
    <w:p w14:paraId="6AE755CD">
      <w:pPr>
        <w:ind w:firstLine="560"/>
      </w:pPr>
      <w:r>
        <w:rPr>
          <w:rFonts w:hint="eastAsia"/>
        </w:rPr>
        <w:t>编制节能降耗的技术措施，合理利用能源，消除浪费。</w:t>
      </w:r>
    </w:p>
    <w:p w14:paraId="7906F409">
      <w:pPr>
        <w:ind w:firstLine="560"/>
      </w:pPr>
      <w:r>
        <w:rPr>
          <w:rFonts w:hint="eastAsia"/>
        </w:rPr>
        <w:t>二）成本控制因素</w:t>
      </w:r>
    </w:p>
    <w:p w14:paraId="3A6CD847">
      <w:pPr>
        <w:ind w:firstLine="560"/>
      </w:pPr>
      <w:r>
        <w:rPr>
          <w:rFonts w:hint="eastAsia"/>
        </w:rPr>
        <w:t>工程成本有五大项组成：即人工费、材料费、机械费，其它直接费与管理费用，要想控制成本，使工程成本达到规定的降低率与降低额，必须加强科学管理，提高劳动力率，具体到每一个成本项目，应有不同的措施：</w:t>
      </w:r>
    </w:p>
    <w:p w14:paraId="7C2512D7">
      <w:pPr>
        <w:ind w:firstLine="560"/>
      </w:pPr>
      <w:r>
        <w:rPr>
          <w:rFonts w:hint="eastAsia"/>
        </w:rPr>
        <w:t>1、人工费：精减施工管理人员，提高施工人员素质，加强对民工现场管理，合理安排工序格接，做到均衡施工，提高劳动率，杜绝窝工，拖工期等现象。</w:t>
      </w:r>
    </w:p>
    <w:p w14:paraId="3AB541CB">
      <w:pPr>
        <w:ind w:firstLine="560"/>
      </w:pPr>
      <w:r>
        <w:rPr>
          <w:rFonts w:hint="eastAsia"/>
        </w:rPr>
        <w:t>2、材料费：控制材料成本主要从两个方面考虑，一是价格，二是用量，价格上要货比三家，在保证质量的基础上，尽量使用价廉物美的材料，坚决制止吃回扣买高价；用量上，加强材料的科学管理，严格规范的收、发、存制度，将材料管理落实到责任人，</w:t>
      </w:r>
    </w:p>
    <w:p w14:paraId="7E1B75A7">
      <w:pPr>
        <w:ind w:firstLine="560"/>
      </w:pPr>
      <w:r>
        <w:rPr>
          <w:rFonts w:hint="eastAsia"/>
        </w:rPr>
        <w:t>3、机械使用费：加强学习，提高施工操作人员素质，努力提高机械使用率，降低机械维率。充分发挥自有机械能力，尽量减少使用外租机械化。</w:t>
      </w:r>
    </w:p>
    <w:p w14:paraId="068CF3D7">
      <w:pPr>
        <w:ind w:firstLine="560"/>
      </w:pPr>
      <w:r>
        <w:rPr>
          <w:rFonts w:hint="eastAsia"/>
        </w:rPr>
        <w:t>4、其他直接费与管理费用，积极组织施工管理人员学习专业知识，提高施工管理人员素质低管理费用。加强科学管理，减少现场各项杂费。</w:t>
      </w:r>
    </w:p>
    <w:p w14:paraId="53280718">
      <w:pPr>
        <w:ind w:firstLine="560"/>
      </w:pPr>
      <w:r>
        <w:rPr>
          <w:rFonts w:hint="eastAsia"/>
        </w:rPr>
        <w:t>5、加强成本核算，设立专项核算员，对人工、材料、机械费用严格控制，提高管理水平。</w:t>
      </w:r>
    </w:p>
    <w:p w14:paraId="2DAE13AF">
      <w:pPr>
        <w:ind w:firstLine="560"/>
      </w:pPr>
      <w:r>
        <w:rPr>
          <w:rFonts w:hint="eastAsia"/>
        </w:rPr>
        <w:t>6、严把质量关，尽量减少返工造成不必要的浪费。</w:t>
      </w:r>
    </w:p>
    <w:p w14:paraId="00B468F1">
      <w:pPr>
        <w:ind w:firstLine="560"/>
      </w:pPr>
      <w:r>
        <w:rPr>
          <w:rFonts w:hint="eastAsia"/>
        </w:rPr>
        <w:t>7、合理安排工期，使之连续施工。避免因管理不善造成的误工、停工。</w:t>
      </w:r>
    </w:p>
    <w:p w14:paraId="3679819F">
      <w:pPr>
        <w:ind w:firstLine="560"/>
      </w:pPr>
      <w:r>
        <w:rPr>
          <w:rFonts w:hint="eastAsia"/>
        </w:rPr>
        <w:t>三)成本控制方法</w:t>
      </w:r>
    </w:p>
    <w:p w14:paraId="4B51496F">
      <w:pPr>
        <w:ind w:firstLine="560"/>
      </w:pPr>
      <w:r>
        <w:rPr>
          <w:rFonts w:hint="eastAsia"/>
        </w:rPr>
        <w:t>1.明确生产成本管理职责，建立健全相关预算、结算、绩效方法和制度，严格执行</w:t>
      </w:r>
    </w:p>
    <w:p w14:paraId="7DC99223">
      <w:pPr>
        <w:ind w:firstLine="560"/>
      </w:pPr>
      <w:r>
        <w:rPr>
          <w:rFonts w:hint="eastAsia"/>
        </w:rPr>
        <w:t>2.减少固定成本的浪费和支出，扩大固定成本利用率，降低单位产品固定成本支出。</w:t>
      </w:r>
    </w:p>
    <w:p w14:paraId="44208DF9">
      <w:pPr>
        <w:ind w:firstLine="560"/>
      </w:pPr>
      <w:r>
        <w:rPr>
          <w:rFonts w:hint="eastAsia"/>
        </w:rPr>
        <w:t>3.优化生产物流流程，降低库存，减少库存成本支出。</w:t>
      </w:r>
    </w:p>
    <w:p w14:paraId="17C455B9">
      <w:pPr>
        <w:ind w:firstLine="560"/>
      </w:pPr>
      <w:r>
        <w:rPr>
          <w:rFonts w:hint="eastAsia"/>
        </w:rPr>
        <w:t>4.增强供应商和价格管理，减少采购成本支出。</w:t>
      </w:r>
    </w:p>
    <w:p w14:paraId="3F785012">
      <w:pPr>
        <w:ind w:firstLine="560"/>
      </w:pPr>
      <w:r>
        <w:rPr>
          <w:rFonts w:hint="eastAsia"/>
        </w:rPr>
        <w:t>5.精简机构，提高运行流程收益。</w:t>
      </w:r>
    </w:p>
    <w:p w14:paraId="20772C60">
      <w:pPr>
        <w:ind w:firstLine="560"/>
      </w:pPr>
      <w:r>
        <w:rPr>
          <w:rFonts w:hint="eastAsia"/>
        </w:rPr>
        <w:t>6.提高生产效率，优化生产工艺，降低单位成本支出</w:t>
      </w:r>
    </w:p>
    <w:p w14:paraId="4DEA2D0B">
      <w:pPr>
        <w:ind w:firstLine="560"/>
      </w:pPr>
      <w:r>
        <w:rPr>
          <w:rFonts w:hint="eastAsia"/>
        </w:rPr>
        <w:t>7.节能减排，降低能源及环保成本消耗</w:t>
      </w:r>
    </w:p>
    <w:p w14:paraId="060D0F5E">
      <w:pPr>
        <w:ind w:firstLine="560"/>
      </w:pPr>
      <w:r>
        <w:rPr>
          <w:rFonts w:hint="eastAsia"/>
        </w:rPr>
        <w:t>四）降低成本措施</w:t>
      </w:r>
    </w:p>
    <w:p w14:paraId="5A801DB6">
      <w:pPr>
        <w:ind w:firstLine="560"/>
      </w:pPr>
      <w:r>
        <w:rPr>
          <w:rFonts w:hint="eastAsia"/>
        </w:rPr>
        <w:t>1.靠现代化的管理降低成本</w:t>
      </w:r>
    </w:p>
    <w:p w14:paraId="486B2681">
      <w:pPr>
        <w:ind w:firstLine="560"/>
      </w:pPr>
      <w:r>
        <w:rPr>
          <w:rFonts w:hint="eastAsia"/>
        </w:rPr>
        <w:t>要降低成本，必须抓住管理这个纲。各企业要将实行成本目标管理与经济责任制相结合，强化成本核算，在产、供、销、财务等各个环节都要加强管理，把生产成本中的原材料、工资、制造费、行政费等项中每一项费用细化到单位产品成本中，使成本核算，进班组，到人头。变成本的静态控制为动态控制，形成全员、全过程、全方位的成本控制格局，使降低成本落实到每个职工的具体行动中。</w:t>
      </w:r>
    </w:p>
    <w:p w14:paraId="6EB74E83">
      <w:pPr>
        <w:ind w:firstLine="560"/>
      </w:pPr>
      <w:r>
        <w:rPr>
          <w:rFonts w:hint="eastAsia"/>
        </w:rPr>
        <w:t>在此基础上，一是要加强供应管理，控制材料成本。企业要制定采购原材料控制价格目录，实行比价采购的办法，实行货比三家、择优选购，做到同质的买低价，同价的就近买，同质同价，能用国产不用进口，以达到降低成本的目的；二是要加强物资管理，降低物化劳动消耗。物资储量和消耗量的高低，直接影响着产品成本的升降。因此，各企业要从物资消耗定额的制定到物资的发放都要实行严格的控制，对原材料等各种物资的消耗用品，要实行定额分类管理，在订货批量和库存储备等方面实行重点控制，要按照适用、及时、齐备、经济的原则下达使用计划，并与财务收支计划、订货合同相结合，纳入经济责任制考核，对影响成本的各种消耗进行系统控制和目标管理，防止各种不必要的浪费，从而达到合理储存、使用物资，降低成本，提高效益，使之既保证生产的合理需要，又减少资金占用；三是强化营销管理，降低销售成本。要把增强销售人员的法律意识与加强销售管理相结合，在每一笔销售业务发生以前，要对客户的营运状况和承付能力认真调查核准，不能贸然发货，更不能搞“感情交易”、“君子协议”，避免不必要的经济损失，对业务人员的工资、奖金、差旅费、补助、业务费及装卸费、短途运输费、中转环节等费用本着既要节约，又要调动积极性的原则制定相应的管理办法，并严格考核与奖惩，对拖欠的货款，要采取经济、法律、行政的手段予以积极清收；四是要加强资金管理，控制支出节约费用。企业要建立健全财务监督体系，通过推行模拟市场核算来降低成本，控制费用来提高经济效益，避免用钱无计划、开支无标准，多头批条和资金跑冒滴漏现象严重从而造成在资金使用上不计成本的做法，严格加强对资金的控制，使全体职工感受到市场竞争的压力，变由几个算帐为人人当家理财，特别要加强行政费用及一些事业性费用的核算，包括管理部门的行政、差旅费、办公费等的开支。在这方面要根据承担的工作性质不同，核算每个人头的费用基数进行控制考核，每只铅笔、每张稿纸都必须从承包额中列支。</w:t>
      </w:r>
    </w:p>
    <w:p w14:paraId="5F5FD675">
      <w:pPr>
        <w:ind w:firstLine="560"/>
      </w:pPr>
      <w:r>
        <w:rPr>
          <w:rFonts w:hint="eastAsia"/>
        </w:rPr>
        <w:t>2.靠技术改造降低成本</w:t>
      </w:r>
    </w:p>
    <w:p w14:paraId="55D7C66E">
      <w:pPr>
        <w:ind w:firstLine="560"/>
      </w:pPr>
      <w:r>
        <w:rPr>
          <w:rFonts w:hint="eastAsia"/>
        </w:rPr>
        <w:t>近年来，原材料价格上升、能源提价对成本的上升影响很大。企业必须树立技术改造是降低成本重要途径的观念，通过技术改造，采用新技术、新工艺、新材料，提高产品技术含量，开辟降低生产成本的途径。一是要特别注重工艺技术改革，积极采取新技术、新工艺节能降耗，从根本上减少原材料的消耗，在达到产品质量目标的同时，保证成本控制目标的实现；二是在实施技改项目建设中应注意降低项目建设成本，注重以较少的投入求得较多的回报。一方面要采取短、平、快的技改方式；另一方面要采取超常规的基建和技改管理，上项目时机要选准，立项要准确，实施要快速，在保证质量的前提下，千方百计加快技改工程进度，降低项目建设成本，争取早日投资回报。</w:t>
      </w:r>
    </w:p>
    <w:p w14:paraId="4D01B2B5">
      <w:pPr>
        <w:ind w:firstLine="560"/>
      </w:pPr>
      <w:r>
        <w:rPr>
          <w:rFonts w:hint="eastAsia"/>
        </w:rPr>
        <w:t>3.靠深化改革降低成本</w:t>
      </w:r>
    </w:p>
    <w:p w14:paraId="0C00FBCE">
      <w:pPr>
        <w:ind w:firstLine="560"/>
      </w:pPr>
      <w:r>
        <w:rPr>
          <w:rFonts w:hint="eastAsia"/>
        </w:rPr>
        <w:t>深化企业改革，不断激发职工的劳动热情，提高职工素质，建立适应市场经济的精干高效的运行机制，也是降低成本的重要一环。各企业要把深化改革作为降本增效的重要工作。首先，要改革人事制度，打破干部和工人的界限，体现“肯干、能干、干好”的用人原则，实行招聘与聘任制相结合的人事制度，优化劳动组合，竞争上岗，优胜劣汰，做到“能者上、庸者让、差者下”，从而调动干部职工的积极性，提高劳动生产率，增强企业干部职工的工作责任感和危机感，发动全体干部职工投入到降本增效的工作中去。其次，在科学测定确保最佳成本目标所必须的劳动量的基础上，相应改善劳动组织，核定劳动定员，改革内部分配制度，减少因非生产性人员过多和窝工、怠工、劳动量不足造成的消耗。各企业内部可根据各科室、的工作性质、工艺复杂状况、劳动强度、工作环境等因素，分别采取相应的分配形式，做到向苦、脏、累、险和高技能岗位倾斜，进而激发职工的劳动热情，增加有效劳动时间，降低单位产品的劳动消耗量和工资成本，按生产经营实体需要，对职能科室进行精简合并，本着精干、高效的原则配备管理人员，改变人浮于事的局面，达到降本增效的目的。</w:t>
      </w:r>
    </w:p>
    <w:p w14:paraId="05C12002">
      <w:pPr>
        <w:ind w:firstLine="560"/>
      </w:pPr>
      <w:r>
        <w:rPr>
          <w:rFonts w:hint="eastAsia"/>
        </w:rPr>
        <w:t>4.靠过硬的质量降低成本</w:t>
      </w:r>
    </w:p>
    <w:p w14:paraId="01BDDB52">
      <w:pPr>
        <w:ind w:firstLine="560"/>
      </w:pPr>
      <w:r>
        <w:rPr>
          <w:rFonts w:hint="eastAsia"/>
        </w:rPr>
        <w:t>产品的质量与产品成本之间有着极为密切的关系。在竞争异常激烈的情况下，谁的产品质量高，谁就有竞争力，产品就有市场，就不会占用过多的资金；产品质量高，不出或少出次品，可以直接降低生产成本；产品质量高，就可以按优质优价原则，以较高价格出售，相对降低成本在销售收入中的比重；产品质量高，可以赢得更多的用户，直接增加销售量，降低销售成本；产品质量高，实际上也就节约了能源、原材料；产品质量高，就可以节省劳动力与管理费用，这样无疑会降低成本。因此，企业要十分注重提高产品质量，千方百计严把产品质量关。</w:t>
      </w:r>
    </w:p>
    <w:p w14:paraId="683C7A00">
      <w:pPr>
        <w:ind w:firstLine="560"/>
      </w:pPr>
      <w:r>
        <w:rPr>
          <w:rFonts w:hint="eastAsia"/>
        </w:rPr>
        <w:t>一是要强化对质量管理的领导，企业领导要亲自抓质量，形成质量管理网络，每天反馈质量信息，进行质量分析、控制质量成本；二是要有严格的工艺技术标准，对影响产品质量的供、产、销等各个环节实行系统的质量管理，做到不符合质量要求的原材料不采购进厂，不符合质量要求的半成品不流入下道工序，不合格的产品不出厂；三是要充实质量管理力量，完善质量管理制度，建立专职检测队伍，制订自检、互检和专检相结合的质量检测制度和标准，严把产品质量关，同时将质量管理纳入经济责任制考核，推行优质优价优工资、劣质废品惩工资的分配原则，对因各种原因影响产品质量的人或事要给予严肃惩处，以此增强企业上下的质量意识、提高产品质量；四是开展群众性的质量管理小组活动，有计划有组织地进行质量攻关。对影响产品质量，一时又难以搞清的质量问题，作为QC小组的攻关课题落实到、班组，开展群众性的QC小组攻关活动，使群众性的QC小组活动在有组织领导、有活动课题、有计划安排、有检查落实的受控状态下进行，从而提高产品质量。</w:t>
      </w:r>
    </w:p>
    <w:p w14:paraId="6C019764">
      <w:pPr>
        <w:ind w:firstLine="560"/>
      </w:pPr>
      <w:r>
        <w:rPr>
          <w:rFonts w:hint="eastAsia"/>
        </w:rPr>
        <w:t>5.靠优化结构降低成本</w:t>
      </w:r>
    </w:p>
    <w:p w14:paraId="1B34FD0E">
      <w:pPr>
        <w:ind w:firstLine="560"/>
      </w:pPr>
      <w:r>
        <w:rPr>
          <w:rFonts w:hint="eastAsia"/>
        </w:rPr>
        <w:t>一是优化产品结构。一个企业的产品是否受市场欢迎，能否在市场中占有一定的份额，是降低成本的基础前提。如果一个企业的产品销售不出去，造成积压，根本谈不上降低成本。只有产品品种多，产品结构合理，才能满足不同层次消费者的需要，才有稳定的市场，才可以减少库存和产品资金占用，加快资金周转，只有产品结构合理，才能加速产品扩散，实行多角化经营，加快市场渗透，提高市场的相对占有率，从而达到降低成本的目的。所以各企业在生产经营中必须认识到自己的不足，认真分析、审时度势，及时改变生产经营战略，对市场形势不好，积压占用成品资金多的产品进行限产和转产，对选择的主导产品要通过采用先进技术，提高生产的机械化、自动化水平，强化生产指挥调度等一系列措施提高产量，以降低产品成本中所含的折旧、利息等固定费用。同时还必须不断创新、优化产品结构，采取“你无我有、你有我多、你多我精、你精我转”的策略，增加花色品种，开发新产品，追踪世界发展潮流，结合不同地区、不同层次消费者的需要，形成不同的产品结构，使产品市场逐步扩大。</w:t>
      </w:r>
    </w:p>
    <w:p w14:paraId="10D2BC4B">
      <w:pPr>
        <w:ind w:firstLine="560"/>
      </w:pPr>
      <w:r>
        <w:rPr>
          <w:rFonts w:hint="eastAsia"/>
        </w:rPr>
        <w:t>二是优化资本结构。在激烈竞争的市场形势下，企业要不断发展，以此来增强参与市场竞争，抗衡市场风险的能力，但是要发展就要靠大的投入，而且在目前整个市场低迷的情况下，大的投入必然给企业背上沉重的包袱。为此，各企业要通过兼并、租赁等多种形式，加大资产的流动和重组，优化资本结构，实现资本的扩张，以此来扩大生产规模、降低成本，提高市场占有率和竞争力，达到降本增产，增销增利的良好效果。就要靠大的投入，而且在目前整个市场低迷的情况下，大的投入必然给企业背上沉重的包袱。为此，各企业要通过兼并、租赁等多种形式，加大资产的流动和重组，优化资本结构，实现资本的扩张，以此来扩大生产规模、降低成本，提高市场占有率和竞争力，达到降本增产，增销增利的良好效果。</w:t>
      </w:r>
    </w:p>
    <w:p w14:paraId="56C995AB">
      <w:pPr>
        <w:pStyle w:val="5"/>
        <w:spacing w:before="31" w:after="31"/>
        <w:ind w:firstLine="562"/>
      </w:pPr>
      <w:bookmarkStart w:id="10867" w:name="_Toc17705"/>
      <w:bookmarkStart w:id="10868" w:name="_Toc21229"/>
      <w:bookmarkStart w:id="10869" w:name="_Toc1202"/>
      <w:bookmarkStart w:id="10870" w:name="_Toc10101"/>
      <w:bookmarkStart w:id="10871" w:name="_Toc17947"/>
      <w:bookmarkStart w:id="10872" w:name="_Toc31059"/>
      <w:bookmarkStart w:id="10873" w:name="_Toc15065"/>
      <w:bookmarkStart w:id="10874" w:name="_Toc6928"/>
      <w:bookmarkStart w:id="10875" w:name="_Toc18694"/>
      <w:bookmarkStart w:id="10876" w:name="_Toc20074"/>
      <w:bookmarkStart w:id="10877" w:name="_Toc2322"/>
      <w:bookmarkStart w:id="10878" w:name="_Toc8702"/>
      <w:bookmarkStart w:id="10879" w:name="_Toc15790"/>
      <w:bookmarkStart w:id="10880" w:name="_Toc19078"/>
      <w:bookmarkStart w:id="10881" w:name="_Toc2677"/>
      <w:bookmarkStart w:id="10882" w:name="_Toc5690"/>
      <w:bookmarkStart w:id="10883" w:name="_Toc7242"/>
      <w:bookmarkStart w:id="10884" w:name="_Toc30768"/>
      <w:bookmarkStart w:id="10885" w:name="_Toc28787"/>
      <w:bookmarkStart w:id="10886" w:name="_Toc25100"/>
      <w:bookmarkStart w:id="10887" w:name="_Toc20417"/>
      <w:bookmarkStart w:id="10888" w:name="_Toc17542"/>
      <w:bookmarkStart w:id="10889" w:name="_Toc5240"/>
      <w:bookmarkStart w:id="10890" w:name="_Toc9589"/>
      <w:bookmarkStart w:id="10891" w:name="_Toc16973"/>
      <w:bookmarkStart w:id="10892" w:name="_Toc21920"/>
      <w:bookmarkStart w:id="10893" w:name="_Toc16791"/>
      <w:r>
        <w:rPr>
          <w:rFonts w:hint="eastAsia"/>
        </w:rPr>
        <w:t>（六）项目资金监督管理</w:t>
      </w:r>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290FA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624F3A4">
            <w:pPr>
              <w:ind w:firstLine="560"/>
            </w:pPr>
            <w:r>
              <w:rPr>
                <w:rFonts w:hint="eastAsia"/>
              </w:rPr>
              <w:t>一、总则</w:t>
            </w:r>
          </w:p>
        </w:tc>
      </w:tr>
      <w:tr w14:paraId="316D2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C744329">
            <w:pPr>
              <w:ind w:firstLine="560"/>
            </w:pPr>
            <w:r>
              <w:rPr>
                <w:rFonts w:hint="eastAsia"/>
              </w:rPr>
              <w:t>1、为工程建设项目资金的监督管理,切实保障农民工工资和工程材料采购款的及时支付,保证地质园项目建设资金的安全和工程建设的顺利进行,特制定本办法。</w:t>
            </w:r>
          </w:p>
          <w:p w14:paraId="1E1F2356">
            <w:pPr>
              <w:ind w:firstLine="560"/>
            </w:pPr>
            <w:r>
              <w:rPr>
                <w:rFonts w:hint="eastAsia"/>
              </w:rPr>
              <w:t>2、本办法适于参与本项目建设的施工单位及为项目建设资金提供配套服务的协议银行。</w:t>
            </w:r>
          </w:p>
          <w:p w14:paraId="3CFB1E57">
            <w:pPr>
              <w:ind w:firstLine="560"/>
            </w:pPr>
            <w:r>
              <w:rPr>
                <w:rFonts w:hint="eastAsia"/>
              </w:rPr>
              <w:t>3、为明确资金管理各方面的权利和义务,施工单位、银行共同签订本工程施工单位资金监管协议,以此规范建设资金的使用行为。</w:t>
            </w:r>
          </w:p>
        </w:tc>
      </w:tr>
      <w:tr w14:paraId="273ED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238E501">
            <w:pPr>
              <w:ind w:firstLine="560"/>
            </w:pPr>
            <w:r>
              <w:rPr>
                <w:rFonts w:hint="eastAsia"/>
              </w:rPr>
              <w:t>二、组织机构</w:t>
            </w:r>
          </w:p>
        </w:tc>
      </w:tr>
      <w:tr w14:paraId="6008D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00AFE49">
            <w:pPr>
              <w:ind w:firstLine="560"/>
            </w:pPr>
            <w:r>
              <w:rPr>
                <w:rFonts w:hint="eastAsia"/>
              </w:rPr>
              <w:t>1、公司成立工程建设资金监督管理领导小组(以下称“监管小组”),总经理任组长,主管工程副总经理任副组长,各项目经理、财务总监和财务部长为成员,财务部负责日常管理工作。</w:t>
            </w:r>
          </w:p>
          <w:p w14:paraId="6A4A0A1D">
            <w:pPr>
              <w:ind w:firstLine="560"/>
            </w:pPr>
            <w:r>
              <w:rPr>
                <w:rFonts w:hint="eastAsia"/>
              </w:rPr>
              <w:t>2、工程建设资金监管管理领导小组的职责:</w:t>
            </w:r>
          </w:p>
          <w:p w14:paraId="3179C4C8">
            <w:pPr>
              <w:ind w:firstLine="560"/>
            </w:pPr>
            <w:r>
              <w:rPr>
                <w:rFonts w:hint="eastAsia"/>
              </w:rPr>
              <w:t>1）组织建立、健全建设资金管理内控制度并督促执行;</w:t>
            </w:r>
          </w:p>
          <w:p w14:paraId="5C24B0E7">
            <w:pPr>
              <w:ind w:firstLine="560"/>
            </w:pPr>
            <w:r>
              <w:rPr>
                <w:rFonts w:hint="eastAsia"/>
              </w:rPr>
              <w:t>2）按照相关规定,监督各施工单位工程款的使用情况,确保各项工程款建设项目;</w:t>
            </w:r>
          </w:p>
          <w:p w14:paraId="44D54EDB">
            <w:pPr>
              <w:ind w:firstLine="560"/>
            </w:pPr>
            <w:r>
              <w:rPr>
                <w:rFonts w:hint="eastAsia"/>
              </w:rPr>
              <w:t>3）监督建设资金使用情况,控制建设成本,提高资金效益、避免资金浪费;</w:t>
            </w:r>
          </w:p>
          <w:p w14:paraId="34744053">
            <w:pPr>
              <w:ind w:firstLine="560"/>
            </w:pPr>
            <w:r>
              <w:rPr>
                <w:rFonts w:hint="eastAsia"/>
              </w:rPr>
              <w:t>4）负责落实项目建设资金按投资计划到位。</w:t>
            </w:r>
          </w:p>
          <w:p w14:paraId="7FD9C0D9">
            <w:pPr>
              <w:ind w:firstLine="560"/>
            </w:pPr>
            <w:r>
              <w:rPr>
                <w:rFonts w:hint="eastAsia"/>
              </w:rPr>
              <w:t>3、财务部承担建设资金安全的日常监督管理责任。主要职责是:</w:t>
            </w:r>
          </w:p>
          <w:p w14:paraId="5DC5E9F2">
            <w:pPr>
              <w:ind w:firstLine="560"/>
            </w:pPr>
            <w:r>
              <w:rPr>
                <w:rFonts w:hint="eastAsia"/>
              </w:rPr>
              <w:t>1）严格执行上级制定的有关建设资金管理规定,负责制定并严格执行建设资金管理内控制度,发现资金安全及资金管理的问题,应及时采取措施化解或解决,并及时向总经理汇报;</w:t>
            </w:r>
          </w:p>
          <w:p w14:paraId="11BBBB5B">
            <w:pPr>
              <w:ind w:firstLine="560"/>
            </w:pPr>
            <w:r>
              <w:rPr>
                <w:rFonts w:hint="eastAsia"/>
              </w:rPr>
              <w:t>2）负责对承建施工单位资金流向进行监管,确定施工单位大额资金额度,大额资金额度需报总经理批准;</w:t>
            </w:r>
          </w:p>
          <w:p w14:paraId="2A8D824B">
            <w:pPr>
              <w:ind w:firstLine="560"/>
            </w:pPr>
            <w:r>
              <w:rPr>
                <w:rFonts w:hint="eastAsia"/>
              </w:rPr>
              <w:t>3）负责建设资金账户的管理和使用;</w:t>
            </w:r>
          </w:p>
        </w:tc>
      </w:tr>
      <w:tr w14:paraId="6CEAD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0E89C88">
            <w:pPr>
              <w:ind w:firstLine="560"/>
            </w:pPr>
            <w:r>
              <w:rPr>
                <w:rFonts w:hint="eastAsia"/>
              </w:rPr>
              <w:t>三、资金账户的管理</w:t>
            </w:r>
          </w:p>
        </w:tc>
      </w:tr>
      <w:tr w14:paraId="7AF3C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7B40E58">
            <w:pPr>
              <w:ind w:firstLine="560"/>
            </w:pPr>
            <w:r>
              <w:rPr>
                <w:rFonts w:hint="eastAsia"/>
              </w:rPr>
              <w:t>1、各施工单位应在监管小组提供的监管服务银行开设资金账户,用于工程款的来往结算业务,对项目建设资金进行专户管理。</w:t>
            </w:r>
          </w:p>
          <w:p w14:paraId="07BAEA8B">
            <w:pPr>
              <w:ind w:firstLine="560"/>
            </w:pPr>
            <w:r>
              <w:rPr>
                <w:rFonts w:hint="eastAsia"/>
              </w:rPr>
              <w:t>2、施工单位在银行开设账户后,由其财务部门报公司财务部备案。由财务部组织施工单位、银行签订“工程款使用三方监管协议书”,明确监管内容、监管方式、监管各方的权利和义务等。</w:t>
            </w:r>
          </w:p>
          <w:p w14:paraId="695BFDC5">
            <w:pPr>
              <w:ind w:firstLine="560"/>
            </w:pPr>
            <w:r>
              <w:rPr>
                <w:rFonts w:hint="eastAsia"/>
              </w:rPr>
              <w:t>3、未经核准、备案的帐户,公司不对其拨付资金。</w:t>
            </w:r>
          </w:p>
          <w:p w14:paraId="0F653D53">
            <w:pPr>
              <w:ind w:firstLine="560"/>
            </w:pPr>
            <w:r>
              <w:rPr>
                <w:rFonts w:hint="eastAsia"/>
              </w:rPr>
              <w:t>4、施工单位在帐户的开立和使用方面出现的争议,应及时报公司建设资金监管管理领导小组协调解决。</w:t>
            </w:r>
          </w:p>
          <w:p w14:paraId="3B03923B">
            <w:pPr>
              <w:ind w:firstLine="560"/>
            </w:pPr>
            <w:r>
              <w:rPr>
                <w:rFonts w:hint="eastAsia"/>
              </w:rPr>
              <w:t>5、开户银行应依法为施工单位帐户存款保密,但国家法律、法规规定的有权部门、国务院授权中国人民银行的监督项目和本办法及公司、主办银行与施工单位协议约定的除外,不得代任何单位和个人查询、冻结、扣划开户单位的帐户存款。</w:t>
            </w:r>
          </w:p>
        </w:tc>
      </w:tr>
      <w:tr w14:paraId="2D03B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7B22B5B">
            <w:pPr>
              <w:ind w:firstLine="560"/>
            </w:pPr>
            <w:r>
              <w:rPr>
                <w:rFonts w:hint="eastAsia"/>
              </w:rPr>
              <w:t>四、建设资金的使用和监管</w:t>
            </w:r>
          </w:p>
        </w:tc>
      </w:tr>
      <w:tr w14:paraId="442EB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3046CBA">
            <w:pPr>
              <w:ind w:firstLine="560"/>
            </w:pPr>
            <w:r>
              <w:rPr>
                <w:rFonts w:hint="eastAsia"/>
              </w:rPr>
              <w:t>1、施工单位专户资金属本项目建设专用资金,其帐户资金的使用必须用于本项目,主要使用类别有:项目人工费用、自购地方材料采购、日常办公费、设备购置、维修等费用。</w:t>
            </w:r>
          </w:p>
          <w:p w14:paraId="2A590894">
            <w:pPr>
              <w:ind w:firstLine="560"/>
            </w:pPr>
            <w:r>
              <w:rPr>
                <w:rFonts w:hint="eastAsia"/>
              </w:rPr>
              <w:t>2、施工单位应按工程进度合理使用工程款,优先支付农民工工资。施工单位每次收到工程款时应留足不低于20%的农民工专项资金,专门用于农民工工资的拨付与支付。</w:t>
            </w:r>
          </w:p>
          <w:p w14:paraId="42C5B59A">
            <w:pPr>
              <w:ind w:firstLine="560"/>
            </w:pPr>
            <w:r>
              <w:rPr>
                <w:rFonts w:hint="eastAsia"/>
              </w:rPr>
              <w:t>施工单位申请支用农民工专项资金时,要提交劳务合同及结算凭据,并督促劳务方按时兑现农民工工资,有条件的可实行直接发放。</w:t>
            </w:r>
          </w:p>
          <w:p w14:paraId="0F821739">
            <w:pPr>
              <w:ind w:firstLine="560"/>
            </w:pPr>
            <w:r>
              <w:rPr>
                <w:rFonts w:hint="eastAsia"/>
              </w:rPr>
              <w:t>3、施工单位必须按月25日前向财务部提报《工程款使用计划申请表》(一式三份),申请表应附:有关结算凭证、收款单位信息以及经监理工程师签认的经济凭证等资料,分项列明资金用途和金额,经监管小组组长审批、财务部审核后,送指定银行一份,财务部留存一份,返回施工单位一份,据此作为支付审核的依据。不按时提报申请表的,公司不予拨付资金。</w:t>
            </w:r>
          </w:p>
          <w:p w14:paraId="577E1D98">
            <w:pPr>
              <w:ind w:firstLine="560"/>
            </w:pPr>
            <w:r>
              <w:rPr>
                <w:rFonts w:hint="eastAsia"/>
              </w:rPr>
              <w:t>各施工单位必须在工程款月使用计划中单列农民工工资支付额及明细表。</w:t>
            </w:r>
          </w:p>
          <w:p w14:paraId="60B1D56C">
            <w:pPr>
              <w:ind w:firstLine="560"/>
            </w:pPr>
            <w:r>
              <w:rPr>
                <w:rFonts w:hint="eastAsia"/>
              </w:rPr>
              <w:t>4、施工单位使用工程款时,对支付款项所提交的凭据材料的真实性负责,如有不实,施工单位自行承担所有责任。</w:t>
            </w:r>
          </w:p>
          <w:p w14:paraId="40DF416D">
            <w:pPr>
              <w:ind w:firstLine="560"/>
            </w:pPr>
            <w:r>
              <w:rPr>
                <w:rFonts w:hint="eastAsia"/>
              </w:rPr>
              <w:t>5、施工单位应及时支付:</w:t>
            </w:r>
          </w:p>
          <w:p w14:paraId="040150A7">
            <w:pPr>
              <w:ind w:firstLine="560"/>
            </w:pPr>
            <w:r>
              <w:rPr>
                <w:rFonts w:hint="eastAsia"/>
              </w:rPr>
              <w:t>①自购地方材料、设备款和民工工资;</w:t>
            </w:r>
          </w:p>
          <w:p w14:paraId="355723CE">
            <w:pPr>
              <w:ind w:firstLine="560"/>
            </w:pPr>
            <w:r>
              <w:rPr>
                <w:rFonts w:hint="eastAsia"/>
              </w:rPr>
              <w:t>②凡未及时支付上述款项,公司将在当期工程结算款拨付时预扣50%工程结算款,待上述款项付清后,再返还预扣的工程款。</w:t>
            </w:r>
          </w:p>
          <w:p w14:paraId="6CE0AF8F">
            <w:pPr>
              <w:ind w:firstLine="560"/>
            </w:pPr>
            <w:r>
              <w:rPr>
                <w:rFonts w:hint="eastAsia"/>
              </w:rPr>
              <w:t>6、财务部预付工程款时,应当确认工程施工合同及设备、材料采购合同已经签订,施工、供货单位按招标文件或合同约定提交银行预付款保函或相应履约保证金后,按照合同规定条款进行支付。凡是没有签订合同或不具备施工条件的工程,不得预付工程款。</w:t>
            </w:r>
          </w:p>
          <w:p w14:paraId="10137E7B">
            <w:pPr>
              <w:ind w:firstLine="560"/>
            </w:pPr>
            <w:r>
              <w:rPr>
                <w:rFonts w:hint="eastAsia"/>
              </w:rPr>
              <w:t>7、公司将定期对施工单位遵守帐户管理规定、资金使用等情况进行检查。监管服务银行和施工单位设置专人配合公司进行专项检查,并按要求提交相关证明材料(如支付凭证、资金流水等)。</w:t>
            </w:r>
          </w:p>
        </w:tc>
      </w:tr>
      <w:tr w14:paraId="506FE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6D7D259">
            <w:pPr>
              <w:ind w:firstLine="560"/>
            </w:pPr>
            <w:r>
              <w:rPr>
                <w:rFonts w:hint="eastAsia"/>
              </w:rPr>
              <w:t>五、责任追究</w:t>
            </w:r>
          </w:p>
        </w:tc>
      </w:tr>
      <w:tr w14:paraId="196CE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2DC57CB">
            <w:pPr>
              <w:ind w:firstLine="560"/>
            </w:pPr>
            <w:r>
              <w:rPr>
                <w:rFonts w:hint="eastAsia"/>
              </w:rPr>
              <w:t>1、单位违反本办法规定,将停止拨付工程款,责令限期整改。</w:t>
            </w:r>
          </w:p>
          <w:p w14:paraId="7BD32498">
            <w:pPr>
              <w:ind w:firstLine="560"/>
            </w:pPr>
            <w:r>
              <w:rPr>
                <w:rFonts w:hint="eastAsia"/>
              </w:rPr>
              <w:t>施工单位发生民工工资讨薪群体性事件的施工单位,自事件发生之日的下一月起,民工资专户的最低留存比例提高到50%指定银行不按上述程序执行,监管小组将另行指定银行。</w:t>
            </w:r>
          </w:p>
          <w:p w14:paraId="35ADF7E4">
            <w:pPr>
              <w:ind w:firstLine="560"/>
            </w:pPr>
            <w:r>
              <w:rPr>
                <w:rFonts w:hint="eastAsia"/>
              </w:rPr>
              <w:t>公司财务部有下列情形之一的,对财务部及相关人员追究责任:</w:t>
            </w:r>
          </w:p>
          <w:p w14:paraId="2BA22912">
            <w:pPr>
              <w:ind w:firstLine="560"/>
            </w:pPr>
            <w:r>
              <w:rPr>
                <w:rFonts w:hint="eastAsia"/>
              </w:rPr>
              <w:t>1）无预算或超预算办理资金支付的;</w:t>
            </w:r>
          </w:p>
          <w:p w14:paraId="29167E25">
            <w:pPr>
              <w:ind w:firstLine="560"/>
            </w:pPr>
            <w:r>
              <w:rPr>
                <w:rFonts w:hint="eastAsia"/>
              </w:rPr>
              <w:t>2）施工单位大额资金审批不严,造成建设资金被挪用的。</w:t>
            </w:r>
          </w:p>
          <w:p w14:paraId="3C1F4BCF">
            <w:pPr>
              <w:ind w:firstLine="560"/>
            </w:pPr>
            <w:r>
              <w:rPr>
                <w:rFonts w:hint="eastAsia"/>
              </w:rPr>
              <w:t>2、相关部门有下列情形之一的,对责任部门及相关人员追究责任:</w:t>
            </w:r>
          </w:p>
          <w:p w14:paraId="7E3F0833">
            <w:pPr>
              <w:ind w:firstLine="560"/>
            </w:pPr>
            <w:r>
              <w:rPr>
                <w:rFonts w:hint="eastAsia"/>
              </w:rPr>
              <w:t>1）未按程序办理或未认真审核批复工程验工计价,造成高估冒验、预验、虚验的;</w:t>
            </w:r>
          </w:p>
          <w:p w14:paraId="1FBF90B2">
            <w:pPr>
              <w:ind w:firstLine="560"/>
            </w:pPr>
            <w:r>
              <w:rPr>
                <w:rFonts w:hint="eastAsia"/>
              </w:rPr>
              <w:t>2）违反基建管理程序,擅自改变建设内容、提高建设标准,导致建设资金流失的;</w:t>
            </w:r>
          </w:p>
          <w:p w14:paraId="61C04866">
            <w:pPr>
              <w:ind w:firstLine="560"/>
            </w:pPr>
            <w:r>
              <w:rPr>
                <w:rFonts w:hint="eastAsia"/>
              </w:rPr>
              <w:t>3）认真对质保期满的工程项目进行审核认定,办理质量保证金返还后发现仍存在质量问题的。</w:t>
            </w:r>
          </w:p>
          <w:p w14:paraId="0262F07F">
            <w:pPr>
              <w:ind w:firstLine="560"/>
            </w:pPr>
            <w:r>
              <w:rPr>
                <w:rFonts w:hint="eastAsia"/>
              </w:rPr>
              <w:t>3、本规定所列违规事项的,按公司有关规定追究相关单位和人员责任。</w:t>
            </w:r>
          </w:p>
        </w:tc>
      </w:tr>
    </w:tbl>
    <w:p w14:paraId="3F51AC85">
      <w:pPr>
        <w:pStyle w:val="4"/>
        <w:spacing w:before="93" w:after="31"/>
      </w:pPr>
      <w:bookmarkStart w:id="10894" w:name="_Toc11865"/>
      <w:bookmarkStart w:id="10895" w:name="_Toc20766"/>
      <w:bookmarkStart w:id="10896" w:name="_Toc17069"/>
      <w:bookmarkStart w:id="10897" w:name="_Toc18467"/>
      <w:r>
        <w:rPr>
          <w:rFonts w:hint="eastAsia"/>
        </w:rPr>
        <w:t>三、物资</w:t>
      </w:r>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r>
        <w:rPr>
          <w:rFonts w:hint="eastAsia"/>
        </w:rPr>
        <w:t>力量支持</w:t>
      </w:r>
      <w:bookmarkEnd w:id="10894"/>
      <w:bookmarkEnd w:id="10895"/>
      <w:bookmarkEnd w:id="10896"/>
      <w:bookmarkEnd w:id="10897"/>
    </w:p>
    <w:p w14:paraId="63AA0227">
      <w:pPr>
        <w:bidi w:val="0"/>
      </w:pPr>
      <w:r>
        <w:t>材料供应范围：单项工程设计文件中规定的工程建设材料（如管材、阀门、水表、二次供水设备及其他配件等材料）由招标人提供，水泥、黄沙、砌块、麻丝、生料带、双导铝箔胶 带等经招标方同意的部分辅助施工材料由中标人提供，其质量应符合国家的有关规定和招标人的要求。</w:t>
      </w:r>
    </w:p>
    <w:p w14:paraId="1820AA60">
      <w:pPr>
        <w:bidi w:val="0"/>
      </w:pPr>
      <w:bookmarkStart w:id="10898" w:name="_Toc4922"/>
      <w:bookmarkStart w:id="10899" w:name="_Toc17908"/>
      <w:bookmarkStart w:id="10900" w:name="_Toc21569"/>
      <w:bookmarkStart w:id="10901" w:name="_Toc3511"/>
      <w:bookmarkStart w:id="10902" w:name="_Toc7089"/>
      <w:bookmarkStart w:id="10903" w:name="_Toc7897"/>
      <w:bookmarkStart w:id="10904" w:name="_Toc32613"/>
      <w:bookmarkStart w:id="10905" w:name="_Toc525"/>
      <w:bookmarkStart w:id="10906" w:name="_Toc7676"/>
      <w:bookmarkStart w:id="10907" w:name="_Toc25016"/>
      <w:bookmarkStart w:id="10908" w:name="_Toc17585"/>
      <w:bookmarkStart w:id="10909" w:name="_Toc18899"/>
      <w:bookmarkStart w:id="10910" w:name="_Toc18803"/>
      <w:bookmarkStart w:id="10911" w:name="_Toc15849"/>
      <w:bookmarkStart w:id="10912" w:name="_Toc27395"/>
      <w:bookmarkStart w:id="10913" w:name="_Toc10116"/>
      <w:bookmarkStart w:id="10914" w:name="_Toc7687"/>
      <w:bookmarkStart w:id="10915" w:name="_Toc7646"/>
      <w:bookmarkStart w:id="10916" w:name="_Toc18134"/>
      <w:bookmarkStart w:id="10917" w:name="_Toc14527"/>
      <w:bookmarkStart w:id="10918" w:name="_Toc15308"/>
      <w:bookmarkStart w:id="10919" w:name="_Toc30995"/>
      <w:bookmarkStart w:id="10920" w:name="_Toc23910"/>
      <w:bookmarkStart w:id="10921" w:name="_Toc19007"/>
      <w:bookmarkStart w:id="10922" w:name="_Toc5381"/>
      <w:bookmarkStart w:id="10923" w:name="_Toc3484"/>
      <w:bookmarkStart w:id="10924" w:name="_Toc3612"/>
      <w:bookmarkStart w:id="10925" w:name="_Toc20435"/>
      <w:bookmarkStart w:id="10926" w:name="_Toc23055"/>
      <w:bookmarkStart w:id="10927" w:name="_Toc576"/>
      <w:bookmarkStart w:id="10928" w:name="_Toc9611"/>
      <w:bookmarkStart w:id="10929" w:name="_Toc30558"/>
      <w:bookmarkStart w:id="10930" w:name="_Toc9063"/>
      <w:bookmarkStart w:id="10931" w:name="_Toc8141"/>
      <w:bookmarkStart w:id="10932" w:name="_Toc16701"/>
      <w:bookmarkStart w:id="10933" w:name="_Toc19318"/>
      <w:bookmarkStart w:id="10934" w:name="_Toc30735"/>
      <w:bookmarkStart w:id="10935" w:name="_Toc19503"/>
      <w:bookmarkStart w:id="10936" w:name="_Toc15352"/>
      <w:bookmarkStart w:id="10937" w:name="_Toc23924"/>
      <w:bookmarkStart w:id="10938" w:name="_Toc29063"/>
      <w:bookmarkStart w:id="10939" w:name="_Toc15766"/>
      <w:bookmarkStart w:id="10940" w:name="_Toc23655"/>
      <w:bookmarkStart w:id="10941" w:name="_Toc23369"/>
      <w:bookmarkStart w:id="10942" w:name="_Toc29717"/>
      <w:bookmarkStart w:id="10943" w:name="_Toc22500"/>
      <w:bookmarkStart w:id="10944" w:name="_Toc4120"/>
      <w:bookmarkStart w:id="10945" w:name="_Toc4441"/>
      <w:bookmarkStart w:id="10946" w:name="_Toc26777"/>
      <w:bookmarkStart w:id="10947" w:name="_Toc5396"/>
      <w:bookmarkStart w:id="10948" w:name="_Toc19843"/>
      <w:bookmarkStart w:id="10949" w:name="_Toc28871"/>
      <w:bookmarkStart w:id="10950" w:name="_Toc6792"/>
      <w:bookmarkStart w:id="10951" w:name="_Toc4566"/>
      <w:r>
        <w:rPr>
          <w:rFonts w:hint="eastAsia"/>
        </w:rPr>
        <w:t>（一）甲供材管理专项方案</w:t>
      </w:r>
      <w:bookmarkEnd w:id="10898"/>
      <w:bookmarkEnd w:id="10899"/>
      <w:bookmarkEnd w:id="10900"/>
      <w:bookmarkEnd w:id="10901"/>
      <w:bookmarkEnd w:id="10902"/>
      <w:bookmarkEnd w:id="10903"/>
      <w:bookmarkEnd w:id="10904"/>
    </w:p>
    <w:p w14:paraId="3F5EC024">
      <w:pPr>
        <w:ind w:firstLine="560"/>
      </w:pPr>
      <w:bookmarkStart w:id="10952" w:name="_Toc18429"/>
      <w:bookmarkStart w:id="10953" w:name="_Toc872"/>
      <w:bookmarkStart w:id="10954" w:name="_Toc15785"/>
      <w:bookmarkStart w:id="10955" w:name="_Toc25957"/>
      <w:bookmarkStart w:id="10956" w:name="_Toc25906"/>
      <w:r>
        <w:rPr>
          <w:rFonts w:hint="eastAsia"/>
        </w:rPr>
        <w:t>（一）</w:t>
      </w:r>
      <w:r>
        <w:t>甲供材供货计划</w:t>
      </w:r>
      <w:bookmarkEnd w:id="10952"/>
      <w:bookmarkEnd w:id="10953"/>
      <w:bookmarkEnd w:id="10954"/>
      <w:bookmarkEnd w:id="10955"/>
      <w:bookmarkEnd w:id="10956"/>
    </w:p>
    <w:p w14:paraId="464C7DBC">
      <w:pPr>
        <w:ind w:firstLine="560"/>
      </w:pPr>
      <w:r>
        <w:rPr>
          <w:rFonts w:hint="eastAsia"/>
        </w:rPr>
        <w:t>1.</w:t>
      </w:r>
      <w:r>
        <w:t>我司根据项目发展计划及甲供材供货周期，提前向发包人成本管理部申报甲供材需求计划，计划到货时间精确程度不得超过十天。</w:t>
      </w:r>
    </w:p>
    <w:p w14:paraId="5F6A012F">
      <w:pPr>
        <w:ind w:firstLine="560"/>
      </w:pPr>
      <w:r>
        <w:rPr>
          <w:rFonts w:hint="eastAsia"/>
        </w:rPr>
        <w:t>2.</w:t>
      </w:r>
      <w:r>
        <w:t>甲供材需求计划申报形式采用《甲供材申请表》，《甲供材申请表》由我司项目经理签发、发包人项目工程负责人审核后报发包人成本部。</w:t>
      </w:r>
    </w:p>
    <w:p w14:paraId="1EE47904">
      <w:pPr>
        <w:ind w:firstLine="560"/>
      </w:pPr>
      <w:r>
        <w:rPr>
          <w:rFonts w:hint="eastAsia"/>
        </w:rPr>
        <w:t>3.</w:t>
      </w:r>
      <w:r>
        <w:t>发包人成本部根据我司提交的甲供材需求计划，与供应商洽商或修订甲供材供应计划，并将最终确定的《甲供材申请表》发给供应商要求其按时供货，并同时通知书面通知我司。</w:t>
      </w:r>
    </w:p>
    <w:p w14:paraId="38E6E0F2">
      <w:pPr>
        <w:ind w:firstLine="560"/>
      </w:pPr>
      <w:r>
        <w:rPr>
          <w:rFonts w:hint="eastAsia"/>
        </w:rPr>
        <w:t>4.</w:t>
      </w:r>
      <w:r>
        <w:t>我司对其申报的甲供材需求计划的准确性负责。因数量不准确造成甲供材过剩的，发包人不负责剩余甲供材退货；造成甲供材供应不足的，我司可继续申报甲供材需求计划，但因甲供材供应延迟导致工期延误的责任由我司承担。</w:t>
      </w:r>
    </w:p>
    <w:p w14:paraId="2B13DD63">
      <w:pPr>
        <w:ind w:firstLine="560"/>
      </w:pPr>
      <w:bookmarkStart w:id="10957" w:name="_Toc19216"/>
      <w:bookmarkStart w:id="10958" w:name="_Toc25632"/>
      <w:bookmarkStart w:id="10959" w:name="_Toc26954"/>
      <w:bookmarkStart w:id="10960" w:name="_Toc21809"/>
      <w:bookmarkStart w:id="10961" w:name="_Toc11766"/>
      <w:bookmarkStart w:id="10962" w:name="_Toc8355"/>
      <w:bookmarkStart w:id="10963" w:name="_Toc17"/>
      <w:r>
        <w:rPr>
          <w:rFonts w:hint="eastAsia"/>
        </w:rPr>
        <w:t>（二）</w:t>
      </w:r>
      <w:r>
        <w:t>到货准备</w:t>
      </w:r>
      <w:bookmarkEnd w:id="10957"/>
      <w:bookmarkEnd w:id="10958"/>
      <w:bookmarkEnd w:id="10959"/>
      <w:bookmarkEnd w:id="10960"/>
      <w:bookmarkEnd w:id="10961"/>
      <w:bookmarkEnd w:id="10962"/>
      <w:bookmarkEnd w:id="10963"/>
    </w:p>
    <w:p w14:paraId="0FF37877">
      <w:pPr>
        <w:ind w:firstLine="560"/>
      </w:pPr>
      <w:r>
        <w:rPr>
          <w:rFonts w:hint="eastAsia"/>
        </w:rPr>
        <w:t>1.</w:t>
      </w:r>
      <w:r>
        <w:t>在各类甲供材供货前，发包人成本部将在适当时间将甲供材的供货周期及验收标准等事项书面告知我司，并要求我司提供甲供材接收人员姓名、职务、联系方式、签名式样及我司项目部印章式样，我司应配合完成。</w:t>
      </w:r>
    </w:p>
    <w:p w14:paraId="1486D550">
      <w:pPr>
        <w:ind w:firstLine="560"/>
      </w:pPr>
      <w:r>
        <w:rPr>
          <w:rFonts w:hint="eastAsia"/>
        </w:rPr>
        <w:t>2.</w:t>
      </w:r>
      <w:r>
        <w:t>首批甲供材到货前一周，我司应准备好仓储场所。发包人及供应商将现场查看仓储的位置和条件。对仓储条件有特殊要求的，我司应配合完成。</w:t>
      </w:r>
    </w:p>
    <w:p w14:paraId="4BA1BCD2">
      <w:pPr>
        <w:ind w:firstLine="560"/>
      </w:pPr>
      <w:r>
        <w:rPr>
          <w:rFonts w:hint="eastAsia"/>
        </w:rPr>
        <w:t>3.</w:t>
      </w:r>
      <w:r>
        <w:t>在每次甲供材到货前，我司应先行确定好运输车辆停靠地点，并告知发包人项目部及供应商。</w:t>
      </w:r>
    </w:p>
    <w:p w14:paraId="4356A08C">
      <w:pPr>
        <w:ind w:firstLine="560"/>
      </w:pPr>
      <w:bookmarkStart w:id="10964" w:name="_Toc22462"/>
      <w:bookmarkStart w:id="10965" w:name="_Toc25943"/>
      <w:bookmarkStart w:id="10966" w:name="_Toc1916"/>
      <w:bookmarkStart w:id="10967" w:name="_Toc3995"/>
      <w:bookmarkStart w:id="10968" w:name="_Toc26585"/>
      <w:r>
        <w:rPr>
          <w:rFonts w:hint="eastAsia"/>
        </w:rPr>
        <w:t>（三）</w:t>
      </w:r>
      <w:r>
        <w:t>甲供材看管</w:t>
      </w:r>
      <w:bookmarkEnd w:id="10964"/>
      <w:bookmarkEnd w:id="10965"/>
      <w:bookmarkEnd w:id="10966"/>
      <w:bookmarkEnd w:id="10967"/>
      <w:bookmarkEnd w:id="10968"/>
    </w:p>
    <w:p w14:paraId="214EC8F0">
      <w:pPr>
        <w:ind w:firstLine="560"/>
      </w:pPr>
      <w:r>
        <w:t>我司对其使用的甲供材负有存储、保管、看管、采取措施以防恶劣天气及自然条件对甲供材造成损害的义务。因未尽义务造成甲供材丢失、损坏的，我司承担赔偿责任。使用机电设备的我司，应负责将设备从堆放地点搬运至安装地点。</w:t>
      </w:r>
    </w:p>
    <w:p w14:paraId="47F696CF">
      <w:pPr>
        <w:ind w:firstLine="560"/>
      </w:pPr>
      <w:bookmarkStart w:id="10969" w:name="_Toc30977"/>
      <w:bookmarkStart w:id="10970" w:name="_Toc8371"/>
      <w:bookmarkStart w:id="10971" w:name="_Toc21878"/>
      <w:bookmarkStart w:id="10972" w:name="_Toc4118"/>
      <w:bookmarkStart w:id="10973" w:name="_Toc3351"/>
      <w:r>
        <w:rPr>
          <w:rFonts w:hint="eastAsia"/>
        </w:rPr>
        <w:t>（四）</w:t>
      </w:r>
      <w:r>
        <w:t>验收、接收</w:t>
      </w:r>
      <w:bookmarkEnd w:id="10969"/>
      <w:bookmarkEnd w:id="10970"/>
      <w:bookmarkEnd w:id="10971"/>
      <w:bookmarkEnd w:id="10972"/>
      <w:bookmarkEnd w:id="10973"/>
    </w:p>
    <w:p w14:paraId="4E5CD461">
      <w:pPr>
        <w:ind w:firstLine="560"/>
      </w:pPr>
      <w:r>
        <w:rPr>
          <w:rFonts w:hint="eastAsia"/>
        </w:rPr>
        <w:t>1.</w:t>
      </w:r>
      <w:r>
        <w:t>所有到货甲供材均应由发包人项目工程部、监理和我司共同验收。首批到货甲供材发包人将介绍甲供材的技术要求、验收方法和标准，但该等介绍只是简单的描述，并不能免除我司的任何责任及义务。</w:t>
      </w:r>
    </w:p>
    <w:p w14:paraId="7B546060">
      <w:pPr>
        <w:ind w:firstLine="560"/>
      </w:pPr>
      <w:r>
        <w:rPr>
          <w:rFonts w:hint="eastAsia"/>
        </w:rPr>
        <w:t>2.</w:t>
      </w:r>
      <w:r>
        <w:t>甲供材验收检查包装是否完整、包装所示的甲供材外观特征与采购要求是否相符、包装如有损坏是否影响甲供材的完整等，此外清点本批甲供材数量。甲供材的质量在开始使用时验证。</w:t>
      </w:r>
    </w:p>
    <w:p w14:paraId="04D26CD6">
      <w:pPr>
        <w:ind w:firstLine="560"/>
      </w:pPr>
      <w:r>
        <w:rPr>
          <w:rFonts w:hint="eastAsia"/>
        </w:rPr>
        <w:t>3.</w:t>
      </w:r>
      <w:r>
        <w:t>我司负有对甲供材质量的检查责任。我司在开箱（封）启用甲供材时，若发现下述现象，应暂停使用甲供材，并立即报告发包人项目工程部及成本部：</w:t>
      </w:r>
    </w:p>
    <w:p w14:paraId="2B336E62">
      <w:pPr>
        <w:ind w:firstLine="560"/>
      </w:pPr>
      <w:r>
        <w:rPr>
          <w:rFonts w:hint="eastAsia"/>
        </w:rPr>
        <w:t>（1）</w:t>
      </w:r>
      <w:r>
        <w:t>甲供材质量存有疑问；</w:t>
      </w:r>
    </w:p>
    <w:p w14:paraId="039FD5CF">
      <w:pPr>
        <w:ind w:firstLine="560"/>
      </w:pPr>
      <w:r>
        <w:rPr>
          <w:rFonts w:hint="eastAsia"/>
        </w:rPr>
        <w:t>（2）</w:t>
      </w:r>
      <w:r>
        <w:t>甲供材的品牌、规格、系列、颜色等与合同或样板不符；</w:t>
      </w:r>
    </w:p>
    <w:p w14:paraId="7849A317">
      <w:pPr>
        <w:ind w:firstLine="560"/>
      </w:pPr>
      <w:r>
        <w:rPr>
          <w:rFonts w:hint="eastAsia"/>
        </w:rPr>
        <w:t>（3）</w:t>
      </w:r>
      <w:r>
        <w:t>箱内甲供材实际数量少于包装所示数量；</w:t>
      </w:r>
    </w:p>
    <w:p w14:paraId="11A3BCD3">
      <w:pPr>
        <w:ind w:firstLine="560"/>
      </w:pPr>
      <w:r>
        <w:rPr>
          <w:rFonts w:hint="eastAsia"/>
        </w:rPr>
        <w:t>（4）</w:t>
      </w:r>
      <w:r>
        <w:t>缺少附件、配件。</w:t>
      </w:r>
    </w:p>
    <w:p w14:paraId="297E633C">
      <w:pPr>
        <w:ind w:firstLine="560"/>
      </w:pPr>
      <w:r>
        <w:rPr>
          <w:rFonts w:hint="eastAsia"/>
        </w:rPr>
        <w:t>4.</w:t>
      </w:r>
      <w:r>
        <w:t>发包人项目成本部收到上述报告后，应及时给予解答或亲赴工地检查。反映现象属实的，由发包人向供应商交涉。如整批甲供材均存在上述情况之一或数种的，则我司暂停使用该批甲供材，造成工期延误的，由供应商承担责任，我司不负责任。如部分甲供材存在上述现象之一或数种的，我司应先行使用合格甲供材，以尽量减少对工期的影响。</w:t>
      </w:r>
    </w:p>
    <w:p w14:paraId="14E33354">
      <w:pPr>
        <w:ind w:firstLine="560"/>
      </w:pPr>
      <w:r>
        <w:rPr>
          <w:rFonts w:hint="eastAsia"/>
        </w:rPr>
        <w:t>5.</w:t>
      </w:r>
      <w:r>
        <w:t>我司在开箱（封）后，如未作基本检查即大量使用，之后发现甲供材存在现象且经证实的，则我司应承担该批甲供材因不能退货可能造成的损失及可能的返工工期和经济损失。如甲供材存在潜在的质量缺陷，难以通过基本检查发现的，我司对使用该甲供材可能造成的损失不负责任。</w:t>
      </w:r>
    </w:p>
    <w:p w14:paraId="229AC286">
      <w:pPr>
        <w:ind w:firstLine="560"/>
      </w:pPr>
      <w:r>
        <w:rPr>
          <w:rFonts w:hint="eastAsia"/>
        </w:rPr>
        <w:t>6.</w:t>
      </w:r>
      <w:r>
        <w:t>我司于开箱（封）时箱内甲供材已经损坏的，应立即报告发包人项目工程部及成本部，待发包人会同供应商鉴定责任。</w:t>
      </w:r>
    </w:p>
    <w:p w14:paraId="457FD341">
      <w:pPr>
        <w:ind w:firstLine="560"/>
      </w:pPr>
      <w:r>
        <w:rPr>
          <w:rFonts w:hint="eastAsia"/>
        </w:rPr>
        <w:t>7.</w:t>
      </w:r>
      <w:r>
        <w:t>甲供材通过验收后，即视为发包人已将甲供材交付我司使用。我司接收人员应向供应商签署甲供材验收、接收凭据。供应商、我司、发包人项目工程负责人共同签署《甲供材初步验收表》。</w:t>
      </w:r>
    </w:p>
    <w:p w14:paraId="7F8E95A1">
      <w:pPr>
        <w:ind w:firstLine="560"/>
      </w:pPr>
      <w:r>
        <w:rPr>
          <w:rFonts w:hint="eastAsia"/>
        </w:rPr>
        <w:t>8.</w:t>
      </w:r>
      <w:r>
        <w:t>我司应先行收集整理技术资料，在竣工后或交付业主使用时编制竣工资料或将原始资料移交业主。供应商须凭经签署的验收、接收凭据向发包人申请货款。我司应自存一份验收、接收凭据，以备与发包人及供应商结算甲供材数量。</w:t>
      </w:r>
    </w:p>
    <w:p w14:paraId="20ECC4C5">
      <w:pPr>
        <w:ind w:firstLine="560"/>
      </w:pPr>
      <w:bookmarkStart w:id="10974" w:name="_Toc6246"/>
      <w:bookmarkStart w:id="10975" w:name="_Toc29621"/>
      <w:bookmarkStart w:id="10976" w:name="_Toc15980"/>
      <w:bookmarkStart w:id="10977" w:name="_Toc20748"/>
      <w:bookmarkStart w:id="10978" w:name="_Toc9306"/>
      <w:bookmarkStart w:id="10979" w:name="_Toc2088"/>
      <w:bookmarkStart w:id="10980" w:name="_Toc25953"/>
      <w:r>
        <w:rPr>
          <w:rFonts w:hint="eastAsia"/>
        </w:rPr>
        <w:t>（五）</w:t>
      </w:r>
      <w:r>
        <w:t>甲供材使用</w:t>
      </w:r>
      <w:bookmarkEnd w:id="10974"/>
      <w:bookmarkEnd w:id="10975"/>
      <w:bookmarkEnd w:id="10976"/>
      <w:bookmarkEnd w:id="10977"/>
      <w:bookmarkEnd w:id="10978"/>
      <w:bookmarkEnd w:id="10979"/>
      <w:bookmarkEnd w:id="10980"/>
    </w:p>
    <w:p w14:paraId="21FD46B4">
      <w:pPr>
        <w:ind w:firstLine="560"/>
      </w:pPr>
      <w:r>
        <w:rPr>
          <w:rFonts w:hint="eastAsia"/>
        </w:rPr>
        <w:t>1.</w:t>
      </w:r>
      <w:r>
        <w:t>发包人根据工程合同向我司提供的甲供材仅供我司在合同约定的工程范围内使用，未经发包人成本部同意，我司擅自提供给其他我司或发包人相关单位、个人使用的甲供材将不被认可，发包人按该我司实际接收的甲供材数量计算货物价值，并抵扣工程款，抵扣款的数值按照合同约定的超供扣款方式执行。</w:t>
      </w:r>
    </w:p>
    <w:p w14:paraId="37D862A0">
      <w:pPr>
        <w:ind w:firstLine="560"/>
      </w:pPr>
      <w:r>
        <w:rPr>
          <w:rFonts w:hint="eastAsia"/>
        </w:rPr>
        <w:t>2.</w:t>
      </w:r>
      <w:r>
        <w:t>我司应小心使用甲供材。使用、安装需要技术指导的，由发包人安排供应商现场指导。因我司使用或操作不当造成甲供材损坏的，发包人不负责退换，损坏甲供材由我司承担责任。</w:t>
      </w:r>
    </w:p>
    <w:p w14:paraId="6C8B195B">
      <w:pPr>
        <w:ind w:firstLine="560"/>
      </w:pPr>
      <w:r>
        <w:rPr>
          <w:rFonts w:hint="eastAsia"/>
        </w:rPr>
        <w:t>3.</w:t>
      </w:r>
      <w:r>
        <w:t>经发包人成本部认可的退货，我司应与供应商办理签收、接收凭据。我司应在退货后5日历天内将供应商签收、接收甲供材的凭据报送发包人成本部，以便发包人与供应商结算货款，及与我司结算甲供材数量。我司如未能在规定的期限内将退货凭据报送发包人成本部，而在该期限届满后，发包人已与供应商办理完毕结算手续，造成退货款项难以收回的，我司承担责任。</w:t>
      </w:r>
    </w:p>
    <w:p w14:paraId="41A7999E">
      <w:pPr>
        <w:ind w:firstLine="560"/>
      </w:pPr>
      <w:r>
        <w:rPr>
          <w:rFonts w:hint="eastAsia"/>
        </w:rPr>
        <w:t>4.</w:t>
      </w:r>
      <w:r>
        <w:t>我司应对需退甲供材的包装完整性负责。因无包装、或包装损坏严重导致供应商拒收的，由我司承担责任。</w:t>
      </w:r>
    </w:p>
    <w:p w14:paraId="29E7FCA9">
      <w:pPr>
        <w:ind w:firstLine="560"/>
      </w:pPr>
      <w:bookmarkStart w:id="10981" w:name="_Toc4232"/>
      <w:bookmarkStart w:id="10982" w:name="_Toc1690"/>
      <w:bookmarkStart w:id="10983" w:name="_Toc4890"/>
      <w:bookmarkStart w:id="10984" w:name="_Toc12013"/>
      <w:bookmarkStart w:id="10985" w:name="_Toc1270"/>
      <w:bookmarkStart w:id="10986" w:name="_Toc29031"/>
      <w:r>
        <w:rPr>
          <w:rFonts w:hint="eastAsia"/>
        </w:rPr>
        <w:t>（六）</w:t>
      </w:r>
      <w:r>
        <w:t>甲供材节超管理</w:t>
      </w:r>
      <w:bookmarkEnd w:id="10981"/>
      <w:bookmarkEnd w:id="10982"/>
      <w:bookmarkEnd w:id="10983"/>
      <w:bookmarkEnd w:id="10984"/>
      <w:bookmarkEnd w:id="10985"/>
      <w:bookmarkEnd w:id="10986"/>
    </w:p>
    <w:p w14:paraId="70A2282C">
      <w:pPr>
        <w:ind w:firstLine="560"/>
      </w:pPr>
      <w:r>
        <w:rPr>
          <w:rFonts w:hint="eastAsia"/>
        </w:rPr>
        <w:t>1.</w:t>
      </w:r>
      <w:r>
        <w:t>发包人发出的设计变更/工程签证单将导致甲供材用量增减，我司应在收到计变更/工程签证单后5日历天内按合同文件约定的计算方法向发包人成本部提出甲供材应供量数量调整请示，否则延误责任由我司承担。</w:t>
      </w:r>
    </w:p>
    <w:p w14:paraId="661BABC7">
      <w:pPr>
        <w:ind w:firstLine="560"/>
      </w:pPr>
      <w:r>
        <w:rPr>
          <w:rFonts w:hint="eastAsia"/>
        </w:rPr>
        <w:t>2.</w:t>
      </w:r>
      <w:r>
        <w:t>供货过程中，若领用量超过调整后的应供量，即为超供。发包人有权从我司的任何一笔或多笔进度款中暂时预扣甲供材的超供扣款。</w:t>
      </w:r>
    </w:p>
    <w:p w14:paraId="37DE8B45">
      <w:pPr>
        <w:ind w:firstLine="560"/>
      </w:pPr>
      <w:r>
        <w:rPr>
          <w:rFonts w:hint="eastAsia"/>
        </w:rPr>
        <w:t>3.</w:t>
      </w:r>
      <w:r>
        <w:t>在合同结算时，经核算如确有甲供材超供的，超供部分的甲供材价款按发包人采购价加收20%管理费后作为甲供材超供扣款项从合同结算额中扣除。甲供材应领用量=（1+中标单位填报损耗率）*按施工蓝图计量甲供材量，甲供材超领量=甲供材实际领用量-甲供材应领用量，甲供材超量扣款额：甲供材超领量*甲供单价*（1+20%）。</w:t>
      </w:r>
    </w:p>
    <w:p w14:paraId="5D759416">
      <w:pPr>
        <w:ind w:firstLine="560"/>
      </w:pPr>
      <w:r>
        <w:rPr>
          <w:rFonts w:hint="eastAsia"/>
        </w:rPr>
        <w:t>4.</w:t>
      </w:r>
      <w:r>
        <w:t>甲供材节约应在完工结算时按合同文件约定的方法计算确认，对于明显超过正常范围的节约，发包人将保留一切与此项甲供材有关的索赔权利，并不限于保修期的约定。</w:t>
      </w:r>
    </w:p>
    <w:p w14:paraId="21392E98">
      <w:pPr>
        <w:ind w:firstLine="560"/>
      </w:pPr>
      <w:bookmarkStart w:id="10987" w:name="_Toc312"/>
      <w:bookmarkStart w:id="10988" w:name="_Toc25289"/>
      <w:bookmarkStart w:id="10989" w:name="_Toc1160"/>
      <w:bookmarkStart w:id="10990" w:name="_Toc8598"/>
      <w:bookmarkStart w:id="10991" w:name="_Toc30252"/>
      <w:bookmarkStart w:id="10992" w:name="_Toc30671"/>
      <w:r>
        <w:rPr>
          <w:rFonts w:hint="eastAsia"/>
        </w:rPr>
        <w:t>（七）</w:t>
      </w:r>
      <w:r>
        <w:t>甲供材数量结算</w:t>
      </w:r>
      <w:bookmarkEnd w:id="10987"/>
      <w:bookmarkEnd w:id="10988"/>
      <w:bookmarkEnd w:id="10989"/>
      <w:bookmarkEnd w:id="10990"/>
      <w:bookmarkEnd w:id="10991"/>
      <w:bookmarkEnd w:id="10992"/>
    </w:p>
    <w:p w14:paraId="7B20A34E">
      <w:pPr>
        <w:ind w:firstLine="560"/>
      </w:pPr>
      <w:r>
        <w:rPr>
          <w:rFonts w:hint="eastAsia"/>
        </w:rPr>
        <w:t>1.</w:t>
      </w:r>
      <w:r>
        <w:t>甲供材最后一批到货后，我司须在5日历天内将签署的所有验收、接收凭据报送发包人成本部，由发包人成本部分别与供应商和我司核对甲供材供应、领用数量。</w:t>
      </w:r>
    </w:p>
    <w:p w14:paraId="0D136A56">
      <w:pPr>
        <w:ind w:firstLine="560"/>
      </w:pPr>
      <w:r>
        <w:rPr>
          <w:rFonts w:hint="eastAsia"/>
        </w:rPr>
        <w:t>2.</w:t>
      </w:r>
      <w:r>
        <w:t>数量核对完成后，由发包人、我司及供应商三方会签甲供材合同结算确认表，并据此计算工程合同的甲供材节超数量。</w:t>
      </w:r>
    </w:p>
    <w:p w14:paraId="5FFA985D">
      <w:pPr>
        <w:pStyle w:val="5"/>
        <w:spacing w:before="31" w:after="31"/>
        <w:ind w:firstLine="562"/>
      </w:pPr>
      <w:bookmarkStart w:id="10993" w:name="_Toc18082"/>
      <w:bookmarkStart w:id="10994" w:name="_Toc3063"/>
      <w:bookmarkStart w:id="10995" w:name="_Toc18330"/>
      <w:bookmarkStart w:id="10996" w:name="_Toc30106"/>
      <w:bookmarkStart w:id="10997" w:name="_Toc21436"/>
      <w:bookmarkStart w:id="10998" w:name="_Toc11870"/>
      <w:r>
        <w:rPr>
          <w:rFonts w:hint="eastAsia"/>
        </w:rPr>
        <w:t>（二）甲供材管理制度</w:t>
      </w:r>
      <w:bookmarkEnd w:id="10993"/>
      <w:bookmarkEnd w:id="10994"/>
      <w:bookmarkEnd w:id="10995"/>
      <w:bookmarkEnd w:id="10996"/>
      <w:bookmarkEnd w:id="10997"/>
      <w:bookmarkEnd w:id="10998"/>
    </w:p>
    <w:p w14:paraId="2377AD78">
      <w:pPr>
        <w:ind w:firstLine="560"/>
      </w:pPr>
      <w:bookmarkStart w:id="10999" w:name="_Toc32566"/>
      <w:bookmarkStart w:id="11000" w:name="_Toc1731"/>
      <w:bookmarkStart w:id="11001" w:name="_Toc11401"/>
      <w:bookmarkStart w:id="11002" w:name="_Toc491"/>
      <w:bookmarkStart w:id="11003" w:name="_Toc9991"/>
      <w:bookmarkStart w:id="11004" w:name="_Toc31567"/>
      <w:r>
        <w:rPr>
          <w:rFonts w:hint="eastAsia"/>
        </w:rPr>
        <w:t>（一）</w:t>
      </w:r>
      <w:r>
        <w:t>采购计划</w:t>
      </w:r>
      <w:bookmarkEnd w:id="10999"/>
      <w:bookmarkEnd w:id="11000"/>
      <w:bookmarkEnd w:id="11001"/>
      <w:bookmarkEnd w:id="11002"/>
      <w:bookmarkEnd w:id="11003"/>
      <w:bookmarkEnd w:id="11004"/>
    </w:p>
    <w:p w14:paraId="44F02928">
      <w:pPr>
        <w:ind w:firstLine="560"/>
      </w:pPr>
      <w:r>
        <w:rPr>
          <w:rFonts w:hint="eastAsia"/>
        </w:rPr>
        <w:t>1.</w:t>
      </w:r>
      <w:r>
        <w:t>新开项目开工前，成本管理部编制《材料/设备需求总表》，甲供材、认质认价材料分开填写，交采购部，由采购部制定项目的材料设备采购计划。</w:t>
      </w:r>
    </w:p>
    <w:p w14:paraId="0C8E2E7F">
      <w:pPr>
        <w:ind w:firstLine="560"/>
      </w:pPr>
      <w:r>
        <w:rPr>
          <w:rFonts w:hint="eastAsia"/>
        </w:rPr>
        <w:t>2.</w:t>
      </w:r>
      <w:r>
        <w:t>在建项目应在每年年初采购部随工程年度计划编制完成下一年的采购计划，包括材料设备名称、规格、性能参数、数量、拟招标起止日期、计划进场时间等。</w:t>
      </w:r>
    </w:p>
    <w:p w14:paraId="7BC10416">
      <w:pPr>
        <w:ind w:firstLine="560"/>
      </w:pPr>
      <w:r>
        <w:rPr>
          <w:rFonts w:hint="eastAsia"/>
        </w:rPr>
        <w:t>3.</w:t>
      </w:r>
      <w:r>
        <w:t>实施中的工程项目的甲供材的进场计划由工程部根据与施工单位确认的施工进度计划提报：</w:t>
      </w:r>
    </w:p>
    <w:p w14:paraId="0EA18F3E">
      <w:pPr>
        <w:ind w:firstLine="560"/>
      </w:pPr>
      <w:r>
        <w:t>（1）一般材料提前30天提交；设备提前60天提交；</w:t>
      </w:r>
    </w:p>
    <w:p w14:paraId="37663E01">
      <w:pPr>
        <w:ind w:firstLine="560"/>
      </w:pPr>
      <w:r>
        <w:t>（2）需定制的材料设备、重大或集中采购的项目需适当提前。</w:t>
      </w:r>
    </w:p>
    <w:p w14:paraId="3F48BC16">
      <w:pPr>
        <w:ind w:firstLine="560"/>
      </w:pPr>
      <w:bookmarkStart w:id="11005" w:name="_Toc6247"/>
      <w:bookmarkStart w:id="11006" w:name="_Toc29837"/>
      <w:bookmarkStart w:id="11007" w:name="_Toc24866"/>
      <w:bookmarkStart w:id="11008" w:name="_Toc543"/>
      <w:bookmarkStart w:id="11009" w:name="_Toc5699"/>
      <w:bookmarkStart w:id="11010" w:name="_Toc16199"/>
      <w:r>
        <w:rPr>
          <w:rFonts w:hint="eastAsia"/>
        </w:rPr>
        <w:t>（二）</w:t>
      </w:r>
      <w:r>
        <w:t>甲供材执行程序</w:t>
      </w:r>
      <w:bookmarkEnd w:id="11005"/>
      <w:bookmarkEnd w:id="11006"/>
      <w:bookmarkEnd w:id="11007"/>
      <w:bookmarkEnd w:id="11008"/>
      <w:bookmarkEnd w:id="11009"/>
      <w:bookmarkEnd w:id="11010"/>
    </w:p>
    <w:p w14:paraId="6A91A8F8">
      <w:pPr>
        <w:ind w:firstLine="560"/>
      </w:pPr>
      <w:r>
        <w:rPr>
          <w:rFonts w:hint="eastAsia"/>
        </w:rPr>
        <w:t>1.</w:t>
      </w:r>
      <w:r>
        <w:t>施工单位依据施工合同、招标文件、工程量清单、施工图纸要求等，对需要的甲供材提出书面申请。</w:t>
      </w:r>
    </w:p>
    <w:p w14:paraId="148A7319">
      <w:pPr>
        <w:ind w:firstLine="560"/>
      </w:pPr>
      <w:r>
        <w:rPr>
          <w:rFonts w:hint="eastAsia"/>
        </w:rPr>
        <w:t>2.</w:t>
      </w:r>
      <w:r>
        <w:t>施工单位在规定时间内按要求填写《甲供材料/设备申请单》→监理单位审核→工程部（审核规格型号是否与图纸相符）→成本管理部（对申报数量进行审核）→总工办（审核技术参数、规格型号等是否符合要求）→采购部。</w:t>
      </w:r>
    </w:p>
    <w:p w14:paraId="021584C8">
      <w:pPr>
        <w:ind w:firstLine="560"/>
      </w:pPr>
      <w:r>
        <w:rPr>
          <w:rFonts w:hint="eastAsia"/>
        </w:rPr>
        <w:t>3.</w:t>
      </w:r>
      <w:r>
        <w:t>采购部按照《甲供材料/设备申请单》内容和金额确定采取招标方式或直接采购；已有合作协议的，采购部直接订货；需进行招标的，送招标办按公司招标程序执行。</w:t>
      </w:r>
    </w:p>
    <w:p w14:paraId="74BF5BE6">
      <w:pPr>
        <w:ind w:firstLine="560"/>
      </w:pPr>
      <w:r>
        <w:rPr>
          <w:rFonts w:hint="eastAsia"/>
        </w:rPr>
        <w:t>4.</w:t>
      </w:r>
      <w:r>
        <w:t>实施直接采购的，采购部通过询价方式将最终确定的价格填入《甲供材料设备采购审批表》，并附报价单及询价报告，报成本管理部、主管副总审核、分（子）公司总经理审批</w:t>
      </w:r>
      <w:r>
        <w:rPr>
          <w:rFonts w:hint="eastAsia"/>
        </w:rPr>
        <w:t>。</w:t>
      </w:r>
    </w:p>
    <w:p w14:paraId="15E92352">
      <w:pPr>
        <w:ind w:firstLine="560"/>
      </w:pPr>
      <w:r>
        <w:rPr>
          <w:rFonts w:hint="eastAsia"/>
        </w:rPr>
        <w:t>5.</w:t>
      </w:r>
      <w:r>
        <w:t>《甲供材料/设备申请单》包括内容：</w:t>
      </w:r>
    </w:p>
    <w:p w14:paraId="3C5FB091">
      <w:pPr>
        <w:ind w:firstLine="560"/>
      </w:pPr>
      <w:r>
        <w:rPr>
          <w:rFonts w:hint="eastAsia"/>
        </w:rPr>
        <w:t>（1）</w:t>
      </w:r>
      <w:r>
        <w:t>工程名称，使用部位、合同编号；</w:t>
      </w:r>
    </w:p>
    <w:p w14:paraId="5B8B8F6A">
      <w:pPr>
        <w:ind w:firstLine="560"/>
      </w:pPr>
      <w:r>
        <w:rPr>
          <w:rFonts w:hint="eastAsia"/>
        </w:rPr>
        <w:t>（2）</w:t>
      </w:r>
      <w:r>
        <w:t>施工单位、监理单位名称及主管签字，建设单位工程部主管工程师及总监/经理审核签字，成本管理部、总工办负责人审核签字；</w:t>
      </w:r>
    </w:p>
    <w:p w14:paraId="36D3215C">
      <w:pPr>
        <w:ind w:firstLine="560"/>
      </w:pPr>
      <w:r>
        <w:rPr>
          <w:rFonts w:hint="eastAsia"/>
        </w:rPr>
        <w:t>（3）</w:t>
      </w:r>
      <w:r>
        <w:t>材料设备的名称、规格型号、数量等；</w:t>
      </w:r>
    </w:p>
    <w:p w14:paraId="6BB8D05D">
      <w:pPr>
        <w:ind w:firstLine="560"/>
      </w:pPr>
      <w:r>
        <w:rPr>
          <w:rFonts w:hint="eastAsia"/>
        </w:rPr>
        <w:t>（4）</w:t>
      </w:r>
      <w:r>
        <w:t>申请时间、要求到货时间。</w:t>
      </w:r>
    </w:p>
    <w:p w14:paraId="4378CC6D">
      <w:pPr>
        <w:ind w:firstLine="560"/>
      </w:pPr>
      <w:r>
        <w:rPr>
          <w:rFonts w:hint="eastAsia"/>
        </w:rPr>
        <w:t>6.</w:t>
      </w:r>
      <w:r>
        <w:t>《甲供材料/设备采购审批表》应包含以下内容：</w:t>
      </w:r>
    </w:p>
    <w:p w14:paraId="13427335">
      <w:pPr>
        <w:ind w:firstLine="560"/>
      </w:pPr>
      <w:r>
        <w:t>（1）审批表编号；</w:t>
      </w:r>
    </w:p>
    <w:p w14:paraId="6640DBDE">
      <w:pPr>
        <w:ind w:firstLine="560"/>
      </w:pPr>
      <w:r>
        <w:t>（2）材料设备名称、规格型号、单位、数量、单价、合计等；</w:t>
      </w:r>
    </w:p>
    <w:p w14:paraId="2A4AF6C4">
      <w:pPr>
        <w:ind w:firstLine="560"/>
      </w:pPr>
      <w:r>
        <w:t>（3）采购部负责人、成本管理部负责人、总工办负责人、主管副总、分（子）公司总经理审核签字。</w:t>
      </w:r>
    </w:p>
    <w:p w14:paraId="24E3F325">
      <w:pPr>
        <w:ind w:firstLine="560"/>
      </w:pPr>
      <w:r>
        <w:rPr>
          <w:rFonts w:hint="eastAsia"/>
        </w:rPr>
        <w:t>7.</w:t>
      </w:r>
      <w:r>
        <w:t>甲供材工作的组织实施</w:t>
      </w:r>
    </w:p>
    <w:p w14:paraId="24AB4477">
      <w:pPr>
        <w:ind w:firstLine="560"/>
      </w:pPr>
      <w:r>
        <w:t>（1）招标方式</w:t>
      </w:r>
    </w:p>
    <w:p w14:paraId="029A389A">
      <w:pPr>
        <w:ind w:firstLine="560"/>
      </w:pPr>
      <w:r>
        <w:t>需要通过招标方式确定的材料、设备，招标办依照公司有关规定进行招标；</w:t>
      </w:r>
    </w:p>
    <w:p w14:paraId="66AC9C94">
      <w:pPr>
        <w:ind w:firstLine="560"/>
      </w:pPr>
      <w:r>
        <w:t>在公司合作伙伴信息库建立前公司各部门均可提供供应商、合作商信息；</w:t>
      </w:r>
    </w:p>
    <w:p w14:paraId="2AAE7600">
      <w:pPr>
        <w:ind w:firstLine="560"/>
      </w:pPr>
      <w:r>
        <w:t>采购部配合招标办进行招标。</w:t>
      </w:r>
    </w:p>
    <w:p w14:paraId="6BA8EBDF">
      <w:pPr>
        <w:ind w:firstLine="560"/>
      </w:pPr>
      <w:r>
        <w:rPr>
          <w:rFonts w:hint="eastAsia"/>
        </w:rPr>
        <w:t>（2）</w:t>
      </w:r>
      <w:r>
        <w:t>直接采购方式</w:t>
      </w:r>
    </w:p>
    <w:p w14:paraId="74EA32FD">
      <w:pPr>
        <w:ind w:firstLine="560"/>
      </w:pPr>
      <w:r>
        <w:t>可采取询价、议价方式确认；</w:t>
      </w:r>
    </w:p>
    <w:p w14:paraId="2D0C844B">
      <w:pPr>
        <w:ind w:firstLine="560"/>
      </w:pPr>
      <w:r>
        <w:t>询价单位不得少于3家，有关询价信息填入报价汇总表；</w:t>
      </w:r>
    </w:p>
    <w:p w14:paraId="14823E23">
      <w:pPr>
        <w:ind w:firstLine="560"/>
      </w:pPr>
      <w:r>
        <w:t>采购部填写《甲供材料设备审批表》，经审核批准后方可实施采购。</w:t>
      </w:r>
    </w:p>
    <w:p w14:paraId="18BD30CC">
      <w:pPr>
        <w:ind w:firstLine="560"/>
      </w:pPr>
      <w:r>
        <w:t>5000元以上的采购必须签订采购合同。</w:t>
      </w:r>
    </w:p>
    <w:p w14:paraId="463FCCA1">
      <w:pPr>
        <w:ind w:firstLine="560"/>
      </w:pPr>
      <w:r>
        <w:t>8</w:t>
      </w:r>
      <w:r>
        <w:rPr>
          <w:rFonts w:hint="eastAsia"/>
        </w:rPr>
        <w:t>.</w:t>
      </w:r>
      <w:r>
        <w:t>封样核准程序</w:t>
      </w:r>
    </w:p>
    <w:p w14:paraId="5677F04D">
      <w:pPr>
        <w:ind w:firstLine="560"/>
      </w:pPr>
      <w:r>
        <w:t>（1）采购部在询价、谈判过程中，签订《采购合同》之前，要求供应商提供签字盖章、封存的样品，作为投标、报价的实物依据。</w:t>
      </w:r>
    </w:p>
    <w:p w14:paraId="358D110F">
      <w:pPr>
        <w:ind w:firstLine="560"/>
      </w:pPr>
      <w:r>
        <w:t>（2）总工办对样品的质量、规格、外观、颜色等进行确认，选定符合要求的厂家、品牌。采购部根据总工办确定结果签字封存样品，一样一封，保证封样单牢固。样品封存两份，工程部和采购部各保存一份。</w:t>
      </w:r>
    </w:p>
    <w:p w14:paraId="7D945C0B">
      <w:pPr>
        <w:ind w:firstLine="560"/>
      </w:pPr>
      <w:r>
        <w:t>（3）封存的样品作为现场收货的依据，发生质量争议时，以封存样品质量为准</w:t>
      </w:r>
    </w:p>
    <w:p w14:paraId="5061890C">
      <w:pPr>
        <w:ind w:firstLine="560"/>
      </w:pPr>
      <w:bookmarkStart w:id="11011" w:name="_Toc9542"/>
      <w:bookmarkStart w:id="11012" w:name="_Toc9373"/>
      <w:bookmarkStart w:id="11013" w:name="_Toc12135"/>
      <w:bookmarkStart w:id="11014" w:name="_Toc7617"/>
      <w:bookmarkStart w:id="11015" w:name="_Toc4509"/>
      <w:bookmarkStart w:id="11016" w:name="_Toc30751"/>
      <w:r>
        <w:rPr>
          <w:rFonts w:hint="eastAsia"/>
        </w:rPr>
        <w:t>（三）</w:t>
      </w:r>
      <w:r>
        <w:t>审批时限</w:t>
      </w:r>
      <w:bookmarkEnd w:id="11011"/>
      <w:bookmarkEnd w:id="11012"/>
      <w:bookmarkEnd w:id="11013"/>
      <w:bookmarkEnd w:id="11014"/>
      <w:bookmarkEnd w:id="11015"/>
      <w:bookmarkEnd w:id="11016"/>
    </w:p>
    <w:p w14:paraId="70C9B864">
      <w:pPr>
        <w:ind w:firstLine="560"/>
      </w:pPr>
      <w:r>
        <w:t>1</w:t>
      </w:r>
      <w:r>
        <w:rPr>
          <w:rFonts w:hint="eastAsia"/>
        </w:rPr>
        <w:t>.</w:t>
      </w:r>
      <w:r>
        <w:t>《甲供材料设备申请单》及《甲供材料设备审批表》审批传递过程中各相关部门的审核时限要求如下：</w:t>
      </w:r>
    </w:p>
    <w:p w14:paraId="0853E711">
      <w:pPr>
        <w:ind w:firstLine="560"/>
      </w:pPr>
      <w:r>
        <w:t>成本管理部、总工办的审核时间各为4小时；</w:t>
      </w:r>
    </w:p>
    <w:p w14:paraId="08339C67">
      <w:pPr>
        <w:ind w:firstLine="560"/>
      </w:pPr>
      <w:r>
        <w:t>主管副总的审核时间为4小时；</w:t>
      </w:r>
    </w:p>
    <w:p w14:paraId="652D598B">
      <w:pPr>
        <w:ind w:firstLine="560"/>
      </w:pPr>
      <w:r>
        <w:t>分（子）公司总经理的审批时限为8小时。</w:t>
      </w:r>
    </w:p>
    <w:p w14:paraId="3956924D">
      <w:pPr>
        <w:ind w:firstLine="560"/>
      </w:pPr>
      <w:r>
        <w:t>2</w:t>
      </w:r>
      <w:r>
        <w:rPr>
          <w:rFonts w:hint="eastAsia"/>
        </w:rPr>
        <w:t>.</w:t>
      </w:r>
      <w:r>
        <w:t>办公室机要秘书负责审批件的内部审批传递。《甲供材料/设备审批表》原件一式三份，成本管理部、财务部、采购部各一份。</w:t>
      </w:r>
    </w:p>
    <w:p w14:paraId="78FF7AA0">
      <w:pPr>
        <w:ind w:firstLine="560"/>
      </w:pPr>
      <w:bookmarkStart w:id="11017" w:name="_Toc25988"/>
      <w:bookmarkStart w:id="11018" w:name="_Toc24223"/>
      <w:bookmarkStart w:id="11019" w:name="_Toc6417"/>
      <w:bookmarkStart w:id="11020" w:name="_Toc27197"/>
      <w:bookmarkStart w:id="11021" w:name="_Toc30279"/>
      <w:bookmarkStart w:id="11022" w:name="_Toc20273"/>
      <w:r>
        <w:rPr>
          <w:rFonts w:hint="eastAsia"/>
        </w:rPr>
        <w:t>（四）</w:t>
      </w:r>
      <w:r>
        <w:t>其他</w:t>
      </w:r>
      <w:bookmarkEnd w:id="11017"/>
      <w:bookmarkEnd w:id="11018"/>
      <w:bookmarkEnd w:id="11019"/>
      <w:bookmarkEnd w:id="11020"/>
      <w:bookmarkEnd w:id="11021"/>
      <w:bookmarkEnd w:id="11022"/>
    </w:p>
    <w:p w14:paraId="1B172993">
      <w:pPr>
        <w:ind w:firstLine="560"/>
      </w:pPr>
      <w:r>
        <w:t>1</w:t>
      </w:r>
      <w:r>
        <w:rPr>
          <w:rFonts w:hint="eastAsia"/>
        </w:rPr>
        <w:t>.</w:t>
      </w:r>
      <w:r>
        <w:t>成本管理部在审核施工单位上报的甲供材数量时，如发现施工单位用量计划超出预算，向工程部提出超量供应预警。工程进度款、结算款申报时，成本管理部负责依据合同扣除甲供材料款。</w:t>
      </w:r>
    </w:p>
    <w:p w14:paraId="72C507A2">
      <w:pPr>
        <w:ind w:firstLine="560"/>
      </w:pPr>
      <w:r>
        <w:t>2</w:t>
      </w:r>
      <w:r>
        <w:rPr>
          <w:rFonts w:hint="eastAsia"/>
        </w:rPr>
        <w:t>.</w:t>
      </w:r>
      <w:r>
        <w:t>工程部负责甲供材料的接收和验收工作。采购部应提前2--3天通知工程部材料进场时间，工程部组织采购部、监理公司、施工单位、供货商进行联合验收，验收人员应严格按申请单中（有封样的按照封存样品）的规格型号、技术参数进行检验，检验结果应当场签署，不符合要求的材料必须退场。</w:t>
      </w:r>
    </w:p>
    <w:p w14:paraId="45EFAC16">
      <w:pPr>
        <w:ind w:firstLine="560"/>
      </w:pPr>
      <w:r>
        <w:t>3</w:t>
      </w:r>
      <w:r>
        <w:rPr>
          <w:rFonts w:hint="eastAsia"/>
        </w:rPr>
        <w:t>.</w:t>
      </w:r>
      <w:r>
        <w:t>材料、设备验收合格后，验收人员共同签署《甲供材料/设备工地接收单》，一式五份，供应商、接收单位，采购、预算、工程各一份。</w:t>
      </w:r>
    </w:p>
    <w:p w14:paraId="7373A009">
      <w:pPr>
        <w:ind w:firstLine="560"/>
      </w:pPr>
      <w:r>
        <w:t>4.签订供货合同的供应单位交货时不到现场的，视为同意验收各方的验收结果，由采购部负责转交《甲供材料/设备工地接收单》。各方签字的《甲供材料/设备工地接收单》及《材料进场验收单》，作为供货方履行合同和付款的依据，否则财务部不予受理。</w:t>
      </w:r>
    </w:p>
    <w:p w14:paraId="45B0A3FB">
      <w:pPr>
        <w:ind w:firstLine="560"/>
      </w:pPr>
      <w:r>
        <w:t>5</w:t>
      </w:r>
      <w:r>
        <w:rPr>
          <w:rFonts w:hint="eastAsia"/>
        </w:rPr>
        <w:t>.</w:t>
      </w:r>
      <w:r>
        <w:t>对到场货物是否满足要求有争议的，总工办、督察部一起参与协商。</w:t>
      </w:r>
    </w:p>
    <w:p w14:paraId="1B6955E6">
      <w:pPr>
        <w:ind w:firstLine="560"/>
      </w:pPr>
      <w:r>
        <w:t>6</w:t>
      </w:r>
      <w:r>
        <w:rPr>
          <w:rFonts w:hint="eastAsia"/>
        </w:rPr>
        <w:t>.</w:t>
      </w:r>
      <w:r>
        <w:t>采购部负责甲供材料、设备的台账登记及台账管理工作。</w:t>
      </w:r>
    </w:p>
    <w:p w14:paraId="45AD221B">
      <w:pPr>
        <w:ind w:firstLine="560"/>
      </w:pPr>
      <w:bookmarkStart w:id="11023" w:name="_Toc20813"/>
      <w:bookmarkStart w:id="11024" w:name="_Toc30820"/>
      <w:bookmarkStart w:id="11025" w:name="_Toc21163"/>
      <w:bookmarkStart w:id="11026" w:name="_Toc10263"/>
      <w:bookmarkStart w:id="11027" w:name="_Toc29985"/>
      <w:bookmarkStart w:id="11028" w:name="_Toc6043"/>
      <w:r>
        <w:rPr>
          <w:rFonts w:hint="eastAsia"/>
        </w:rPr>
        <w:t>（五）</w:t>
      </w:r>
      <w:r>
        <w:t>奖罚措施</w:t>
      </w:r>
      <w:bookmarkEnd w:id="11023"/>
      <w:bookmarkEnd w:id="11024"/>
      <w:bookmarkEnd w:id="11025"/>
      <w:bookmarkEnd w:id="11026"/>
      <w:bookmarkEnd w:id="11027"/>
      <w:bookmarkEnd w:id="11028"/>
    </w:p>
    <w:p w14:paraId="73AAE88D">
      <w:pPr>
        <w:ind w:firstLine="560"/>
      </w:pPr>
      <w:r>
        <w:t>1</w:t>
      </w:r>
      <w:r>
        <w:rPr>
          <w:rFonts w:hint="eastAsia"/>
        </w:rPr>
        <w:t>.</w:t>
      </w:r>
      <w:r>
        <w:t>采购部在直接采购中，采购的产品或服务不能满足公司要求，或者价格明显过高，对相关责任人予以通报批评，并处以500-1000元罚款，督察部负责抽查。</w:t>
      </w:r>
    </w:p>
    <w:p w14:paraId="306B9B84">
      <w:pPr>
        <w:ind w:firstLine="560"/>
      </w:pPr>
      <w:r>
        <w:t>2</w:t>
      </w:r>
      <w:r>
        <w:rPr>
          <w:rFonts w:hint="eastAsia"/>
        </w:rPr>
        <w:t>.</w:t>
      </w:r>
      <w:r>
        <w:t>由于甲方供应材料、设备不合格使工期延误，造成经济损失的，每次给予采购部500元经济处罚，情节严重的追加降职甚至免职处分。</w:t>
      </w:r>
    </w:p>
    <w:p w14:paraId="3C9CD609">
      <w:pPr>
        <w:ind w:firstLine="560"/>
      </w:pPr>
      <w:r>
        <w:t>3</w:t>
      </w:r>
      <w:r>
        <w:rPr>
          <w:rFonts w:hint="eastAsia"/>
        </w:rPr>
        <w:t>.</w:t>
      </w:r>
      <w:r>
        <w:t>在样品封样核准过程中，具有下列情形之一并给公司造成风险或损失的，对相关责任人予以通报批评，并处不低于200元的罚款：</w:t>
      </w:r>
    </w:p>
    <w:p w14:paraId="224B7232">
      <w:pPr>
        <w:ind w:firstLine="560"/>
      </w:pPr>
      <w:r>
        <w:t>根据本办法规定，应进行样品封存的产品而未进行封存的</w:t>
      </w:r>
      <w:r>
        <w:rPr>
          <w:rFonts w:hint="eastAsia"/>
        </w:rPr>
        <w:t>；</w:t>
      </w:r>
    </w:p>
    <w:p w14:paraId="317857D2">
      <w:pPr>
        <w:ind w:firstLine="560"/>
      </w:pPr>
      <w:r>
        <w:t>样品封存程序不符合本办法规定</w:t>
      </w:r>
      <w:r>
        <w:rPr>
          <w:rFonts w:hint="eastAsia"/>
        </w:rPr>
        <w:t>；</w:t>
      </w:r>
    </w:p>
    <w:p w14:paraId="2D930E7C">
      <w:pPr>
        <w:ind w:firstLine="560"/>
      </w:pPr>
      <w:r>
        <w:t>对已封存的样品未进行有效的管理，致使样品毁损、灭失。</w:t>
      </w:r>
    </w:p>
    <w:p w14:paraId="569BFB71">
      <w:pPr>
        <w:ind w:firstLine="560"/>
      </w:pPr>
      <w:r>
        <w:t>4</w:t>
      </w:r>
      <w:r>
        <w:rPr>
          <w:rFonts w:hint="eastAsia"/>
        </w:rPr>
        <w:t>.</w:t>
      </w:r>
      <w:r>
        <w:t>采购部材料账目零乱，数据出现巨大偏差的，对相关责任人及部门负责人处以不低于200元的处罚。</w:t>
      </w:r>
    </w:p>
    <w:p w14:paraId="757EB716">
      <w:pPr>
        <w:ind w:firstLine="560"/>
      </w:pPr>
      <w:r>
        <w:t>5</w:t>
      </w:r>
      <w:r>
        <w:rPr>
          <w:rFonts w:hint="eastAsia"/>
        </w:rPr>
        <w:t>.</w:t>
      </w:r>
      <w:r>
        <w:t>采购文件审批过程中，相关审批人员未按照本办法的规定履行审批职责，视情节轻重对相关责任人予以通报批评，并处以20-500的罚款。下列情形属于未履行审批职责：</w:t>
      </w:r>
    </w:p>
    <w:p w14:paraId="153FB88B">
      <w:pPr>
        <w:ind w:firstLine="560"/>
      </w:pPr>
      <w:r>
        <w:t>文件中存在明显错误等情况，并且属于审批人员职责所涉范围内应知悉的情况，而审批人员未发现或发现后未说明的；</w:t>
      </w:r>
    </w:p>
    <w:p w14:paraId="399A5D58">
      <w:pPr>
        <w:ind w:firstLine="560"/>
      </w:pPr>
      <w:r>
        <w:t>拒绝在文件审批单上签署意见的；</w:t>
      </w:r>
    </w:p>
    <w:p w14:paraId="61B2E333">
      <w:pPr>
        <w:ind w:firstLine="560"/>
      </w:pPr>
      <w:r>
        <w:t>收到审批文件后未在审批时限内完成审批的。</w:t>
      </w:r>
    </w:p>
    <w:p w14:paraId="4BF8CBDA">
      <w:pPr>
        <w:ind w:firstLine="560"/>
      </w:pPr>
      <w:r>
        <w:t>6</w:t>
      </w:r>
      <w:r>
        <w:rPr>
          <w:rFonts w:hint="eastAsia"/>
        </w:rPr>
        <w:t>.</w:t>
      </w:r>
      <w:r>
        <w:t>在采购过程中采购人员私自接受供方宴请或收受财、物的，根据情节轻重，公司将分别给予相关责任人记过、免职、辞退等行政处罚及200-10000元经济处罚；给公司造成重大损失的，公司将依法追究法律责任。</w:t>
      </w:r>
    </w:p>
    <w:p w14:paraId="51BADA46">
      <w:pPr>
        <w:pStyle w:val="5"/>
        <w:spacing w:before="31" w:after="31"/>
        <w:ind w:firstLine="562"/>
      </w:pPr>
      <w:bookmarkStart w:id="11029" w:name="_Toc20287"/>
      <w:bookmarkStart w:id="11030" w:name="_Toc6558"/>
      <w:bookmarkStart w:id="11031" w:name="_Toc26945"/>
      <w:r>
        <w:rPr>
          <w:rFonts w:hint="eastAsia"/>
        </w:rPr>
        <w:t>（三）物资投入保障措施</w:t>
      </w:r>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1029"/>
      <w:bookmarkEnd w:id="11030"/>
      <w:bookmarkEnd w:id="11031"/>
    </w:p>
    <w:p w14:paraId="56706EF0">
      <w:pPr>
        <w:ind w:firstLine="560"/>
      </w:pPr>
      <w:bookmarkStart w:id="11032" w:name="_Toc14597"/>
      <w:bookmarkStart w:id="11033" w:name="_Toc21052"/>
      <w:bookmarkStart w:id="11034" w:name="_Toc15163"/>
      <w:bookmarkStart w:id="11035" w:name="_Toc11557"/>
      <w:bookmarkStart w:id="11036" w:name="_Toc28399"/>
      <w:bookmarkStart w:id="11037" w:name="_Toc24000"/>
      <w:bookmarkStart w:id="11038" w:name="_Toc27096"/>
      <w:bookmarkStart w:id="11039" w:name="_Toc7649"/>
      <w:bookmarkStart w:id="11040" w:name="_Toc26118"/>
      <w:bookmarkStart w:id="11041" w:name="_Toc26827"/>
      <w:bookmarkStart w:id="11042" w:name="_Toc1337"/>
      <w:bookmarkStart w:id="11043" w:name="_Toc26262"/>
      <w:bookmarkStart w:id="11044" w:name="_Toc6582"/>
      <w:bookmarkStart w:id="11045" w:name="_Toc32117"/>
      <w:bookmarkStart w:id="11046" w:name="_Toc11791"/>
      <w:bookmarkStart w:id="11047" w:name="_Toc27418"/>
      <w:bookmarkStart w:id="11048" w:name="_Toc30704"/>
      <w:bookmarkStart w:id="11049" w:name="_Toc468"/>
      <w:bookmarkStart w:id="11050" w:name="_Toc5453"/>
      <w:bookmarkStart w:id="11051" w:name="_Toc15312"/>
      <w:bookmarkStart w:id="11052" w:name="_Toc21458"/>
      <w:bookmarkStart w:id="11053" w:name="_Toc24681"/>
      <w:bookmarkStart w:id="11054" w:name="_Toc31808"/>
      <w:bookmarkStart w:id="11055" w:name="_Toc20681"/>
      <w:bookmarkStart w:id="11056" w:name="_Toc1723"/>
      <w:bookmarkStart w:id="11057" w:name="_Toc28565"/>
      <w:bookmarkStart w:id="11058" w:name="_Toc2334"/>
      <w:bookmarkStart w:id="11059" w:name="_Toc20481"/>
      <w:bookmarkStart w:id="11060" w:name="_Toc5821"/>
      <w:bookmarkStart w:id="11061" w:name="_Toc12004"/>
      <w:bookmarkStart w:id="11062" w:name="_Toc7715"/>
      <w:bookmarkStart w:id="11063" w:name="_Toc16470"/>
      <w:bookmarkStart w:id="11064" w:name="_Toc20019"/>
      <w:bookmarkStart w:id="11065" w:name="_Toc23068"/>
      <w:bookmarkStart w:id="11066" w:name="_Toc17176"/>
      <w:bookmarkStart w:id="11067" w:name="_Toc16799"/>
      <w:bookmarkStart w:id="11068" w:name="_Toc1772"/>
      <w:bookmarkStart w:id="11069" w:name="_Toc22706"/>
      <w:bookmarkStart w:id="11070" w:name="_Toc970"/>
      <w:bookmarkStart w:id="11071" w:name="_Toc27663"/>
      <w:bookmarkStart w:id="11072" w:name="_Toc9557"/>
      <w:bookmarkStart w:id="11073" w:name="_Toc26035"/>
      <w:bookmarkStart w:id="11074" w:name="_Toc23767"/>
      <w:bookmarkStart w:id="11075" w:name="_Toc13438"/>
      <w:bookmarkStart w:id="11076" w:name="_Toc1287"/>
      <w:bookmarkStart w:id="11077" w:name="_Toc2894"/>
      <w:r>
        <w:rPr>
          <w:rFonts w:hint="eastAsia"/>
        </w:rPr>
        <w:t>（一）物资供应计划及物流组织安排</w:t>
      </w:r>
      <w:bookmarkEnd w:id="11032"/>
      <w:bookmarkEnd w:id="11033"/>
      <w:bookmarkEnd w:id="11034"/>
      <w:bookmarkEnd w:id="11035"/>
      <w:bookmarkEnd w:id="11036"/>
      <w:bookmarkEnd w:id="11037"/>
      <w:bookmarkEnd w:id="11038"/>
      <w:bookmarkEnd w:id="11039"/>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bookmarkEnd w:id="11073"/>
      <w:bookmarkEnd w:id="11074"/>
      <w:bookmarkEnd w:id="11075"/>
      <w:bookmarkEnd w:id="11076"/>
      <w:bookmarkEnd w:id="11077"/>
    </w:p>
    <w:p w14:paraId="2822B46C">
      <w:pPr>
        <w:ind w:firstLine="560"/>
      </w:pPr>
      <w:r>
        <w:rPr>
          <w:rFonts w:hint="eastAsia"/>
        </w:rPr>
        <w:t>1.物资分为甲供、联采和自购三类</w:t>
      </w:r>
    </w:p>
    <w:p w14:paraId="058C02B4">
      <w:pPr>
        <w:ind w:firstLine="560"/>
      </w:pPr>
      <w:r>
        <w:rPr>
          <w:rFonts w:hint="eastAsia"/>
        </w:rPr>
        <w:t>甲供物资是指未列入工程承包合同总价，由发包人负责采购(或自行生产)供应的物资。联采物资是指列入工程承包合同总价，由发包人组织施工单位联合采购供应的物资。自购物资是指列入工程承包合同总价，由施工单位负责采购供应的物资。</w:t>
      </w:r>
    </w:p>
    <w:p w14:paraId="32ECED51">
      <w:pPr>
        <w:ind w:firstLine="560"/>
      </w:pPr>
      <w:r>
        <w:rPr>
          <w:rFonts w:hint="eastAsia"/>
        </w:rPr>
        <w:t>2.主要物资</w:t>
      </w:r>
    </w:p>
    <w:p w14:paraId="56BCEA16">
      <w:pPr>
        <w:ind w:firstLine="560"/>
      </w:pPr>
      <w:r>
        <w:rPr>
          <w:rFonts w:hint="eastAsia"/>
        </w:rPr>
        <w:t>2.1物资供应计划</w:t>
      </w:r>
    </w:p>
    <w:p w14:paraId="5134EF71">
      <w:pPr>
        <w:ind w:firstLine="560"/>
      </w:pPr>
      <w:r>
        <w:rPr>
          <w:rFonts w:hint="eastAsia"/>
        </w:rPr>
        <w:t>2.1.1物资供应计划编制原则</w:t>
      </w:r>
    </w:p>
    <w:p w14:paraId="4AA1B0B2">
      <w:pPr>
        <w:ind w:firstLine="560"/>
      </w:pPr>
      <w:r>
        <w:rPr>
          <w:rFonts w:hint="eastAsia"/>
        </w:rPr>
        <w:t>（2）自购物资供应计划编制原则</w:t>
      </w:r>
    </w:p>
    <w:p w14:paraId="7CF391D9">
      <w:pPr>
        <w:ind w:firstLine="560"/>
      </w:pPr>
      <w:r>
        <w:rPr>
          <w:rFonts w:hint="eastAsia"/>
        </w:rPr>
        <w:t>根据施工组织安排、物资生产周期和实际情况合理确定储备量、需求量。</w:t>
      </w:r>
    </w:p>
    <w:p w14:paraId="07DB8B68">
      <w:pPr>
        <w:ind w:firstLine="560"/>
      </w:pPr>
      <w:r>
        <w:rPr>
          <w:rFonts w:hint="eastAsia"/>
        </w:rPr>
        <w:t>项目经理部所属各队根据工程需要，及时准确编制物资需求计划，准确描述物资名称、规格、数量、技术质量标准及要求、交货时间等要素，保证合理的采购周期。</w:t>
      </w:r>
    </w:p>
    <w:p w14:paraId="63CA1DDA">
      <w:pPr>
        <w:ind w:firstLine="560"/>
      </w:pPr>
      <w:r>
        <w:rPr>
          <w:rFonts w:hint="eastAsia"/>
        </w:rPr>
        <w:t>（3）物资储存仓库设置</w:t>
      </w:r>
    </w:p>
    <w:p w14:paraId="56F1D72C">
      <w:pPr>
        <w:ind w:firstLine="560"/>
      </w:pPr>
      <w:r>
        <w:rPr>
          <w:rFonts w:hint="eastAsia"/>
        </w:rPr>
        <w:t>在各施工作业队及拌和站均设置物资储存仓库，仓库设置要符合各类物资存放标准。</w:t>
      </w:r>
    </w:p>
    <w:p w14:paraId="56AFCE7C">
      <w:pPr>
        <w:ind w:firstLine="560"/>
      </w:pPr>
      <w:r>
        <w:rPr>
          <w:rFonts w:hint="eastAsia"/>
        </w:rPr>
        <w:t>（4）主要物资供应方式</w:t>
      </w:r>
    </w:p>
    <w:p w14:paraId="6584A708">
      <w:pPr>
        <w:ind w:firstLine="560"/>
      </w:pPr>
      <w:r>
        <w:rPr>
          <w:rFonts w:hint="eastAsia"/>
        </w:rPr>
        <w:t>本工程甲供材料由甲方提供，承包人负责接收，并按规定对材料进行抽样检验。甲供材料由业主运到工地材料厂或临近铺轨基地既有站。</w:t>
      </w:r>
    </w:p>
    <w:p w14:paraId="651E0477">
      <w:pPr>
        <w:ind w:firstLine="560"/>
      </w:pPr>
      <w:r>
        <w:rPr>
          <w:rFonts w:hint="eastAsia"/>
        </w:rPr>
        <w:t>2.1.2物资供应保障措施</w:t>
      </w:r>
    </w:p>
    <w:p w14:paraId="0AD0B1A8">
      <w:pPr>
        <w:ind w:firstLine="560"/>
      </w:pPr>
      <w:r>
        <w:rPr>
          <w:rFonts w:hint="eastAsia"/>
        </w:rPr>
        <w:t>（1）物资质量保障措施</w:t>
      </w:r>
    </w:p>
    <w:p w14:paraId="0C6BFF55">
      <w:pPr>
        <w:ind w:firstLine="560"/>
      </w:pPr>
      <w:r>
        <w:rPr>
          <w:rFonts w:hint="eastAsia"/>
        </w:rPr>
        <w:t>项目经理部将成立物资管理体系小组，小组由项目经理、各部门负责人和施工作业队队长组成，共同实施物资质量管理工作，各物资储存仓库工作人员负责具体实施。</w:t>
      </w:r>
    </w:p>
    <w:p w14:paraId="5A189254">
      <w:pPr>
        <w:ind w:firstLine="560"/>
      </w:pPr>
      <w:r>
        <w:rPr>
          <w:rFonts w:hint="eastAsia"/>
        </w:rPr>
        <w:t>将按照质量标准的要求，针对本工程的实际情况，建立健全各项物资质量管理的规章制度，在实际工作中严格执行，并予以监督实施。</w:t>
      </w:r>
    </w:p>
    <w:p w14:paraId="62DC70C0">
      <w:pPr>
        <w:ind w:firstLine="560"/>
      </w:pPr>
      <w:r>
        <w:rPr>
          <w:rFonts w:hint="eastAsia"/>
        </w:rPr>
        <w:t>根据物资质量管理的规章制度、工作程序和工作标准，确保规章制度的落实，将各项工作分解到具体的人，做到工作的有章可循。</w:t>
      </w:r>
    </w:p>
    <w:p w14:paraId="1C3E9B47">
      <w:pPr>
        <w:ind w:firstLine="560"/>
      </w:pPr>
      <w:r>
        <w:rPr>
          <w:rFonts w:hint="eastAsia"/>
        </w:rPr>
        <w:t>各施工作业队、拌和站物资储存仓库配备专职物资质量检测员，采取有效物资质量监控保证手段和措施，贯彻落实物资质量管理规章制度，在物资出厂前在工厂内协同监理和业主做好质量检验工作，确保未经检验的物资运至施工现场。</w:t>
      </w:r>
    </w:p>
    <w:p w14:paraId="79C22C98">
      <w:pPr>
        <w:ind w:firstLine="560"/>
      </w:pPr>
      <w:r>
        <w:rPr>
          <w:rFonts w:hint="eastAsia"/>
        </w:rPr>
        <w:t>对到达物资出现数量、品种差异、质量上的问题，立即联系供应商及时协调处理。对每次到达物资的规格型号、数量、批号进行认真核对，确保与供应商提供的质量证明文件一致。</w:t>
      </w:r>
    </w:p>
    <w:p w14:paraId="5EDF97AC">
      <w:pPr>
        <w:ind w:firstLine="560"/>
      </w:pPr>
      <w:r>
        <w:rPr>
          <w:rFonts w:hint="eastAsia"/>
        </w:rPr>
        <w:t>各物资储存仓库工作人员认真学习相关物资技术规范和检查验收标准，提高质量管理意识、能力、物资质量监控及物资质量管理工作效率和水平。</w:t>
      </w:r>
    </w:p>
    <w:p w14:paraId="1E44C3CA">
      <w:pPr>
        <w:ind w:firstLine="560"/>
      </w:pPr>
      <w:r>
        <w:rPr>
          <w:rFonts w:hint="eastAsia"/>
        </w:rPr>
        <w:t>制订质量缺陷处理预案，当发现物资出现质量缺陷后，及时将有关信息反馈到供应商、建设单位和监理单位，分析产生质量缺陷的原因及责任，明确处理缺陷相关工作责任单位、责任部门与责任人。</w:t>
      </w:r>
    </w:p>
    <w:p w14:paraId="51C36678">
      <w:pPr>
        <w:ind w:firstLine="560"/>
      </w:pPr>
      <w:r>
        <w:rPr>
          <w:rFonts w:hint="eastAsia"/>
        </w:rPr>
        <w:t>（2）物资供应保障措施</w:t>
      </w:r>
    </w:p>
    <w:p w14:paraId="4B2F578A">
      <w:pPr>
        <w:ind w:firstLine="560"/>
      </w:pPr>
      <w:r>
        <w:rPr>
          <w:rFonts w:hint="eastAsia"/>
        </w:rPr>
        <w:t>各物资储存仓库由专业的物资人员进行管理运作，做好物资需用量计划及需用量预测、提高计划的准确性及预见性，根据实施性施工组织设计，结合项目建设年度投资计划及施工实际进度和施工安排，做好物资需用量计划安排工作。</w:t>
      </w:r>
    </w:p>
    <w:p w14:paraId="1870500D">
      <w:pPr>
        <w:ind w:firstLine="560"/>
      </w:pPr>
      <w:r>
        <w:rPr>
          <w:rFonts w:hint="eastAsia"/>
        </w:rPr>
        <w:t>项目经理部设备物资部根据各施工作业队、拌和站需用量计划及时衔接物资供应商，平衡供需关系，了解落实供应商原材料、设备运转、电力供应、产量、成品库存、市场需求及销售状况、装运、出库等生产信息，及早发现反馈供需矛盾，及早协调处理供需矛盾。</w:t>
      </w:r>
    </w:p>
    <w:p w14:paraId="0FBEB68B">
      <w:pPr>
        <w:ind w:firstLine="560"/>
      </w:pPr>
      <w:r>
        <w:rPr>
          <w:rFonts w:hint="eastAsia"/>
        </w:rPr>
        <w:t>根据物资市场供需情况与项目建设物资消耗规律，在各物资储存仓库建立科学合理的库存储备，有效化解施工高峰期和特殊条件下物资的供需矛盾，保证物资供应工作的延续性。</w:t>
      </w:r>
    </w:p>
    <w:p w14:paraId="41F394A4">
      <w:pPr>
        <w:ind w:firstLine="560"/>
      </w:pPr>
      <w:r>
        <w:rPr>
          <w:rFonts w:hint="eastAsia"/>
        </w:rPr>
        <w:t>在工程施工过程中，对供应商在生产环节出现的问题（检修生产设备，停产检修）或运输环节出现的问题（运输道路中断、黄金周运力紧张），充分考虑以上特殊条件对物资供应工作的影响，做到精心组织，科学安排，对物资的需求做到提前组织，统筹安排，集思广益，确保本工程建设物资供应工作的正常开展。认真做好物资的提前储备工作，以便在工程急用时保证物资供应工作的正常进行。</w:t>
      </w:r>
    </w:p>
    <w:p w14:paraId="7214951C">
      <w:pPr>
        <w:ind w:firstLine="560"/>
      </w:pPr>
      <w:r>
        <w:rPr>
          <w:rFonts w:hint="eastAsia"/>
        </w:rPr>
        <w:t>确保工程建设特殊条件下物资供应工作的正常开展，各物资储存仓库对物资供应方案进行优化，根据物资的实际需求情况，同时考虑到可能出现的影响施工的客观因素，制订应急供应方案，以确保供应有备无患。</w:t>
      </w:r>
    </w:p>
    <w:p w14:paraId="207347ED">
      <w:pPr>
        <w:ind w:firstLine="560"/>
      </w:pPr>
      <w:r>
        <w:rPr>
          <w:rFonts w:hint="eastAsia"/>
        </w:rPr>
        <w:t>根据施工进展情况、物资需求情况和物资库存情况，建立物资库存预警机制，当库存物资数量达到极限不能满足施工建设时，及时通知供应商和各施工工点，做好物资的发运和保持现场合理的库存。</w:t>
      </w:r>
    </w:p>
    <w:p w14:paraId="047AA7C5">
      <w:pPr>
        <w:ind w:firstLine="560"/>
      </w:pPr>
      <w:r>
        <w:rPr>
          <w:rFonts w:hint="eastAsia"/>
        </w:rPr>
        <w:t>2.1.3主要材料供应计划</w:t>
      </w:r>
    </w:p>
    <w:p w14:paraId="75979F21">
      <w:pPr>
        <w:ind w:firstLine="560"/>
      </w:pPr>
      <w:r>
        <w:rPr>
          <w:rFonts w:hint="eastAsia"/>
        </w:rPr>
        <w:t>月材料供应计划根据年度主要材料供应计划并结合工程实际施工情况，由工程管理部、计划合同部、财务部提出并提前1个月交设备物资部，确保材料及时采购，满足施工需要。根据施工安排及进度计划，工程材料采取提前组织，分批次进场。</w:t>
      </w:r>
    </w:p>
    <w:p w14:paraId="178A2E7E">
      <w:pPr>
        <w:ind w:firstLine="560"/>
      </w:pPr>
      <w:r>
        <w:rPr>
          <w:rFonts w:hint="eastAsia"/>
        </w:rPr>
        <w:t>2.2物流组织安排</w:t>
      </w:r>
    </w:p>
    <w:p w14:paraId="6C23F120">
      <w:pPr>
        <w:ind w:firstLine="560"/>
      </w:pPr>
      <w:r>
        <w:rPr>
          <w:rFonts w:hint="eastAsia"/>
        </w:rPr>
        <w:t>2.2.1物流组织安排</w:t>
      </w:r>
    </w:p>
    <w:p w14:paraId="0612B2FA">
      <w:pPr>
        <w:ind w:firstLine="560"/>
      </w:pPr>
      <w:r>
        <w:rPr>
          <w:rFonts w:hint="eastAsia"/>
        </w:rPr>
        <w:t>本工程的物流组织有两大特征：一是有大量的材料需远运，尤其是地材及主材量大、运距较远；二是施工现场场地狭小，交通困难，材料供应难度大，现场储存能力有限。因此合理的物流组织将是工程顺利实施的前提。项目经理部和工区应根据施工现场的交通条件、场地条件合理安排材料储存仓库及材料厂，全面负责工程的物资供应。</w:t>
      </w:r>
    </w:p>
    <w:p w14:paraId="284C5C85">
      <w:pPr>
        <w:ind w:firstLine="560"/>
      </w:pPr>
      <w:r>
        <w:rPr>
          <w:rFonts w:hint="eastAsia"/>
        </w:rPr>
        <w:t>2.2.2物流组织管理措施</w:t>
      </w:r>
    </w:p>
    <w:p w14:paraId="7A7EB91B">
      <w:pPr>
        <w:ind w:firstLine="560"/>
      </w:pPr>
      <w:r>
        <w:rPr>
          <w:rFonts w:hint="eastAsia"/>
        </w:rPr>
        <w:t>加强物资管理制度建设，建立健全项目经理部物资制度管理，避免制度执行不力和监管不到位造成的资金效益的流失。</w:t>
      </w:r>
    </w:p>
    <w:p w14:paraId="26B49552">
      <w:pPr>
        <w:ind w:firstLine="560"/>
      </w:pPr>
      <w:r>
        <w:rPr>
          <w:rFonts w:hint="eastAsia"/>
        </w:rPr>
        <w:t>加强市场供应行情的了解、跟踪、分析和研究，在签订购买合同时，要认真分析物资购买、运输等合同条款，确定双方权利、义务及违约责任等明确条款。避免经济纠纷及损失。</w:t>
      </w:r>
    </w:p>
    <w:p w14:paraId="53D93D79">
      <w:pPr>
        <w:ind w:firstLine="560"/>
      </w:pPr>
      <w:r>
        <w:rPr>
          <w:rFonts w:hint="eastAsia"/>
        </w:rPr>
        <w:t>物资部门至少每月开展一次主要物资的市场供求形势和价格走势的分析，并形成报告。</w:t>
      </w:r>
    </w:p>
    <w:p w14:paraId="5058CAC8">
      <w:pPr>
        <w:ind w:firstLine="560"/>
      </w:pPr>
      <w:r>
        <w:rPr>
          <w:rFonts w:hint="eastAsia"/>
        </w:rPr>
        <w:t>加强物资集中采购和保管，确定准确的物资付款时间和方式，物资入库后要认真详细的核实和记录，以确保财务数据准确完整。</w:t>
      </w:r>
    </w:p>
    <w:p w14:paraId="18F72F5F">
      <w:pPr>
        <w:ind w:firstLine="560"/>
      </w:pPr>
      <w:r>
        <w:rPr>
          <w:rFonts w:hint="eastAsia"/>
        </w:rPr>
        <w:t>加强集中采购，避免分散采购带来的资金浪费和流失。</w:t>
      </w:r>
    </w:p>
    <w:p w14:paraId="18BDD00E">
      <w:pPr>
        <w:ind w:firstLine="560"/>
      </w:pPr>
      <w:r>
        <w:rPr>
          <w:rFonts w:hint="eastAsia"/>
        </w:rPr>
        <w:t>确保物资需求计划准确、及时，避免频繁变更。</w:t>
      </w:r>
    </w:p>
    <w:p w14:paraId="53BD02BE">
      <w:pPr>
        <w:ind w:firstLine="560"/>
      </w:pPr>
      <w:bookmarkStart w:id="11078" w:name="_Toc23258"/>
      <w:bookmarkStart w:id="11079" w:name="_Toc30684"/>
      <w:bookmarkStart w:id="11080" w:name="_Toc4036"/>
      <w:bookmarkStart w:id="11081" w:name="_Toc27787"/>
      <w:bookmarkStart w:id="11082" w:name="_Toc20645"/>
      <w:bookmarkStart w:id="11083" w:name="_Toc10609"/>
      <w:bookmarkStart w:id="11084" w:name="_Toc982"/>
      <w:bookmarkStart w:id="11085" w:name="_Toc4336"/>
      <w:bookmarkStart w:id="11086" w:name="_Toc14772"/>
      <w:bookmarkStart w:id="11087" w:name="_Toc7213"/>
      <w:bookmarkStart w:id="11088" w:name="_Toc1662"/>
      <w:bookmarkStart w:id="11089" w:name="_Toc14199"/>
      <w:bookmarkStart w:id="11090" w:name="_Toc29304"/>
      <w:bookmarkStart w:id="11091" w:name="_Toc30624"/>
      <w:bookmarkStart w:id="11092" w:name="_Toc2460"/>
      <w:bookmarkStart w:id="11093" w:name="_Toc17776"/>
      <w:bookmarkStart w:id="11094" w:name="_Toc28756"/>
      <w:bookmarkStart w:id="11095" w:name="_Toc15676"/>
      <w:bookmarkStart w:id="11096" w:name="_Toc12609"/>
      <w:bookmarkStart w:id="11097" w:name="_Toc18168"/>
      <w:bookmarkStart w:id="11098" w:name="_Toc23719"/>
      <w:bookmarkStart w:id="11099" w:name="_Toc13340"/>
      <w:bookmarkStart w:id="11100" w:name="_Toc24883"/>
      <w:bookmarkStart w:id="11101" w:name="_Toc22627"/>
      <w:bookmarkStart w:id="11102" w:name="_Toc60"/>
      <w:bookmarkStart w:id="11103" w:name="_Toc29532"/>
      <w:bookmarkStart w:id="11104" w:name="_Toc8937"/>
      <w:bookmarkStart w:id="11105" w:name="_Toc5301"/>
      <w:bookmarkStart w:id="11106" w:name="_Toc15383"/>
      <w:bookmarkStart w:id="11107" w:name="_Toc4880"/>
      <w:bookmarkStart w:id="11108" w:name="_Toc5946"/>
      <w:bookmarkStart w:id="11109" w:name="_Toc19331"/>
      <w:bookmarkStart w:id="11110" w:name="_Toc14254"/>
      <w:bookmarkStart w:id="11111" w:name="_Toc27294"/>
      <w:bookmarkStart w:id="11112" w:name="_Toc21742"/>
      <w:bookmarkStart w:id="11113" w:name="_Toc19359"/>
      <w:bookmarkStart w:id="11114" w:name="_Toc2035"/>
      <w:bookmarkStart w:id="11115" w:name="_Toc3778"/>
      <w:bookmarkStart w:id="11116" w:name="_Toc1296"/>
      <w:bookmarkStart w:id="11117" w:name="_Toc6064"/>
      <w:bookmarkStart w:id="11118" w:name="_Toc25136"/>
      <w:bookmarkStart w:id="11119" w:name="_Toc12992"/>
      <w:bookmarkStart w:id="11120" w:name="_Toc9327"/>
      <w:bookmarkStart w:id="11121" w:name="_Toc4824"/>
      <w:bookmarkStart w:id="11122" w:name="_Toc23927"/>
      <w:bookmarkStart w:id="11123" w:name="_Toc9101"/>
      <w:bookmarkStart w:id="11124" w:name="_Toc22275"/>
      <w:bookmarkStart w:id="11125" w:name="_Toc17195"/>
      <w:r>
        <w:rPr>
          <w:rFonts w:hint="eastAsia"/>
        </w:rPr>
        <w:t>（二）物资投入计划保证措施</w:t>
      </w:r>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bookmarkEnd w:id="11117"/>
      <w:bookmarkEnd w:id="11118"/>
      <w:bookmarkEnd w:id="11119"/>
      <w:bookmarkEnd w:id="11120"/>
      <w:bookmarkEnd w:id="11121"/>
      <w:bookmarkEnd w:id="11122"/>
      <w:bookmarkEnd w:id="11123"/>
      <w:bookmarkEnd w:id="11124"/>
      <w:bookmarkEnd w:id="11125"/>
    </w:p>
    <w:p w14:paraId="4461758C">
      <w:pPr>
        <w:ind w:firstLine="560"/>
      </w:pPr>
      <w:r>
        <w:rPr>
          <w:rFonts w:hint="eastAsia"/>
        </w:rPr>
        <w:t>1、建立材料进场检验控制</w:t>
      </w:r>
    </w:p>
    <w:p w14:paraId="30115DFA">
      <w:pPr>
        <w:ind w:firstLine="560"/>
      </w:pPr>
      <w:r>
        <w:rPr>
          <w:rFonts w:hint="eastAsia"/>
        </w:rPr>
        <w:t>坚持材料进场检验制度，确保原材料、半成品、成品使用前符合技术规范的质量要求。</w:t>
      </w:r>
    </w:p>
    <w:p w14:paraId="150F47B6">
      <w:pPr>
        <w:ind w:firstLine="560"/>
      </w:pPr>
      <w:r>
        <w:rPr>
          <w:rFonts w:hint="eastAsia"/>
        </w:rPr>
        <w:t>1.1严格控制原材料、半成品的质量。施工中所用花木等均应具有相应的产地及质量证明书，而且还须按规范要求进行抽检试验，检验合格后才用于本工程的施工。对经检验达不到设计要求的原材料根据具体情况采取降级使用或退货处理。</w:t>
      </w:r>
    </w:p>
    <w:p w14:paraId="73AD86F6">
      <w:pPr>
        <w:ind w:firstLine="560"/>
      </w:pPr>
      <w:r>
        <w:rPr>
          <w:rFonts w:hint="eastAsia"/>
        </w:rPr>
        <w:t>1.2原材料、半成品的堆放应符合现场要求，按照要求分类分规格堆放整齐，并挂好标识牌，以防误用。</w:t>
      </w:r>
    </w:p>
    <w:p w14:paraId="3C42549A">
      <w:pPr>
        <w:ind w:firstLine="560"/>
      </w:pPr>
      <w:r>
        <w:rPr>
          <w:rFonts w:hint="eastAsia"/>
        </w:rPr>
        <w:t>1.3公司工程科及材设科每月对不合格半成品、成品或不合格的原材料进行统计分析，重点对一些容易出现质量通病的工序，分析其所用材料、工艺、生产设备、操作规程、操作人员的技艺或其他因素，对质量的不同影响，区别提出和采取预防措施。</w:t>
      </w:r>
    </w:p>
    <w:p w14:paraId="0E561E59">
      <w:pPr>
        <w:ind w:firstLine="560"/>
      </w:pPr>
      <w:r>
        <w:rPr>
          <w:rFonts w:hint="eastAsia"/>
        </w:rPr>
        <w:t>1.4加强对工程施工全过程的质量监控，尤其是被列入关键工序和特殊过程的工序要从材料采购、进场检验、施工过程检查、重点难点的技术攻关、特殊工种持证上岗、所用机械设备的能力鉴定、工序验收等各个环节予以全过程控制，保证工程质量。</w:t>
      </w:r>
    </w:p>
    <w:p w14:paraId="456FFD1D">
      <w:pPr>
        <w:ind w:firstLine="560"/>
      </w:pPr>
      <w:r>
        <w:rPr>
          <w:rFonts w:hint="eastAsia"/>
        </w:rPr>
        <w:t>1.5在工程施工中，做到防患于未然。加强施工过程监督、检查，严格实行“三检制”。</w:t>
      </w:r>
    </w:p>
    <w:p w14:paraId="371D8F8F">
      <w:pPr>
        <w:ind w:firstLine="560"/>
      </w:pPr>
      <w:r>
        <w:rPr>
          <w:rFonts w:hint="eastAsia"/>
        </w:rPr>
        <w:t>（1）自检</w:t>
      </w:r>
    </w:p>
    <w:p w14:paraId="22BF44AB">
      <w:pPr>
        <w:ind w:firstLine="560"/>
      </w:pPr>
      <w:r>
        <w:rPr>
          <w:rFonts w:hint="eastAsia"/>
        </w:rPr>
        <w:t>班组对当时自己完成的工作任务须详细的质量检查，检查质量符合所交底的质量标准，做法是否正确，有无错漏的地方，并把自检情况作详细记录交底到项目技术班组。</w:t>
      </w:r>
    </w:p>
    <w:p w14:paraId="4CEFA5C8">
      <w:pPr>
        <w:ind w:firstLine="560"/>
      </w:pPr>
      <w:r>
        <w:rPr>
          <w:rFonts w:hint="eastAsia"/>
        </w:rPr>
        <w:t>（2）专检</w:t>
      </w:r>
    </w:p>
    <w:p w14:paraId="06E09CF7">
      <w:pPr>
        <w:ind w:firstLine="560"/>
      </w:pPr>
      <w:r>
        <w:rPr>
          <w:rFonts w:hint="eastAsia"/>
        </w:rPr>
        <w:t>项目技术班组分项专业技术质检员，根据班组送交的自检记录进行查阅，确认自检合格后即进行专检，专检对班组当次所完成的工作进行全面检查，检查是否全部达到所要求的质量标准和自检报告所记录情况属实，专检合格后把专检情况作详细记录送交给项目技术质量主管，经审核认可后由项目技术质量主管上报监理工程师，批准后进行下道工序施工。</w:t>
      </w:r>
    </w:p>
    <w:p w14:paraId="1E384271">
      <w:pPr>
        <w:ind w:firstLine="560"/>
      </w:pPr>
      <w:r>
        <w:rPr>
          <w:rFonts w:hint="eastAsia"/>
        </w:rPr>
        <w:t>（3）交接检</w:t>
      </w:r>
    </w:p>
    <w:p w14:paraId="16DAC3B7">
      <w:pPr>
        <w:ind w:firstLine="560"/>
      </w:pPr>
      <w:r>
        <w:rPr>
          <w:rFonts w:hint="eastAsia"/>
        </w:rPr>
        <w:t>前道工序和后道工序班组之间的交接检查，交接检情况作详细记录送交到项目技术工程组。工序交接必须经质量部门的检验合格后由有关人员的签字方可进行。</w:t>
      </w:r>
    </w:p>
    <w:p w14:paraId="4B77D63C">
      <w:pPr>
        <w:ind w:firstLine="560"/>
      </w:pPr>
      <w:r>
        <w:rPr>
          <w:rFonts w:hint="eastAsia"/>
        </w:rPr>
        <w:t>1.6赋予质量检查员质量否决权</w:t>
      </w:r>
    </w:p>
    <w:p w14:paraId="405A6935">
      <w:pPr>
        <w:ind w:firstLine="560"/>
      </w:pPr>
      <w:r>
        <w:rPr>
          <w:rFonts w:hint="eastAsia"/>
        </w:rPr>
        <w:t>实行合格标准化制，优质优价，对于存在质量缺陷较多的施工单位和班组限令整改，否则坚决清除出场。</w:t>
      </w:r>
    </w:p>
    <w:p w14:paraId="163F6EEA">
      <w:pPr>
        <w:ind w:firstLine="560"/>
      </w:pPr>
      <w:r>
        <w:rPr>
          <w:rFonts w:hint="eastAsia"/>
        </w:rPr>
        <w:t>1.7加强对原材料质量的控制</w:t>
      </w:r>
    </w:p>
    <w:p w14:paraId="6AC1A0AD">
      <w:pPr>
        <w:ind w:firstLine="560"/>
      </w:pPr>
      <w:r>
        <w:rPr>
          <w:rFonts w:hint="eastAsia"/>
        </w:rPr>
        <w:t>原材料的质量直接影响到工程的质量，项目经理部要严格按照我公司的相关规定执行，确保只有检验和试验合格的原材料才能进行下一道工序。原材料、半成品、成品要有出厂合格证和检测报告等质量证明文件，进场后要对需要检验和试验的材料按批量进行有见证抽检试验，合格后方可使用。</w:t>
      </w:r>
    </w:p>
    <w:p w14:paraId="600507A1">
      <w:pPr>
        <w:ind w:firstLine="560"/>
      </w:pPr>
      <w:r>
        <w:rPr>
          <w:rFonts w:hint="eastAsia"/>
        </w:rPr>
        <w:t>1.8积极采用新技术、新工艺、新材料等来改进施工工艺，提高工程质量。</w:t>
      </w:r>
    </w:p>
    <w:p w14:paraId="0A6AE990">
      <w:pPr>
        <w:ind w:firstLine="560"/>
      </w:pPr>
      <w:r>
        <w:rPr>
          <w:rFonts w:hint="eastAsia"/>
        </w:rPr>
        <w:t>2、材料供应控制</w:t>
      </w:r>
    </w:p>
    <w:p w14:paraId="3755A05E">
      <w:pPr>
        <w:ind w:firstLine="560"/>
      </w:pPr>
      <w:r>
        <w:rPr>
          <w:rFonts w:hint="eastAsia"/>
        </w:rPr>
        <w:t>2.1抢占先机，按合同办事。在进场前，我公司派专门负责采购材料的人员根据供料方的名单，提前签订材料优先供应的合同，对主要紧俏的材料应提前预定和库存，以防脱销。同时，现场设置材料仓库区。</w:t>
      </w:r>
    </w:p>
    <w:p w14:paraId="7790A5BC">
      <w:pPr>
        <w:ind w:firstLine="560"/>
      </w:pPr>
      <w:r>
        <w:rPr>
          <w:rFonts w:hint="eastAsia"/>
        </w:rPr>
        <w:t>2.2公司设置1个材料供应后勤组，每组应配足抽料人员，如钢筋的抽料、制定采购计划单；预算人员应提前估计材料的进场安排；共设材料员2人，分别负责各组材料的采购，并列明材料供应商的电话和联系地址，以便随时加强紧密联系，及时获得材料的供求信息。</w:t>
      </w:r>
    </w:p>
    <w:p w14:paraId="3AAEFA18">
      <w:pPr>
        <w:ind w:firstLine="560"/>
      </w:pPr>
      <w:r>
        <w:rPr>
          <w:rFonts w:hint="eastAsia"/>
        </w:rPr>
        <w:t>2.3提前三天或更长时间配齐进场材料。</w:t>
      </w:r>
    </w:p>
    <w:p w14:paraId="6BE45D90">
      <w:pPr>
        <w:ind w:firstLine="560"/>
      </w:pPr>
      <w:r>
        <w:rPr>
          <w:rFonts w:hint="eastAsia"/>
        </w:rPr>
        <w:t>2.4突发事件的处理：如发生万一材料脱销的情况，应从公司其他供应商或公司库存材料仓内进行调配，以防停工待料的情况出现。但上述材料经检查合格并征得甲方同意后方准进场。</w:t>
      </w:r>
    </w:p>
    <w:p w14:paraId="293EB7AD">
      <w:pPr>
        <w:pStyle w:val="5"/>
        <w:spacing w:before="31" w:after="31"/>
        <w:ind w:firstLine="562"/>
      </w:pPr>
      <w:bookmarkStart w:id="11126" w:name="_Toc28193"/>
      <w:bookmarkStart w:id="11127" w:name="_Toc9272"/>
      <w:bookmarkStart w:id="11128" w:name="_Toc30401"/>
      <w:bookmarkStart w:id="11129" w:name="_Toc14463"/>
      <w:bookmarkStart w:id="11130" w:name="_Toc18525"/>
      <w:bookmarkStart w:id="11131" w:name="_Toc17230"/>
      <w:bookmarkStart w:id="11132" w:name="_Toc3214"/>
      <w:bookmarkStart w:id="11133" w:name="_Toc14276"/>
      <w:bookmarkStart w:id="11134" w:name="_Toc15529"/>
      <w:bookmarkStart w:id="11135" w:name="_Toc20263"/>
      <w:bookmarkStart w:id="11136" w:name="_Toc16964"/>
      <w:bookmarkStart w:id="11137" w:name="_Toc7008"/>
      <w:bookmarkStart w:id="11138" w:name="_Toc9872"/>
      <w:bookmarkStart w:id="11139" w:name="_Toc19181"/>
      <w:bookmarkStart w:id="11140" w:name="_Toc7636"/>
      <w:bookmarkStart w:id="11141" w:name="_Toc4594"/>
      <w:bookmarkStart w:id="11142" w:name="_Toc297"/>
      <w:bookmarkStart w:id="11143" w:name="_Toc3043"/>
      <w:bookmarkStart w:id="11144" w:name="_Toc31094"/>
      <w:bookmarkStart w:id="11145" w:name="_Toc1512"/>
      <w:bookmarkStart w:id="11146" w:name="_Toc13173"/>
      <w:bookmarkStart w:id="11147" w:name="_Toc23077"/>
      <w:bookmarkStart w:id="11148" w:name="_Toc32564"/>
      <w:bookmarkStart w:id="11149" w:name="_Toc3421"/>
      <w:bookmarkStart w:id="11150" w:name="_Toc14922"/>
      <w:bookmarkStart w:id="11151" w:name="_Toc7270"/>
      <w:bookmarkStart w:id="11152" w:name="_Toc3337"/>
      <w:bookmarkStart w:id="11153" w:name="_Toc7668"/>
      <w:bookmarkStart w:id="11154" w:name="_Toc31779"/>
      <w:bookmarkStart w:id="11155" w:name="_Toc2598"/>
      <w:bookmarkStart w:id="11156" w:name="_Toc4418"/>
      <w:bookmarkStart w:id="11157" w:name="_Toc22752"/>
      <w:bookmarkStart w:id="11158" w:name="_Toc21528"/>
      <w:bookmarkStart w:id="11159" w:name="_Toc21979"/>
      <w:bookmarkStart w:id="11160" w:name="_Toc18723"/>
      <w:bookmarkStart w:id="11161" w:name="_Toc30174"/>
      <w:bookmarkStart w:id="11162" w:name="_Toc21738"/>
      <w:bookmarkStart w:id="11163" w:name="_Toc9151"/>
      <w:bookmarkStart w:id="11164" w:name="_Toc28445"/>
      <w:bookmarkStart w:id="11165" w:name="_Toc23692"/>
      <w:bookmarkStart w:id="11166" w:name="_Toc3327"/>
      <w:bookmarkStart w:id="11167" w:name="_Toc29367"/>
      <w:bookmarkStart w:id="11168" w:name="_Toc13613"/>
      <w:bookmarkStart w:id="11169" w:name="_Toc22683"/>
      <w:bookmarkStart w:id="11170" w:name="_Toc15307"/>
      <w:r>
        <w:rPr>
          <w:rFonts w:hint="eastAsia"/>
        </w:rPr>
        <w:t>（四）物资采购工作的总体安排与资源配置</w:t>
      </w:r>
      <w:bookmarkEnd w:id="11126"/>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bookmarkEnd w:id="11146"/>
      <w:bookmarkEnd w:id="11147"/>
      <w:bookmarkEnd w:id="11148"/>
      <w:bookmarkEnd w:id="11149"/>
      <w:bookmarkEnd w:id="11150"/>
      <w:bookmarkEnd w:id="11151"/>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p>
    <w:p w14:paraId="2605C721">
      <w:pPr>
        <w:ind w:firstLine="560"/>
      </w:pPr>
      <w:bookmarkStart w:id="11171" w:name="_Toc7927"/>
      <w:bookmarkStart w:id="11172" w:name="_Toc10759"/>
      <w:bookmarkStart w:id="11173" w:name="_Toc25913"/>
      <w:bookmarkStart w:id="11174" w:name="_Toc21087"/>
      <w:bookmarkStart w:id="11175" w:name="_Toc7751"/>
      <w:bookmarkStart w:id="11176" w:name="_Toc16677"/>
      <w:bookmarkStart w:id="11177" w:name="_Toc13356"/>
      <w:bookmarkStart w:id="11178" w:name="_Toc22170"/>
      <w:bookmarkStart w:id="11179" w:name="_Toc10927"/>
      <w:bookmarkStart w:id="11180" w:name="_Toc22282"/>
      <w:bookmarkStart w:id="11181" w:name="_Toc8104"/>
      <w:bookmarkStart w:id="11182" w:name="_Toc21371"/>
      <w:bookmarkStart w:id="11183" w:name="_Toc333"/>
      <w:bookmarkStart w:id="11184" w:name="_Toc17794"/>
      <w:bookmarkStart w:id="11185" w:name="_Toc24813"/>
      <w:bookmarkStart w:id="11186" w:name="_Toc13570"/>
      <w:bookmarkStart w:id="11187" w:name="_Toc5028"/>
      <w:bookmarkStart w:id="11188" w:name="_Toc5360"/>
      <w:bookmarkStart w:id="11189" w:name="_Toc22004"/>
      <w:bookmarkStart w:id="11190" w:name="_Toc4095"/>
      <w:bookmarkStart w:id="11191" w:name="_Toc6274"/>
      <w:bookmarkStart w:id="11192" w:name="_Toc13276"/>
      <w:bookmarkStart w:id="11193" w:name="_Toc20614"/>
      <w:bookmarkStart w:id="11194" w:name="_Toc6660"/>
      <w:bookmarkStart w:id="11195" w:name="_Toc27711"/>
      <w:bookmarkStart w:id="11196" w:name="_Toc18124"/>
      <w:bookmarkStart w:id="11197" w:name="_Toc4256"/>
      <w:bookmarkStart w:id="11198" w:name="_Toc22087"/>
      <w:bookmarkStart w:id="11199" w:name="_Toc17660"/>
      <w:bookmarkStart w:id="11200" w:name="_Toc31411"/>
      <w:bookmarkStart w:id="11201" w:name="_Toc3724"/>
      <w:bookmarkStart w:id="11202" w:name="_Toc18621"/>
      <w:bookmarkStart w:id="11203" w:name="_Toc25713"/>
      <w:bookmarkStart w:id="11204" w:name="_Toc26844"/>
      <w:bookmarkStart w:id="11205" w:name="_Toc23587"/>
      <w:bookmarkStart w:id="11206" w:name="_Toc15541"/>
      <w:bookmarkStart w:id="11207" w:name="_Toc8039"/>
      <w:bookmarkStart w:id="11208" w:name="_Toc9143"/>
      <w:bookmarkStart w:id="11209" w:name="_Toc23682"/>
      <w:bookmarkStart w:id="11210" w:name="_Toc1707"/>
      <w:bookmarkStart w:id="11211" w:name="_Toc8545"/>
      <w:bookmarkStart w:id="11212" w:name="_Toc10786"/>
      <w:bookmarkStart w:id="11213" w:name="_Toc17158"/>
      <w:bookmarkStart w:id="11214" w:name="_Toc7916"/>
      <w:bookmarkStart w:id="11215" w:name="_Toc1231"/>
      <w:bookmarkStart w:id="11216" w:name="_Toc12856"/>
      <w:bookmarkStart w:id="11217" w:name="_Toc22827"/>
      <w:r>
        <w:rPr>
          <w:rFonts w:hint="eastAsia"/>
        </w:rPr>
        <w:t>（一）节物资采购管理思路</w:t>
      </w:r>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bookmarkEnd w:id="11214"/>
      <w:bookmarkEnd w:id="11215"/>
      <w:bookmarkEnd w:id="11216"/>
      <w:bookmarkEnd w:id="11217"/>
    </w:p>
    <w:p w14:paraId="2AA7E0CA">
      <w:pPr>
        <w:ind w:firstLine="560"/>
      </w:pPr>
      <w:r>
        <w:rPr>
          <w:rFonts w:hint="eastAsia"/>
        </w:rPr>
        <w:t>为切实做好采购管理,采购部将从其外部和内部两方面着手。</w:t>
      </w:r>
    </w:p>
    <w:p w14:paraId="04AB4BB4">
      <w:pPr>
        <w:ind w:firstLine="560"/>
      </w:pPr>
      <w:r>
        <w:rPr>
          <w:rFonts w:hint="eastAsia"/>
        </w:rPr>
        <w:t>(一)纵观全局,协调与主要部门的接口关系</w:t>
      </w:r>
    </w:p>
    <w:p w14:paraId="59E44A89">
      <w:pPr>
        <w:ind w:firstLine="560"/>
      </w:pPr>
      <w:r>
        <w:rPr>
          <w:rFonts w:hint="eastAsia"/>
        </w:rPr>
        <w:t>承包模式的核心问题是施工与设计的整合,这种模式的有效性,取决于项目实施过程中每个环节的协调效率,尤其采购工作在项目实施过程中充当着“承上启下”的衔接作用。</w:t>
      </w:r>
    </w:p>
    <w:p w14:paraId="4F21A2BE">
      <w:pPr>
        <w:ind w:firstLine="560"/>
      </w:pPr>
      <w:r>
        <w:rPr>
          <w:rFonts w:hint="eastAsia"/>
        </w:rPr>
        <w:t>在采购管理工作中,采购部充当着与其他主要部门相协调的关键角色。</w:t>
      </w:r>
    </w:p>
    <w:p w14:paraId="24D5CE6F">
      <w:pPr>
        <w:ind w:firstLine="560"/>
      </w:pPr>
      <w:r>
        <w:rPr>
          <w:rFonts w:hint="eastAsia"/>
        </w:rPr>
        <w:t>1.采购工作与设计工作的有机融合在工程进度计划中统筹安排设计、采购,将采购纳入设计程序,进行设计工作的同时开展采购工作,对设备、材料进行跟踪控制,特别是对关键的长周期设备要提前采购,从而有效地控制工程成本和工期。具体来说:</w:t>
      </w:r>
    </w:p>
    <w:p w14:paraId="4699FE0A">
      <w:pPr>
        <w:ind w:firstLine="560"/>
      </w:pPr>
      <w:r>
        <w:rPr>
          <w:rFonts w:hint="eastAsia"/>
        </w:rPr>
        <w:t>(1)设计部门</w:t>
      </w:r>
    </w:p>
    <w:p w14:paraId="7B94B459">
      <w:pPr>
        <w:ind w:firstLine="560"/>
      </w:pPr>
      <w:r>
        <w:rPr>
          <w:rFonts w:hint="eastAsia"/>
        </w:rPr>
        <w:t>设计阶段,负责编制项目所需的设备表及材料表,作为采购文件提交采购部门;招标阶段,负责编制材料请购单,由采购部门向供货商发起询价,设计部门协助对供货厂商报价的技术部分提出评审意见,为采购部门确定合格厂商提供有效参考;负责技术及资料图纸方面的谈判,参加由采购部门组织的厂商协调会;现场交接阶段,参加由采购部门组织的关于设备材料试验及试运行等检验工作。</w:t>
      </w:r>
    </w:p>
    <w:p w14:paraId="5100483B">
      <w:pPr>
        <w:ind w:firstLine="560"/>
      </w:pPr>
      <w:r>
        <w:rPr>
          <w:rFonts w:hint="eastAsia"/>
        </w:rPr>
        <w:t>(2)采购部门</w:t>
      </w:r>
    </w:p>
    <w:p w14:paraId="6E53E6E7">
      <w:pPr>
        <w:ind w:firstLine="560"/>
      </w:pPr>
      <w:r>
        <w:rPr>
          <w:rFonts w:hint="eastAsia"/>
        </w:rPr>
        <w:t>负责对设计的可施工性进行分析;负责依采购文件编制具体的采购进度计划,对所有设备、材料的采购控制点，分类提出计划方案,获得设计部门认可,提交项目经理批准;选择合格厂商阶段,主要负责商务评审的内容,并结合设计部门的技术评审意见进行综合评审,确定最终供货厂商;负责催交供货商提交的先期确认图纸及最终确认图纸,转交设计部门</w:t>
      </w:r>
    </w:p>
    <w:p w14:paraId="1F410A9D">
      <w:pPr>
        <w:ind w:firstLine="560"/>
      </w:pPr>
      <w:r>
        <w:rPr>
          <w:rFonts w:hint="eastAsia"/>
        </w:rPr>
        <w:t>审查;负责组织采购过程中涉及的各种协调会议,必要时可邀请设计部门参加。</w:t>
      </w:r>
    </w:p>
    <w:p w14:paraId="6A66BAD8">
      <w:pPr>
        <w:ind w:firstLine="560"/>
      </w:pPr>
      <w:r>
        <w:rPr>
          <w:rFonts w:hint="eastAsia"/>
        </w:rPr>
        <w:t>总体上来说,设计为采购提供技术支持,是总承包项目的龙头。采购部门负责对设计中的采购文件予以响应和具体实施,其过程中发生的成本、设备和材料的质量将影响设计蓝图的实现程度和效果。两者之间的通力合作和完美搭接是工程顺利开展的有效保障。</w:t>
      </w:r>
    </w:p>
    <w:p w14:paraId="7E7B5BC7">
      <w:pPr>
        <w:ind w:firstLine="560"/>
      </w:pPr>
      <w:r>
        <w:rPr>
          <w:rFonts w:hint="eastAsia"/>
        </w:rPr>
        <w:t>2.采购工作与施工工作的有效结合。采购和施工是发生项目成本的两个主要环节,在项目开展过程中往往是环环相扣的。良好的采购管理,不仅要满足经济性的要求,也要满足施工进度安排。一方面,采购部门与施工部门协商,根据项目的总体进度计划要求确定所有拟采购设备及材料运抵现场的时间,分类提出进度计划方案,并提交项目经理批准,进而交给现场项目经理部和通知供货商。另一方面,在工程施工过程中出现现场变更、施工进度变更时,会对相应采购工作的开展产生影响,此时施工部门应与采购部门进行充分有效的沟通,采取“早意识早预防,早发现早解决”的原则,把握最佳的时机将变更对工程进度和质量的,高效率创造利润的最终目的。</w:t>
      </w:r>
    </w:p>
    <w:p w14:paraId="3319BB1E">
      <w:pPr>
        <w:ind w:firstLine="560"/>
      </w:pPr>
      <w:r>
        <w:rPr>
          <w:rFonts w:hint="eastAsia"/>
        </w:rPr>
        <w:t>(二)统筹规划,把握内部采购环节的控制要点</w:t>
      </w:r>
    </w:p>
    <w:p w14:paraId="5D9A87D8">
      <w:pPr>
        <w:ind w:firstLine="560"/>
      </w:pPr>
      <w:r>
        <w:rPr>
          <w:rFonts w:hint="eastAsia"/>
        </w:rPr>
        <w:t>工程物资采购包括采购计划、采买、催交、检验和运输等具体环节,要求承包商有战略远见,善于抓住主要矛盾,把握各环节的控制要点,以此实现高效的采购管理。</w:t>
      </w:r>
    </w:p>
    <w:p w14:paraId="45CAC079">
      <w:pPr>
        <w:ind w:firstLine="560"/>
      </w:pPr>
      <w:r>
        <w:rPr>
          <w:rFonts w:hint="eastAsia"/>
        </w:rPr>
        <w:t>①采购计划</w:t>
      </w:r>
    </w:p>
    <w:p w14:paraId="5ED4C6F0">
      <w:pPr>
        <w:ind w:firstLine="560"/>
      </w:pPr>
      <w:r>
        <w:rPr>
          <w:rFonts w:hint="eastAsia"/>
        </w:rPr>
        <w:t>项目采购计划是项目总体计划在采购方面的深化和补充,是采购工作的具体而详细的指导性任务文件。本项目的采购计划分为总体计划与采购进度计划。</w:t>
      </w:r>
    </w:p>
    <w:p w14:paraId="0DA9AACC">
      <w:pPr>
        <w:ind w:firstLine="560"/>
      </w:pPr>
      <w:r>
        <w:rPr>
          <w:rFonts w:hint="eastAsia"/>
        </w:rPr>
        <w:t>总体采购计划包括的内容有:项目采购范围;业主相关部门对采购工作的特殊要求,以及业主对采购文件的审查规则;与厂家/供货商的协调程序和采购工作应遵守的工作程序;项目采购进度与费用的控制目标;总体采购原则,包括符合合同原则、进度保证原则、质量保证原则、价格经济原则、安全保证原则;采购其他问题说明等。</w:t>
      </w:r>
    </w:p>
    <w:p w14:paraId="33BD9D4F">
      <w:pPr>
        <w:ind w:firstLine="560"/>
      </w:pPr>
      <w:r>
        <w:rPr>
          <w:rFonts w:hint="eastAsia"/>
        </w:rPr>
        <w:t>采购进度计划是在采购总体计划的框架下,完成主设备、主材、辅材、各类消耗性备件等物资采购的进度控制目标,由采购部经理组织其人员编制的计划性文件</w:t>
      </w:r>
    </w:p>
    <w:p w14:paraId="17FF0758">
      <w:pPr>
        <w:ind w:firstLine="560"/>
      </w:pPr>
      <w:r>
        <w:rPr>
          <w:rFonts w:hint="eastAsia"/>
        </w:rPr>
        <w:t>在对项目采购进度计划控制时,重点关注两方面的内容:</w:t>
      </w:r>
    </w:p>
    <w:p w14:paraId="193E9F8B">
      <w:pPr>
        <w:ind w:firstLine="560"/>
      </w:pPr>
      <w:r>
        <w:rPr>
          <w:rFonts w:hint="eastAsia"/>
        </w:rPr>
        <w:t>一是计划的“刚性”与“柔性相结合。其刚性”主要表现在采购进度计划必须满足项目的总体进度计划。但由于项目总体计划在实施过程中可能有所调整,而且大型复杂的长周期设备的供货周期受到很多外部条件的约束,容易发生改变。因此,在确保符合总体进度计划的同时,保持一定的弹性。</w:t>
      </w:r>
    </w:p>
    <w:p w14:paraId="11F107B1">
      <w:pPr>
        <w:ind w:firstLine="560"/>
      </w:pPr>
      <w:r>
        <w:rPr>
          <w:rFonts w:hint="eastAsia"/>
        </w:rPr>
        <w:t>二是采购进度计划与设计进度计划、施工进度计划的衔接。在采购进度计划中,充分考虑设计部向采购部提交请购文件的时间,厂家返回图纸资料和审查的时间,施工部要求材料、设备交付项目现场的时间,各进度计划之间必须协调一致。</w:t>
      </w:r>
    </w:p>
    <w:p w14:paraId="29C9913A">
      <w:pPr>
        <w:ind w:firstLine="560"/>
      </w:pPr>
      <w:r>
        <w:rPr>
          <w:rFonts w:hint="eastAsia"/>
        </w:rPr>
        <w:t>②物资采头</w:t>
      </w:r>
    </w:p>
    <w:p w14:paraId="3AD4146B">
      <w:pPr>
        <w:ind w:firstLine="560"/>
      </w:pPr>
      <w:r>
        <w:rPr>
          <w:rFonts w:hint="eastAsia"/>
        </w:rPr>
        <w:t>采买工作是指采购部门从询价到下订单的工作流程。</w:t>
      </w:r>
    </w:p>
    <w:p w14:paraId="30BEA405">
      <w:pPr>
        <w:ind w:firstLine="560"/>
      </w:pPr>
      <w:r>
        <w:rPr>
          <w:rFonts w:hint="eastAsia"/>
        </w:rPr>
        <w:t>对于采买的具体物资,可以分为两大类:第一类是必须从业主确定的“供货商名单购买的物资,这类物资主要是工程设备;另一类是包商可以自行决定从市场采购的其他设备和材料。</w:t>
      </w:r>
    </w:p>
    <w:p w14:paraId="7F31653E">
      <w:pPr>
        <w:ind w:firstLine="560"/>
      </w:pPr>
      <w:r>
        <w:rPr>
          <w:rFonts w:hint="eastAsia"/>
        </w:rPr>
        <w:t>对于第一类物资,下订单前,一般须获得业主的批准,但一般只是程序的审核,即:采购的供货商厂家是否符合合同的约定。对于后一类物资,可以根据承包商内部的采购程序执行。</w:t>
      </w:r>
    </w:p>
    <w:p w14:paraId="1B31714D">
      <w:pPr>
        <w:ind w:firstLine="560"/>
      </w:pPr>
      <w:r>
        <w:rPr>
          <w:rFonts w:hint="eastAsia"/>
        </w:rPr>
        <w:t>物资采买过程中需要注意如下几方面:</w:t>
      </w:r>
    </w:p>
    <w:p w14:paraId="27B10E3B">
      <w:pPr>
        <w:ind w:firstLine="560"/>
      </w:pPr>
      <w:r>
        <w:rPr>
          <w:rFonts w:hint="eastAsia"/>
        </w:rPr>
        <w:t>一是采买方式的选择。物资的采买方式包括公开招标、邀请招标、议标/单一货源采购。但由于项目实施条件的限制,对大宗材料和设备,大多采用邀请招标或直接议标采购。</w:t>
      </w:r>
    </w:p>
    <w:p w14:paraId="4CB84A2E">
      <w:pPr>
        <w:ind w:firstLine="560"/>
      </w:pPr>
      <w:r>
        <w:rPr>
          <w:rFonts w:hint="eastAsia"/>
        </w:rPr>
        <w:t>对于确定参加投标的厂商应综合考虑各厂商的技术水平、生产能力和信誉,且不要太多,应控制在三到五家为宜。</w:t>
      </w:r>
    </w:p>
    <w:p w14:paraId="61C4083B">
      <w:pPr>
        <w:ind w:firstLine="560"/>
      </w:pPr>
      <w:r>
        <w:rPr>
          <w:rFonts w:hint="eastAsia"/>
        </w:rPr>
        <w:t>二是招标/询价文件以及供货合同的编制。物资采购的招标/询价文件的编制是采买过程中最重要的环节之一,尤其是设备采购。</w:t>
      </w:r>
    </w:p>
    <w:p w14:paraId="524A819E">
      <w:pPr>
        <w:ind w:firstLine="560"/>
      </w:pPr>
      <w:r>
        <w:rPr>
          <w:rFonts w:hint="eastAsia"/>
        </w:rPr>
        <w:t>招标/询价文件由技术询价文件和商务询价文件构成。技术文件主要包括请购单、数据表、技术规格说明书、相关图纸。商务文件主要包括供货基本合同条件和报价表。在编制商务文件时,应根据合同的要求来强调供货商必须满足的供货条件,如交货期等。合同控制方面,对各种细节比如拟采购物资的技术要求、供货方式、供货时间、结算方式都要写清楚,防止因合同不明造成不必要的争端和索赔。</w:t>
      </w:r>
    </w:p>
    <w:p w14:paraId="7EC64A4B">
      <w:pPr>
        <w:ind w:firstLine="560"/>
      </w:pPr>
      <w:r>
        <w:rPr>
          <w:rFonts w:hint="eastAsia"/>
        </w:rPr>
        <w:t>③催收</w:t>
      </w:r>
    </w:p>
    <w:p w14:paraId="4299CF55">
      <w:pPr>
        <w:ind w:firstLine="560"/>
      </w:pPr>
      <w:r>
        <w:t>从签订采购合同开始到最终物资抵达现场都属于催交工作的范畴。</w:t>
      </w:r>
    </w:p>
    <w:p w14:paraId="76A5C645">
      <w:pPr>
        <w:ind w:firstLine="560"/>
      </w:pPr>
      <w:r>
        <w:t>对于项目的采购来说,催交是一项十分重要的工作,从项目的实践来看,催交的工作量占整个采购工作量的20-30%。催交工作要有预见性,供货商有多种情况不能够按时交货,比如在准备、加工制造、装运过程中出现问题,供货商有时面临很多订单,不能按时生产出所采购设备或其质量规格与合同不符等,这就要求催交工作人员能够及时发现问题并采取有效的费用控制和质量保证措施,以防进度拖延。</w:t>
      </w:r>
    </w:p>
    <w:p w14:paraId="7E69A546">
      <w:pPr>
        <w:ind w:firstLine="560"/>
      </w:pPr>
      <w:r>
        <w:t>如果项目的采购量大,采购过程不易控制,则可以在采购部设置专门的催交工程师,负责催交工作。尤其对于设备采购,其催交工作比较紧迫,为此需要制定详细的催交计划。通过与供货商在设备设计、制造、运输等各环节保持紧密联络,从而实施监督检查。对于材料采购,主要工作集中在每次材料启运前,向供货商确认所运材料是否属于按计划本次应运的材料,防止运至现场的材料与计划所需不一致,对工期造成延误。</w:t>
      </w:r>
    </w:p>
    <w:p w14:paraId="0A84DE0A">
      <w:pPr>
        <w:ind w:firstLine="560"/>
      </w:pPr>
      <w:r>
        <w:rPr>
          <w:rFonts w:hint="eastAsia"/>
        </w:rPr>
        <w:t>④检验</w:t>
      </w:r>
    </w:p>
    <w:p w14:paraId="19695200">
      <w:pPr>
        <w:ind w:firstLine="560"/>
      </w:pPr>
      <w:r>
        <w:rPr>
          <w:rFonts w:hint="eastAsia"/>
        </w:rPr>
        <w:t>检验工作是对所采购物资的质量是否符合要求的检查工作,是采购过程中的质量保证环节。检验的类别可以分为:现场接收检验、启运前检验、工序节点检验、驻厂检验。根据设备和材料的重要性和复杂性,加上交货期方面的因素,可以考虑进行这四类检验中的任何一类或几类同时应用。</w:t>
      </w:r>
    </w:p>
    <w:p w14:paraId="20018DD0">
      <w:pPr>
        <w:ind w:firstLine="560"/>
      </w:pPr>
      <w:r>
        <w:rPr>
          <w:rFonts w:hint="eastAsia"/>
        </w:rPr>
        <w:t>检验工作的核心是确保材料、设备的质量符合订货合同规定的要求。操作过程中,应避免由于质量问题影响工程建设,并依据项目机构人员配备的具体情况,由专业的检验人员做好材料设备制造过程中的监制、检验和验证工作每次检验结束后,应由承包商检验工程师整理检验报告,真实地纪录检验的过程和结果,并给出被检验的设备或材料是否符合合同的规定。</w:t>
      </w:r>
    </w:p>
    <w:p w14:paraId="1207418B">
      <w:pPr>
        <w:ind w:firstLine="560"/>
      </w:pPr>
      <w:bookmarkStart w:id="11218" w:name="_Toc7290"/>
      <w:bookmarkStart w:id="11219" w:name="_Toc20088"/>
      <w:bookmarkStart w:id="11220" w:name="_Toc5712"/>
      <w:bookmarkStart w:id="11221" w:name="_Toc28995"/>
      <w:bookmarkStart w:id="11222" w:name="_Toc8540"/>
      <w:bookmarkStart w:id="11223" w:name="_Toc2740"/>
      <w:bookmarkStart w:id="11224" w:name="_Toc30209"/>
      <w:bookmarkStart w:id="11225" w:name="_Toc15549"/>
      <w:bookmarkStart w:id="11226" w:name="_Toc13494"/>
      <w:bookmarkStart w:id="11227" w:name="_Toc10960"/>
      <w:bookmarkStart w:id="11228" w:name="_Toc11792"/>
      <w:bookmarkStart w:id="11229" w:name="_Toc26199"/>
      <w:bookmarkStart w:id="11230" w:name="_Toc12763"/>
      <w:bookmarkStart w:id="11231" w:name="_Toc963"/>
      <w:bookmarkStart w:id="11232" w:name="_Toc13625"/>
      <w:bookmarkStart w:id="11233" w:name="_Toc15509"/>
      <w:bookmarkStart w:id="11234" w:name="_Toc5624"/>
      <w:bookmarkStart w:id="11235" w:name="_Toc5874"/>
      <w:bookmarkStart w:id="11236" w:name="_Toc8586"/>
      <w:bookmarkStart w:id="11237" w:name="_Toc3160"/>
      <w:bookmarkStart w:id="11238" w:name="_Toc29145"/>
      <w:bookmarkStart w:id="11239" w:name="_Toc8889"/>
      <w:bookmarkStart w:id="11240" w:name="_Toc6193"/>
      <w:bookmarkStart w:id="11241" w:name="_Toc31874"/>
      <w:bookmarkStart w:id="11242" w:name="_Toc3915"/>
      <w:bookmarkStart w:id="11243" w:name="_Toc22086"/>
      <w:bookmarkStart w:id="11244" w:name="_Toc278"/>
      <w:bookmarkStart w:id="11245" w:name="_Toc29496"/>
      <w:bookmarkStart w:id="11246" w:name="_Toc3579"/>
      <w:bookmarkStart w:id="11247" w:name="_Toc5402"/>
      <w:bookmarkStart w:id="11248" w:name="_Toc25316"/>
      <w:bookmarkStart w:id="11249" w:name="_Toc25447"/>
      <w:bookmarkStart w:id="11250" w:name="_Toc11180"/>
      <w:bookmarkStart w:id="11251" w:name="_Toc30201"/>
      <w:bookmarkStart w:id="11252" w:name="_Toc16516"/>
      <w:bookmarkStart w:id="11253" w:name="_Toc10939"/>
      <w:bookmarkStart w:id="11254" w:name="_Toc24977"/>
      <w:bookmarkStart w:id="11255" w:name="_Toc15064"/>
      <w:bookmarkStart w:id="11256" w:name="_Toc8303"/>
      <w:bookmarkStart w:id="11257" w:name="_Toc28225"/>
      <w:bookmarkStart w:id="11258" w:name="_Toc7847"/>
      <w:bookmarkStart w:id="11259" w:name="_Toc13991"/>
      <w:bookmarkStart w:id="11260" w:name="_Toc6821"/>
      <w:bookmarkStart w:id="11261" w:name="_Toc18597"/>
      <w:bookmarkStart w:id="11262" w:name="_Toc19480"/>
      <w:bookmarkStart w:id="11263" w:name="_Toc5615"/>
      <w:bookmarkStart w:id="11264" w:name="_Toc10837"/>
      <w:r>
        <w:rPr>
          <w:rFonts w:hint="eastAsia"/>
        </w:rPr>
        <w:t>（二）建立和完善物资采购制度</w:t>
      </w:r>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bookmarkEnd w:id="11263"/>
      <w:bookmarkEnd w:id="11264"/>
    </w:p>
    <w:p w14:paraId="10FD072C">
      <w:pPr>
        <w:ind w:firstLine="560"/>
      </w:pPr>
      <w:r>
        <w:rPr>
          <w:rFonts w:hint="eastAsia"/>
        </w:rPr>
        <w:t>1、采购制度</w:t>
      </w:r>
    </w:p>
    <w:p w14:paraId="50187763">
      <w:pPr>
        <w:ind w:firstLine="560"/>
      </w:pPr>
      <w:r>
        <w:rPr>
          <w:rFonts w:hint="eastAsia"/>
        </w:rPr>
        <w:t>建立严格、完善的采购制度。采购制度应规定材料采购的申请、授权人的批准许可权、材料采购的流程、相关部门的责任和关系、各种材料采购的规定和方式、报价和价格审批等。比如,可在采购制度中规定采购的物品要向供应商询价、列表比较、议价,然后选择供应商,并把所选的供应商及其报价填在申购单上;还可规定超过一定金额的采购须附三个以上的书面报价及上级领导审批等,以供财务部门或内部审计部门稽核。</w:t>
      </w:r>
    </w:p>
    <w:p w14:paraId="3852278A">
      <w:pPr>
        <w:ind w:firstLine="560"/>
      </w:pPr>
      <w:r>
        <w:rPr>
          <w:rFonts w:hint="eastAsia"/>
        </w:rPr>
        <w:t>2、供应商档案和准入制度</w:t>
      </w:r>
    </w:p>
    <w:p w14:paraId="54FF6BD5">
      <w:pPr>
        <w:ind w:firstLine="560"/>
      </w:pPr>
      <w:r>
        <w:rPr>
          <w:rFonts w:hint="eastAsia"/>
        </w:rPr>
        <w:t>对企业的正式供应商要建立档案,供应商档案除要有资质证明材料、详细联系方式、地址、银行账号、供应商评价外、还应有付款条款、交货条款、交货期限等,供应商档案应定期或不定期更新,并设专人管理;同时要建立供应商准入制度,企业要制定严格的考核程序和指标,只有达到或超过评分标准者才能成为归档供应商。</w:t>
      </w:r>
    </w:p>
    <w:p w14:paraId="0F6A2A82">
      <w:pPr>
        <w:ind w:firstLine="560"/>
      </w:pPr>
      <w:r>
        <w:rPr>
          <w:rFonts w:hint="eastAsia"/>
        </w:rPr>
        <w:t>3、价格档案盒价格评价体系</w:t>
      </w:r>
    </w:p>
    <w:p w14:paraId="0BE46715">
      <w:pPr>
        <w:ind w:firstLine="560"/>
      </w:pPr>
      <w:r>
        <w:rPr>
          <w:rFonts w:hint="eastAsia"/>
        </w:rPr>
        <w:t>企业采购部门要对所有采购材料建立价格档案,原则上,材料采购的价格不能超过档案中的价格水平,否则要作出详细的说明。对于重点材料的价格,要建立价格评价体系,成立价格评价组,收集供应价格咨询,分析、评价现有的价格水平,并对归档的价格档案进行评价和更新。</w:t>
      </w:r>
    </w:p>
    <w:p w14:paraId="4890F089">
      <w:pPr>
        <w:ind w:firstLine="560"/>
      </w:pPr>
      <w:bookmarkStart w:id="11265" w:name="_Toc7402"/>
      <w:bookmarkStart w:id="11266" w:name="_Toc8975"/>
      <w:bookmarkStart w:id="11267" w:name="_Toc31859"/>
      <w:bookmarkStart w:id="11268" w:name="_Toc1671"/>
      <w:bookmarkStart w:id="11269" w:name="_Toc32129"/>
      <w:bookmarkStart w:id="11270" w:name="_Toc20720"/>
      <w:bookmarkStart w:id="11271" w:name="_Toc32420"/>
      <w:bookmarkStart w:id="11272" w:name="_Toc23163"/>
      <w:bookmarkStart w:id="11273" w:name="_Toc8624"/>
      <w:bookmarkStart w:id="11274" w:name="_Toc20018"/>
      <w:bookmarkStart w:id="11275" w:name="_Toc21315"/>
      <w:bookmarkStart w:id="11276" w:name="_Toc26039"/>
      <w:bookmarkStart w:id="11277" w:name="_Toc15780"/>
      <w:bookmarkStart w:id="11278" w:name="_Toc24604"/>
      <w:bookmarkStart w:id="11279" w:name="_Toc17021"/>
      <w:bookmarkStart w:id="11280" w:name="_Toc19569"/>
      <w:bookmarkStart w:id="11281" w:name="_Toc20980"/>
      <w:bookmarkStart w:id="11282" w:name="_Toc31298"/>
      <w:bookmarkStart w:id="11283" w:name="_Toc4784"/>
      <w:bookmarkStart w:id="11284" w:name="_Toc1765"/>
      <w:bookmarkStart w:id="11285" w:name="_Toc28202"/>
      <w:bookmarkStart w:id="11286" w:name="_Toc2104"/>
      <w:bookmarkStart w:id="11287" w:name="_Toc4399"/>
      <w:bookmarkStart w:id="11288" w:name="_Toc15474"/>
      <w:bookmarkStart w:id="11289" w:name="_Toc11156"/>
      <w:bookmarkStart w:id="11290" w:name="_Toc31137"/>
      <w:bookmarkStart w:id="11291" w:name="_Toc9600"/>
      <w:bookmarkStart w:id="11292" w:name="_Toc26518"/>
      <w:bookmarkStart w:id="11293" w:name="_Toc10624"/>
      <w:bookmarkStart w:id="11294" w:name="_Toc32392"/>
      <w:bookmarkStart w:id="11295" w:name="_Toc31452"/>
      <w:bookmarkStart w:id="11296" w:name="_Toc14344"/>
      <w:bookmarkStart w:id="11297" w:name="_Toc29519"/>
      <w:bookmarkStart w:id="11298" w:name="_Toc16244"/>
      <w:bookmarkStart w:id="11299" w:name="_Toc28462"/>
      <w:bookmarkStart w:id="11300" w:name="_Toc4042"/>
      <w:bookmarkStart w:id="11301" w:name="_Toc6580"/>
      <w:bookmarkStart w:id="11302" w:name="_Toc3285"/>
      <w:bookmarkStart w:id="11303" w:name="_Toc26299"/>
      <w:bookmarkStart w:id="11304" w:name="_Toc10124"/>
      <w:bookmarkStart w:id="11305" w:name="_Toc4449"/>
      <w:r>
        <w:rPr>
          <w:rFonts w:hint="eastAsia"/>
        </w:rPr>
        <w:t>（三）物资采购组织机构</w:t>
      </w:r>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p>
    <w:p w14:paraId="7E30F80C">
      <w:pPr>
        <w:ind w:firstLine="560"/>
      </w:pPr>
      <w:r>
        <w:rPr>
          <w:rFonts w:hint="eastAsia"/>
        </w:rPr>
        <w:t>（一）组织机构</w:t>
      </w:r>
    </w:p>
    <w:p w14:paraId="0368DB22">
      <w:pPr>
        <w:ind w:firstLine="560"/>
      </w:pPr>
      <w:r>
        <w:rPr>
          <w:rFonts w:hint="eastAsia"/>
        </w:rPr>
        <w:t>为有效管理整个项目的采购工作,在本项目的组织机构中,设置专门的物资采购部。根据本项目整个采购工作的性质,采购部设置采购经理、大宗材料采购员、设备安装采购员、成本复核员、仓库管理员等职位。</w:t>
      </w:r>
    </w:p>
    <w:p w14:paraId="743989B0">
      <w:pPr>
        <w:ind w:firstLine="560"/>
      </w:pPr>
      <w:r>
        <w:rPr>
          <w:rFonts w:hint="eastAsia"/>
        </w:rPr>
        <w:t>（二）采购部职责</w:t>
      </w:r>
    </w:p>
    <w:p w14:paraId="4AFFC492">
      <w:pPr>
        <w:ind w:firstLine="560"/>
      </w:pPr>
      <w:r>
        <w:rPr>
          <w:rFonts w:hint="eastAsia"/>
        </w:rPr>
        <w:t>1、全面负责工程合同下的物资采购供应管理工作；</w:t>
      </w:r>
    </w:p>
    <w:p w14:paraId="6C8F0E5F">
      <w:pPr>
        <w:ind w:firstLine="560"/>
      </w:pPr>
      <w:r>
        <w:rPr>
          <w:rFonts w:hint="eastAsia"/>
        </w:rPr>
        <w:t>2、采购部根据项目部的总体部署和施工要求,对工程所需物资的采买、运输、储存、调拨、结算和核销等工作统一安排、统一协调、统一管理;</w:t>
      </w:r>
    </w:p>
    <w:p w14:paraId="2092336C">
      <w:pPr>
        <w:ind w:firstLine="560"/>
      </w:pPr>
      <w:r>
        <w:rPr>
          <w:rFonts w:hint="eastAsia"/>
        </w:rPr>
        <w:t>3、负责采购物资质里控制和物资供应流量计划、进度计划的编制,并监督实施；</w:t>
      </w:r>
    </w:p>
    <w:p w14:paraId="10A81DDD">
      <w:pPr>
        <w:ind w:firstLine="560"/>
      </w:pPr>
      <w:r>
        <w:rPr>
          <w:rFonts w:hint="eastAsia"/>
        </w:rPr>
        <w:t>4、负责物资供需计划的编制和供应进度计划的编制；</w:t>
      </w:r>
    </w:p>
    <w:p w14:paraId="451CB5F8">
      <w:pPr>
        <w:ind w:firstLine="560"/>
      </w:pPr>
      <w:r>
        <w:rPr>
          <w:rFonts w:hint="eastAsia"/>
        </w:rPr>
        <w:t>5、负责物资采购资金使用计划编制及资金控制管理；</w:t>
      </w:r>
    </w:p>
    <w:p w14:paraId="012DC8F6">
      <w:pPr>
        <w:ind w:firstLine="560"/>
      </w:pPr>
      <w:r>
        <w:rPr>
          <w:rFonts w:hint="eastAsia"/>
        </w:rPr>
        <w:t>6、负责大宗、主要物资招标文件的编制发放、招标会议组织、技术和商务谈判、合同签订以及物资采购招标的日常工作；</w:t>
      </w:r>
    </w:p>
    <w:p w14:paraId="10DD18AB">
      <w:pPr>
        <w:ind w:firstLine="560"/>
      </w:pPr>
      <w:bookmarkStart w:id="11306" w:name="_Toc22646"/>
      <w:bookmarkStart w:id="11307" w:name="_Toc24007"/>
      <w:bookmarkStart w:id="11308" w:name="_Toc660"/>
      <w:bookmarkStart w:id="11309" w:name="_Toc15022"/>
      <w:bookmarkStart w:id="11310" w:name="_Toc10113"/>
      <w:bookmarkStart w:id="11311" w:name="_Toc9454"/>
      <w:bookmarkStart w:id="11312" w:name="_Toc3885"/>
      <w:bookmarkStart w:id="11313" w:name="_Toc12266"/>
      <w:bookmarkStart w:id="11314" w:name="_Toc16431"/>
      <w:bookmarkStart w:id="11315" w:name="_Toc6591"/>
      <w:bookmarkStart w:id="11316" w:name="_Toc1798"/>
      <w:bookmarkStart w:id="11317" w:name="_Toc22485"/>
      <w:bookmarkStart w:id="11318" w:name="_Toc18671"/>
      <w:bookmarkStart w:id="11319" w:name="_Toc17567"/>
      <w:bookmarkStart w:id="11320" w:name="_Toc29241"/>
      <w:bookmarkStart w:id="11321" w:name="_Toc28536"/>
      <w:bookmarkStart w:id="11322" w:name="_Toc29143"/>
      <w:bookmarkStart w:id="11323" w:name="_Toc4392"/>
      <w:bookmarkStart w:id="11324" w:name="_Toc30903"/>
      <w:bookmarkStart w:id="11325" w:name="_Toc7449"/>
      <w:bookmarkStart w:id="11326" w:name="_Toc8652"/>
      <w:bookmarkStart w:id="11327" w:name="_Toc26355"/>
      <w:bookmarkStart w:id="11328" w:name="_Toc718"/>
      <w:bookmarkStart w:id="11329" w:name="_Toc3677"/>
      <w:bookmarkStart w:id="11330" w:name="_Toc13238"/>
      <w:bookmarkStart w:id="11331" w:name="_Toc27790"/>
      <w:bookmarkStart w:id="11332" w:name="_Toc1288"/>
      <w:bookmarkStart w:id="11333" w:name="_Toc10584"/>
      <w:bookmarkStart w:id="11334" w:name="_Toc29554"/>
      <w:bookmarkStart w:id="11335" w:name="_Toc13833"/>
      <w:bookmarkStart w:id="11336" w:name="_Toc18778"/>
      <w:bookmarkStart w:id="11337" w:name="_Toc18395"/>
      <w:bookmarkStart w:id="11338" w:name="_Toc23594"/>
      <w:bookmarkStart w:id="11339" w:name="_Toc17237"/>
      <w:bookmarkStart w:id="11340" w:name="_Toc6512"/>
      <w:bookmarkStart w:id="11341" w:name="_Toc3079"/>
      <w:bookmarkStart w:id="11342" w:name="_Toc14782"/>
      <w:bookmarkStart w:id="11343" w:name="_Toc27925"/>
      <w:bookmarkStart w:id="11344" w:name="_Toc21309"/>
      <w:bookmarkStart w:id="11345" w:name="_Toc29958"/>
      <w:bookmarkStart w:id="11346" w:name="_Toc25281"/>
      <w:bookmarkStart w:id="11347" w:name="_Toc827"/>
      <w:bookmarkStart w:id="11348" w:name="_Toc22481"/>
      <w:bookmarkStart w:id="11349" w:name="_Toc14063"/>
      <w:bookmarkStart w:id="11350" w:name="_Toc16293"/>
      <w:bookmarkStart w:id="11351" w:name="_Toc22069"/>
      <w:bookmarkStart w:id="11352" w:name="_Toc28026"/>
      <w:bookmarkStart w:id="11353" w:name="_Toc19767"/>
      <w:bookmarkStart w:id="11354" w:name="_Toc20632"/>
      <w:r>
        <w:rPr>
          <w:rFonts w:hint="eastAsia"/>
        </w:rPr>
        <w:t>（四）物资采购流程</w:t>
      </w:r>
      <w:bookmarkEnd w:id="11306"/>
      <w:bookmarkEnd w:id="11307"/>
      <w:bookmarkEnd w:id="11308"/>
      <w:bookmarkEnd w:id="11309"/>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bookmarkEnd w:id="11351"/>
      <w:bookmarkEnd w:id="11352"/>
      <w:bookmarkEnd w:id="11353"/>
      <w:bookmarkEnd w:id="11354"/>
    </w:p>
    <w:p w14:paraId="77F3850E">
      <w:pPr>
        <w:pStyle w:val="18"/>
      </w:pPr>
      <w:r>
        <w:rPr>
          <w:lang w:val="en-US" w:bidi="ar-SA"/>
        </w:rPr>
        <w:drawing>
          <wp:inline distT="0" distB="0" distL="114300" distR="114300">
            <wp:extent cx="5274310" cy="4907280"/>
            <wp:effectExtent l="0" t="0" r="2540" b="7620"/>
            <wp:docPr id="4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8"/>
                    <pic:cNvPicPr>
                      <a:picLocks noChangeAspect="1"/>
                    </pic:cNvPicPr>
                  </pic:nvPicPr>
                  <pic:blipFill>
                    <a:blip r:embed="rId97">
                      <a:grayscl/>
                    </a:blip>
                    <a:stretch>
                      <a:fillRect/>
                    </a:stretch>
                  </pic:blipFill>
                  <pic:spPr>
                    <a:xfrm>
                      <a:off x="0" y="0"/>
                      <a:ext cx="5274310" cy="4907280"/>
                    </a:xfrm>
                    <a:prstGeom prst="rect">
                      <a:avLst/>
                    </a:prstGeom>
                    <a:noFill/>
                    <a:ln>
                      <a:noFill/>
                    </a:ln>
                  </pic:spPr>
                </pic:pic>
              </a:graphicData>
            </a:graphic>
          </wp:inline>
        </w:drawing>
      </w:r>
    </w:p>
    <w:p w14:paraId="236ED741">
      <w:pPr>
        <w:ind w:firstLine="560"/>
      </w:pPr>
      <w:r>
        <w:rPr>
          <w:rFonts w:hint="eastAsia"/>
        </w:rPr>
        <w:t>1、编制采购计划</w:t>
      </w:r>
    </w:p>
    <w:p w14:paraId="4EEE6195">
      <w:pPr>
        <w:ind w:firstLine="560"/>
      </w:pPr>
      <w:r>
        <w:rPr>
          <w:rFonts w:hint="eastAsia"/>
        </w:rPr>
        <w:t>项目采购计划是项目总体计划在采购方面的深化和补充,是采购工作的具体而详细的指导性任务文件项目的采购计划可分为总体计划与采购进度计划。总体采购计划一般包括的内容有:项目采购范围;业主相关部门对采购工作的特殊要求,以及业主对采购文件的审查规则;与厂家/供货商的协调程序和采购工作应遵守的工作程序;项目采购进度与费用的控制目标;总体采购原则,包括符合合同原则、进度保证原则、质量保证原则、价格经济原则、安全保证原则;采购其他问题说明等。</w:t>
      </w:r>
    </w:p>
    <w:p w14:paraId="61E7530E">
      <w:pPr>
        <w:ind w:firstLine="560"/>
      </w:pPr>
      <w:r>
        <w:rPr>
          <w:rFonts w:hint="eastAsia"/>
        </w:rPr>
        <w:t>(1)是计划的“刚性与”柔性相结合。其“刚性”主要表现在采购进度计划必须满足项目的总体进度计划。但由于项目总体计划在实施过程中可能有所调整,而且大型复杂的长周期设备的供货周期受到很多外部条件的约束,容易发生改变。因此,在确保符合总体进度计划的同时,最好保持一定的弹性。</w:t>
      </w:r>
    </w:p>
    <w:p w14:paraId="60F57184">
      <w:pPr>
        <w:ind w:firstLine="560"/>
      </w:pPr>
      <w:r>
        <w:rPr>
          <w:rFonts w:hint="eastAsia"/>
        </w:rPr>
        <w:t>（2)是采购进度计划与设计进度计划、施工进度计划的衔接。在采购进度计划中,应充分考虑设计部向采购部提交请购文件的时间,厂家返回图纸资料和审查的时间,施工部要求材料、设备交付项目现场的时间,各进度计划之间必须协调一致。</w:t>
      </w:r>
    </w:p>
    <w:p w14:paraId="5C18C7BC">
      <w:pPr>
        <w:ind w:firstLine="560"/>
      </w:pPr>
      <w:r>
        <w:rPr>
          <w:rFonts w:hint="eastAsia"/>
        </w:rPr>
        <w:t>4、询价及报价评审;</w:t>
      </w:r>
    </w:p>
    <w:p w14:paraId="1070704B">
      <w:pPr>
        <w:ind w:firstLine="560"/>
      </w:pPr>
      <w:r>
        <w:rPr>
          <w:rFonts w:hint="eastAsia"/>
        </w:rPr>
        <w:t>5、召开供应商协调会及签订采购合同;</w:t>
      </w:r>
    </w:p>
    <w:p w14:paraId="1876DA35">
      <w:pPr>
        <w:ind w:firstLine="560"/>
      </w:pPr>
      <w:r>
        <w:rPr>
          <w:rFonts w:hint="eastAsia"/>
        </w:rPr>
        <w:t>6、催交、检验、运输;</w:t>
      </w:r>
    </w:p>
    <w:p w14:paraId="1D2F443D">
      <w:pPr>
        <w:ind w:firstLine="560"/>
      </w:pPr>
      <w:r>
        <w:rPr>
          <w:rFonts w:hint="eastAsia"/>
        </w:rPr>
        <w:t>(1)催交</w:t>
      </w:r>
    </w:p>
    <w:p w14:paraId="4E30C477">
      <w:pPr>
        <w:ind w:firstLine="560"/>
      </w:pPr>
      <w:r>
        <w:rPr>
          <w:rFonts w:hint="eastAsia"/>
        </w:rPr>
        <w:t>催交的步骤及内容:落实供货厂商设备、材料制造计划和交付计划;落实供货厂商原材料供应及其他辅料的供应;催办先期确认图和最终确认图的提交,审查确认和返回给制造商;跟踪制造计划和交付计划。</w:t>
      </w:r>
    </w:p>
    <w:p w14:paraId="7214C941">
      <w:pPr>
        <w:ind w:firstLine="560"/>
      </w:pPr>
      <w:r>
        <w:rPr>
          <w:rFonts w:hint="eastAsia"/>
        </w:rPr>
        <w:t>从签订采购合同开始到最终物资抵达现场都属于催交工作的范畴。对于项目的采购来说,催交是一项十分重要的工作,从项目的实践来看,催交的工作量占整个采购工作量的20-30%。催交工作要有预见性,供货商有多种情况不能够按时交货,比如在准备、加工制造、装运过程中出现问题,供货商有时面临很多订单,不能按时生产出所采购设备或其质量规格与合同不符等,这就要求催交工作人员能够及时发现问题并采取有效的费用控制和质量保证措施,以防进度拖延。如果项目的采购量大,采购过程不易控制,则可以在采购部设置专门的催交工程师,负责催交工作。尤其对于设备采购,其催交工作比较紧迫,为此需要制定详细的催交计划。</w:t>
      </w:r>
    </w:p>
    <w:p w14:paraId="536B97AA">
      <w:pPr>
        <w:ind w:firstLine="560"/>
      </w:pPr>
      <w:r>
        <w:rPr>
          <w:rFonts w:hint="eastAsia"/>
        </w:rPr>
        <w:t>通过与供货商在设备设计、制造、运输等各环节保持紧密联络,从而实施监督检查。对于材料采购,主要工作集中在每次材料启运前,向供货商确认所运材料是否属于按计划本次应运的材料,防止运至现场的材料与计划所需不一致,对工期造成延误。</w:t>
      </w:r>
    </w:p>
    <w:p w14:paraId="66A0C0C4">
      <w:pPr>
        <w:ind w:firstLine="560"/>
      </w:pPr>
      <w:r>
        <w:rPr>
          <w:rFonts w:hint="eastAsia"/>
        </w:rPr>
        <w:t>(2)检验</w:t>
      </w:r>
    </w:p>
    <w:p w14:paraId="13BDA672">
      <w:pPr>
        <w:ind w:firstLine="560"/>
      </w:pPr>
      <w:r>
        <w:rPr>
          <w:rFonts w:hint="eastAsia"/>
        </w:rPr>
        <w:t>检验的步骤及内容:落实第三方检验计划及合同的签订;落实业主检验计划;关键设备、材料安排驻厂建造和设备材料出厂检验;进出口海关检验;运抵现场开箱检验。</w:t>
      </w:r>
    </w:p>
    <w:p w14:paraId="4FF7DE02">
      <w:pPr>
        <w:ind w:firstLine="560"/>
      </w:pPr>
      <w:r>
        <w:rPr>
          <w:rFonts w:hint="eastAsia"/>
        </w:rPr>
        <w:t>项目采购部根据采购申请和相关合同、规范的要求,负责在供应商的工厂检查设备、材料和监督试验。对检验进行分级管理,确保所有的设备、材料完全符合批准的采购申请和相关的技术要求及检查/试验等级要求。进出口设备材料必须经过国家或地方的商检机构(如商检局)的商品检验。</w:t>
      </w:r>
    </w:p>
    <w:p w14:paraId="067EA541">
      <w:pPr>
        <w:ind w:firstLine="560"/>
      </w:pPr>
      <w:r>
        <w:rPr>
          <w:rFonts w:hint="eastAsia"/>
        </w:rPr>
        <w:t>检验工作是对所采购物资的质量是否符合要求的检查工作,是采购过程中的质量保证环节。</w:t>
      </w:r>
    </w:p>
    <w:p w14:paraId="2904037A">
      <w:pPr>
        <w:ind w:firstLine="560"/>
      </w:pPr>
      <w:r>
        <w:rPr>
          <w:rFonts w:hint="eastAsia"/>
        </w:rPr>
        <w:t>检验的类别可以分为:现场接收检验、启运前检验、工序节点检验、驻厂检验。</w:t>
      </w:r>
    </w:p>
    <w:p w14:paraId="50C93273">
      <w:pPr>
        <w:ind w:firstLine="560"/>
      </w:pPr>
      <w:r>
        <w:rPr>
          <w:rFonts w:hint="eastAsia"/>
        </w:rPr>
        <w:t>根据设备和材料的重要性和复杂性,加上交货期方面的因素,可以考虑进行这四类检验中的任何一类或几类同时应用检验工作的核心是确保材料、设备的质量符合订货合同规定的要求。操作过程中,应避免由于质量问题影响工程建设,并依据项目机构人员配备的具体情况,由专业的检验人员做好材料设备制造过程中的监制、检验和验证工作。</w:t>
      </w:r>
    </w:p>
    <w:p w14:paraId="6FD4AD59">
      <w:pPr>
        <w:ind w:firstLine="560"/>
      </w:pPr>
      <w:r>
        <w:rPr>
          <w:rFonts w:hint="eastAsia"/>
        </w:rPr>
        <w:t>每次检验结束后,应由承包商检验工程师整理检验报告,真实地纪录检验的过程和结果,并给出被检验的设备或材料是否符合合同的规定。检验合格的签发检验认可书,对不合格品的处理方法通常是:其一,要求制造厂返工、返修以达到要求,提出的返修方案应征得工程公司的同意;其二,若返修后仍不合格,在不影响安全和使用功能情况下,经设计人员认可,可让步或降级使用;其三,拒收或报废,对不合格品经返工返修后仍不能达到规定要求时,应予拒收,对已采购的产品按报废处理。</w:t>
      </w:r>
    </w:p>
    <w:p w14:paraId="2B56F9F9">
      <w:pPr>
        <w:ind w:firstLine="560"/>
      </w:pPr>
      <w:r>
        <w:rPr>
          <w:rFonts w:hint="eastAsia"/>
        </w:rPr>
        <w:t>需要注意的是此类检验属于验证并不解除厂商对产品的最终质量责任。</w:t>
      </w:r>
    </w:p>
    <w:p w14:paraId="3D3DBBAD">
      <w:pPr>
        <w:ind w:firstLine="560"/>
      </w:pPr>
      <w:r>
        <w:rPr>
          <w:rFonts w:hint="eastAsia"/>
        </w:rPr>
        <w:t>(3)运输</w:t>
      </w:r>
    </w:p>
    <w:p w14:paraId="33A0808E">
      <w:pPr>
        <w:ind w:firstLine="560"/>
      </w:pPr>
      <w:r>
        <w:rPr>
          <w:rFonts w:hint="eastAsia"/>
        </w:rPr>
        <w:t>运输的步骤及内容:选择合理的运输方式;签订运输委托合同;办理或督办运输保险办理或委托办理进出口报关手续;跟踪货物运输(重点是超限或关键设备、材料)。</w:t>
      </w:r>
    </w:p>
    <w:p w14:paraId="623F3C5B">
      <w:pPr>
        <w:ind w:firstLine="560"/>
      </w:pPr>
      <w:r>
        <w:rPr>
          <w:rFonts w:hint="eastAsia"/>
        </w:rPr>
        <w:t>运输是指设备材料制造完毕,经检验合格后,从制造厂到施工现场这一过程中的包装、运输、保险等业务。项目采购部负责所有运输活动的管理和控制。运输工作中需要注意控制运输的费用、安全性、运抵现场的时间,以经济的方式保证物资顺利到达现场不同运输方式的选择会对价格、运抵时间造成较大的影响。在运输工作开始前应制定具体的运输工作计划,包括准备工作、运输时间、运输方式和运输路线的确定。对于大型设备要注意选择从港口到施工现场的运输路线,对于贵重物资还要选择购买合适的保险种类。运输方式的选择对采购价格有较大的影响。承包商应根据自身采购部的人员配置和采购经验选择最适合的交货方式。</w:t>
      </w:r>
    </w:p>
    <w:p w14:paraId="07B35D55">
      <w:pPr>
        <w:ind w:firstLine="560"/>
      </w:pPr>
      <w:r>
        <w:rPr>
          <w:rFonts w:hint="eastAsia"/>
        </w:rPr>
        <w:t>7、物资交接及收尾服务。</w:t>
      </w:r>
    </w:p>
    <w:p w14:paraId="0E9A2860">
      <w:pPr>
        <w:ind w:firstLine="560"/>
      </w:pPr>
      <w:bookmarkStart w:id="11355" w:name="_Toc19986"/>
      <w:bookmarkStart w:id="11356" w:name="_Toc28706"/>
      <w:bookmarkStart w:id="11357" w:name="_Toc13267"/>
      <w:bookmarkStart w:id="11358" w:name="_Toc20066"/>
      <w:bookmarkStart w:id="11359" w:name="_Toc4725"/>
      <w:bookmarkStart w:id="11360" w:name="_Toc7194"/>
      <w:bookmarkStart w:id="11361" w:name="_Toc6834"/>
      <w:bookmarkStart w:id="11362" w:name="_Toc6440"/>
      <w:bookmarkStart w:id="11363" w:name="_Toc32713"/>
      <w:bookmarkStart w:id="11364" w:name="_Toc20703"/>
      <w:bookmarkStart w:id="11365" w:name="_Toc18309"/>
      <w:bookmarkStart w:id="11366" w:name="_Toc2037"/>
      <w:bookmarkStart w:id="11367" w:name="_Toc18305"/>
      <w:bookmarkStart w:id="11368" w:name="_Toc11422"/>
      <w:bookmarkStart w:id="11369" w:name="_Toc30916"/>
      <w:bookmarkStart w:id="11370" w:name="_Toc24414"/>
      <w:bookmarkStart w:id="11371" w:name="_Toc8374"/>
      <w:bookmarkStart w:id="11372" w:name="_Toc18159"/>
      <w:bookmarkStart w:id="11373" w:name="_Toc28308"/>
      <w:bookmarkStart w:id="11374" w:name="_Toc11941"/>
      <w:bookmarkStart w:id="11375" w:name="_Toc25605"/>
      <w:bookmarkStart w:id="11376" w:name="_Toc19798"/>
      <w:bookmarkStart w:id="11377" w:name="_Toc32011"/>
      <w:bookmarkStart w:id="11378" w:name="_Toc19777"/>
      <w:bookmarkStart w:id="11379" w:name="_Toc14621"/>
      <w:bookmarkStart w:id="11380" w:name="_Toc13971"/>
      <w:bookmarkStart w:id="11381" w:name="_Toc15260"/>
      <w:bookmarkStart w:id="11382" w:name="_Toc401"/>
      <w:bookmarkStart w:id="11383" w:name="_Toc23098"/>
      <w:bookmarkStart w:id="11384" w:name="_Toc5406"/>
      <w:bookmarkStart w:id="11385" w:name="_Toc8927"/>
      <w:bookmarkStart w:id="11386" w:name="_Toc7607"/>
      <w:bookmarkStart w:id="11387" w:name="_Toc8097"/>
      <w:bookmarkStart w:id="11388" w:name="_Toc31150"/>
      <w:bookmarkStart w:id="11389" w:name="_Toc4320"/>
      <w:bookmarkStart w:id="11390" w:name="_Toc32747"/>
      <w:bookmarkStart w:id="11391" w:name="_Toc29013"/>
      <w:bookmarkStart w:id="11392" w:name="_Toc192"/>
      <w:bookmarkStart w:id="11393" w:name="_Toc4667"/>
      <w:bookmarkStart w:id="11394" w:name="_Toc19862"/>
      <w:bookmarkStart w:id="11395" w:name="_Toc7002"/>
      <w:bookmarkStart w:id="11396" w:name="_Toc11859"/>
      <w:bookmarkStart w:id="11397" w:name="_Toc27235"/>
      <w:bookmarkStart w:id="11398" w:name="_Toc10915"/>
      <w:bookmarkStart w:id="11399" w:name="_Toc20514"/>
      <w:bookmarkStart w:id="11400" w:name="_Toc22592"/>
      <w:bookmarkStart w:id="11401" w:name="_Toc27212"/>
      <w:bookmarkStart w:id="11402" w:name="_Toc13667"/>
      <w:bookmarkStart w:id="11403" w:name="_Toc1216"/>
      <w:bookmarkStart w:id="11404" w:name="_Toc5049"/>
      <w:bookmarkStart w:id="11405" w:name="_Toc5584"/>
      <w:r>
        <w:rPr>
          <w:rFonts w:hint="eastAsia"/>
        </w:rPr>
        <w:t>（五）物资采购内容</w:t>
      </w:r>
      <w:bookmarkEnd w:id="11355"/>
      <w:bookmarkEnd w:id="11356"/>
      <w:bookmarkEnd w:id="11357"/>
      <w:bookmarkEnd w:id="11358"/>
      <w:bookmarkEnd w:id="11359"/>
      <w:bookmarkEnd w:id="11360"/>
      <w:bookmarkEnd w:id="11361"/>
      <w:bookmarkEnd w:id="11362"/>
      <w:bookmarkEnd w:id="11363"/>
      <w:bookmarkEnd w:id="11364"/>
      <w:bookmarkEnd w:id="11365"/>
      <w:bookmarkEnd w:id="11366"/>
      <w:bookmarkEnd w:id="11367"/>
      <w:bookmarkEnd w:id="11368"/>
      <w:bookmarkEnd w:id="11369"/>
      <w:bookmarkEnd w:id="11370"/>
      <w:bookmarkEnd w:id="11371"/>
      <w:bookmarkEnd w:id="11372"/>
      <w:bookmarkEnd w:id="11373"/>
      <w:bookmarkEnd w:id="11374"/>
      <w:bookmarkEnd w:id="11375"/>
      <w:bookmarkEnd w:id="11376"/>
      <w:bookmarkEnd w:id="11377"/>
      <w:bookmarkEnd w:id="11378"/>
      <w:bookmarkEnd w:id="11379"/>
      <w:bookmarkEnd w:id="11380"/>
      <w:bookmarkEnd w:id="11381"/>
      <w:bookmarkEnd w:id="11382"/>
      <w:bookmarkEnd w:id="11383"/>
      <w:bookmarkEnd w:id="11384"/>
      <w:bookmarkEnd w:id="11385"/>
      <w:bookmarkEnd w:id="11386"/>
      <w:bookmarkEnd w:id="11387"/>
      <w:bookmarkEnd w:id="11388"/>
      <w:bookmarkEnd w:id="11389"/>
      <w:bookmarkEnd w:id="11390"/>
      <w:bookmarkEnd w:id="11391"/>
      <w:bookmarkEnd w:id="11392"/>
      <w:bookmarkEnd w:id="11393"/>
      <w:bookmarkEnd w:id="11394"/>
      <w:bookmarkEnd w:id="11395"/>
      <w:bookmarkEnd w:id="11396"/>
      <w:bookmarkEnd w:id="11397"/>
      <w:bookmarkEnd w:id="11398"/>
      <w:bookmarkEnd w:id="11399"/>
      <w:bookmarkEnd w:id="11400"/>
      <w:bookmarkEnd w:id="11401"/>
      <w:bookmarkEnd w:id="11402"/>
      <w:bookmarkEnd w:id="11403"/>
      <w:bookmarkEnd w:id="11404"/>
      <w:bookmarkEnd w:id="11405"/>
    </w:p>
    <w:p w14:paraId="2A397E67">
      <w:pPr>
        <w:ind w:firstLine="560"/>
      </w:pPr>
      <w:r>
        <w:rPr>
          <w:rFonts w:hint="eastAsia"/>
        </w:rPr>
        <w:t>在创造总承包项目产品的整个过程中,设计以前的阶段是项目产品的描述过程,从采购阶段开始,是实际制造和形成工程实体的过程。</w:t>
      </w:r>
    </w:p>
    <w:p w14:paraId="6EAFEA77">
      <w:pPr>
        <w:ind w:firstLine="560"/>
      </w:pPr>
      <w:r>
        <w:rPr>
          <w:rFonts w:hint="eastAsia"/>
        </w:rPr>
        <w:t>采购过程在工程项目运行中实际上起到了一个承上启下的作用,一方面它根据设计阶段的成果来采办工程所需的设备、材料;另一方面,采办回来的设备材料要应用到工程中去,所以说采办过程监控和管理的好坏能直接体现在整个工程质量上采购在创造项目产品中的具体作用体现在:</w:t>
      </w:r>
    </w:p>
    <w:p w14:paraId="0F50D660">
      <w:pPr>
        <w:ind w:firstLine="560"/>
      </w:pPr>
      <w:r>
        <w:rPr>
          <w:rFonts w:hint="eastAsia"/>
        </w:rPr>
        <w:t>(1)由于设备、材料的质量是工程质量的基础,这就要求合同采办部门能够找到提供合格产品的供货商。</w:t>
      </w:r>
    </w:p>
    <w:p w14:paraId="35D49845">
      <w:pPr>
        <w:ind w:firstLine="560"/>
      </w:pPr>
      <w:r>
        <w:rPr>
          <w:rFonts w:hint="eastAsia"/>
        </w:rPr>
        <w:t>(2)设备、材料运抵施工现场的时间是工程进度的保障,这就要求合同采办部门实时监控合同执行的情况,在保证提供合格产品的前提下,按照交货日期及时提供产品。</w:t>
      </w:r>
    </w:p>
    <w:p w14:paraId="2E0DFCFF">
      <w:pPr>
        <w:ind w:firstLine="560"/>
      </w:pPr>
      <w:r>
        <w:rPr>
          <w:rFonts w:hint="eastAsia"/>
        </w:rPr>
        <w:t>(3)设备、材料费用约占工程总成本的50%-60%,采购成本直接影响工程的造价。采购过程的重要性决定了在模式中,要对其实施有效的项目管理,采购阶段的主要工作内容就是按照设计的要求来采办设备和材料。</w:t>
      </w:r>
    </w:p>
    <w:p w14:paraId="12212773">
      <w:pPr>
        <w:ind w:firstLine="560"/>
      </w:pPr>
      <w:bookmarkStart w:id="11406" w:name="_Toc2949"/>
      <w:bookmarkStart w:id="11407" w:name="_Toc9497"/>
      <w:bookmarkStart w:id="11408" w:name="_Toc24066"/>
      <w:bookmarkStart w:id="11409" w:name="_Toc15285"/>
      <w:bookmarkStart w:id="11410" w:name="_Toc214"/>
      <w:bookmarkStart w:id="11411" w:name="_Toc20145"/>
      <w:bookmarkStart w:id="11412" w:name="_Toc14472"/>
      <w:bookmarkStart w:id="11413" w:name="_Toc4156"/>
      <w:bookmarkStart w:id="11414" w:name="_Toc30072"/>
      <w:bookmarkStart w:id="11415" w:name="_Toc10430"/>
      <w:bookmarkStart w:id="11416" w:name="_Toc9180"/>
      <w:bookmarkStart w:id="11417" w:name="_Toc6260"/>
      <w:bookmarkStart w:id="11418" w:name="_Toc25305"/>
      <w:bookmarkStart w:id="11419" w:name="_Toc17056"/>
      <w:bookmarkStart w:id="11420" w:name="_Toc12687"/>
      <w:bookmarkStart w:id="11421" w:name="_Toc11915"/>
      <w:bookmarkStart w:id="11422" w:name="_Toc3909"/>
      <w:bookmarkStart w:id="11423" w:name="_Toc5229"/>
      <w:bookmarkStart w:id="11424" w:name="_Toc6368"/>
      <w:bookmarkStart w:id="11425" w:name="_Toc22483"/>
      <w:bookmarkStart w:id="11426" w:name="_Toc8499"/>
      <w:bookmarkStart w:id="11427" w:name="_Toc6649"/>
      <w:bookmarkStart w:id="11428" w:name="_Toc5563"/>
      <w:bookmarkStart w:id="11429" w:name="_Toc14371"/>
      <w:bookmarkStart w:id="11430" w:name="_Toc28353"/>
      <w:bookmarkStart w:id="11431" w:name="_Toc4012"/>
      <w:bookmarkStart w:id="11432" w:name="_Toc30184"/>
      <w:bookmarkStart w:id="11433" w:name="_Toc6553"/>
      <w:bookmarkStart w:id="11434" w:name="_Toc19755"/>
      <w:bookmarkStart w:id="11435" w:name="_Toc23175"/>
      <w:bookmarkStart w:id="11436" w:name="_Toc10182"/>
      <w:bookmarkStart w:id="11437" w:name="_Toc26646"/>
      <w:bookmarkStart w:id="11438" w:name="_Toc7975"/>
      <w:bookmarkStart w:id="11439" w:name="_Toc4813"/>
      <w:bookmarkStart w:id="11440" w:name="_Toc7930"/>
      <w:bookmarkStart w:id="11441" w:name="_Toc13168"/>
      <w:bookmarkStart w:id="11442" w:name="_Toc25611"/>
      <w:bookmarkStart w:id="11443" w:name="_Toc9132"/>
      <w:bookmarkStart w:id="11444" w:name="_Toc26512"/>
      <w:bookmarkStart w:id="11445" w:name="_Toc6516"/>
      <w:bookmarkStart w:id="11446" w:name="_Toc25015"/>
      <w:bookmarkStart w:id="11447" w:name="_Toc31239"/>
      <w:bookmarkStart w:id="11448" w:name="_Toc17819"/>
      <w:bookmarkStart w:id="11449" w:name="_Toc15115"/>
      <w:bookmarkStart w:id="11450" w:name="_Toc16854"/>
      <w:bookmarkStart w:id="11451" w:name="_Toc11395"/>
      <w:bookmarkStart w:id="11452" w:name="_Toc18432"/>
      <w:bookmarkStart w:id="11453" w:name="_Toc26710"/>
      <w:bookmarkStart w:id="11454" w:name="_Toc22404"/>
      <w:bookmarkStart w:id="11455" w:name="_Toc11938"/>
      <w:bookmarkStart w:id="11456" w:name="_Toc16482"/>
      <w:r>
        <w:rPr>
          <w:rFonts w:hint="eastAsia"/>
        </w:rPr>
        <w:t>（六）物资接保检运方案</w:t>
      </w:r>
      <w:bookmarkEnd w:id="11406"/>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p>
    <w:p w14:paraId="0699AECC">
      <w:pPr>
        <w:ind w:firstLine="560"/>
      </w:pPr>
      <w:r>
        <w:rPr>
          <w:rFonts w:hint="eastAsia"/>
        </w:rPr>
        <w:t>（一）物资接收方案</w:t>
      </w:r>
    </w:p>
    <w:p w14:paraId="759B78DD">
      <w:pPr>
        <w:ind w:firstLine="560"/>
      </w:pPr>
      <w:r>
        <w:rPr>
          <w:rFonts w:hint="eastAsia"/>
        </w:rPr>
        <w:t>1、对即将到达施工现场的物资材料,材料业务员应及时根据物资的品种、大致体积等情况,提前通知施工现场的工区材料员准备好场地、验收用的计量器具、搬运设备、工具和必要的劳力。</w:t>
      </w:r>
    </w:p>
    <w:p w14:paraId="02FCBEDC">
      <w:pPr>
        <w:ind w:firstLine="560"/>
      </w:pPr>
      <w:r>
        <w:rPr>
          <w:rFonts w:hint="eastAsia"/>
        </w:rPr>
        <w:t>2、对到达现场的物资材料,材料员应当对照运单与运输负责人认真验货,逐件检查物资及包装有无损坏,件数和数量是否相符。必要时当场开箱检验;整车到达的材料要对车体铅封和篷布搭盖、封车状况进行检查。如有异常,应会同运输负责人共同检查,必要时进行拍照以分清责任。对没有问题的及时办理交接手续。</w:t>
      </w:r>
    </w:p>
    <w:p w14:paraId="1507969A">
      <w:pPr>
        <w:ind w:firstLine="560"/>
      </w:pPr>
      <w:r>
        <w:rPr>
          <w:rFonts w:hint="eastAsia"/>
        </w:rPr>
        <w:t>3、对已投保险的物资材料在运输过程中发生损失时,材料业务员应在规定时间内,持承运部门出具的事故报告和记录,通知到站当地的保险公司或其他相关机构,办理申请赔偿手续,必要时请发货人配合。</w:t>
      </w:r>
    </w:p>
    <w:p w14:paraId="655B549C">
      <w:pPr>
        <w:ind w:firstLine="560"/>
      </w:pPr>
      <w:r>
        <w:rPr>
          <w:rFonts w:hint="eastAsia"/>
        </w:rPr>
        <w:t>4、物资到达施工现场当日,由运输负责人交材料员,按照合同或进料通知单及进料凭证共同验收。数量和质量符合规定的要求时,材料员应在物资交接单上签字办理交接手续。如有问题,则应做出相应的记录。</w:t>
      </w:r>
    </w:p>
    <w:p w14:paraId="7333FFAB">
      <w:pPr>
        <w:ind w:firstLine="560"/>
      </w:pPr>
      <w:r>
        <w:rPr>
          <w:rFonts w:hint="eastAsia"/>
        </w:rPr>
        <w:t>5、物资供应厂商委托运输的物资到达施工现场后,材料员应与承运方共同对数量和质量进行验收。如发现问题,应由承运方确认,同时做出记录,以备妥善处理,并及时与物资供应厂商进行沟通。</w:t>
      </w:r>
    </w:p>
    <w:p w14:paraId="4F5205F4">
      <w:pPr>
        <w:ind w:firstLine="560"/>
      </w:pPr>
      <w:r>
        <w:rPr>
          <w:rFonts w:hint="eastAsia"/>
        </w:rPr>
        <w:t>6、所运物资材料抵达施工现场后,其标识和质量记录应保持好,随货交给材料员,材料员应予以妥善保管。</w:t>
      </w:r>
    </w:p>
    <w:p w14:paraId="55B79249">
      <w:pPr>
        <w:ind w:firstLine="560"/>
      </w:pPr>
      <w:r>
        <w:rPr>
          <w:rFonts w:hint="eastAsia"/>
        </w:rPr>
        <w:t>7、从施工现场材料库发出的物资材料,领料人员按照发料单的品名、规格、数量等进行核对,办理交接手续,以保证发出的物资数量准确、质量良好、包装合理。合格证、技术证件等质量记录和备配件应随料同行,并在交接手续或发料单上有明确的记载。</w:t>
      </w:r>
    </w:p>
    <w:p w14:paraId="1C482F28">
      <w:pPr>
        <w:ind w:firstLine="560"/>
      </w:pPr>
      <w:r>
        <w:rPr>
          <w:rFonts w:hint="eastAsia"/>
        </w:rPr>
        <w:t>8、加强物资搬运过程中的安全管理,以避免在作业中对人员和物资的伤害,避免对环境产生的污染。现场的物资储存过程中,尽可能减少二次搬运,以降低搬运过程中物资的损耗,减少所发生的工费和机械使用费。</w:t>
      </w:r>
    </w:p>
    <w:p w14:paraId="0FCB521E">
      <w:pPr>
        <w:ind w:firstLine="560"/>
      </w:pPr>
      <w:r>
        <w:rPr>
          <w:rFonts w:hint="eastAsia"/>
        </w:rPr>
        <w:t>9、施工现场存放的原材料、半成品、成品等物资按平面布置分区分类堆码整齐,苫垫合理,妥善保管,标识清楚。</w:t>
      </w:r>
    </w:p>
    <w:p w14:paraId="763A80BB">
      <w:pPr>
        <w:ind w:firstLine="560"/>
      </w:pPr>
      <w:r>
        <w:rPr>
          <w:rFonts w:hint="eastAsia"/>
        </w:rPr>
        <w:t>10、加强施工现场在用低值易耗品、工具的定量管理。实行领借、使用、维修检查及清点制度。对于存放在施工现场不易进行控制的物资材料,采取一次性发料,分期间核销出帐的做法。</w:t>
      </w:r>
    </w:p>
    <w:p w14:paraId="0B05D21D">
      <w:pPr>
        <w:ind w:firstLine="560"/>
      </w:pPr>
      <w:r>
        <w:rPr>
          <w:rFonts w:hint="eastAsia"/>
        </w:rPr>
        <w:t>11、施工现场内价值不高,数量不多的消耗性材料及工具,建立收发领退制度,实行出库列销,月终盘点,库存结转,下月领用。</w:t>
      </w:r>
    </w:p>
    <w:p w14:paraId="08E64B18">
      <w:pPr>
        <w:ind w:firstLine="560"/>
      </w:pPr>
      <w:r>
        <w:rPr>
          <w:rFonts w:hint="eastAsia"/>
        </w:rPr>
        <w:t>12、施工现场的包装容器、剩余物资及废旧物资等应及时清理出现场。</w:t>
      </w:r>
    </w:p>
    <w:p w14:paraId="34C9600A">
      <w:pPr>
        <w:ind w:firstLine="560"/>
      </w:pPr>
      <w:r>
        <w:rPr>
          <w:rFonts w:hint="eastAsia"/>
        </w:rPr>
        <w:t>对可利用的废旧物资进行分检并回收利用。待处理的物资应报物资部按规定的程序经鉴定批准后,归口予以处理。废品的处理应符合当地环保部门的要求。</w:t>
      </w:r>
    </w:p>
    <w:p w14:paraId="6207BC5F">
      <w:pPr>
        <w:ind w:firstLine="560"/>
      </w:pPr>
      <w:r>
        <w:rPr>
          <w:rFonts w:hint="eastAsia"/>
        </w:rPr>
        <w:t>（二）物资保护方案</w:t>
      </w:r>
    </w:p>
    <w:p w14:paraId="25B904BA">
      <w:pPr>
        <w:ind w:firstLine="560"/>
      </w:pPr>
      <w:r>
        <w:rPr>
          <w:rFonts w:hint="eastAsia"/>
        </w:rPr>
        <w:t>1、材料保护措施</w:t>
      </w:r>
    </w:p>
    <w:p w14:paraId="109825D0">
      <w:pPr>
        <w:ind w:firstLine="560"/>
      </w:pPr>
      <w:r>
        <w:rPr>
          <w:rFonts w:hint="eastAsia"/>
        </w:rPr>
        <w:t>1.1物资应有合适的存放条件,确保在存放过程中物资的质量。按品名、规格及用途分类摆放,堆放整齐,便于记数,大件物资应放在便于起吊和装运的地方。</w:t>
      </w:r>
    </w:p>
    <w:p w14:paraId="3A800A15">
      <w:pPr>
        <w:ind w:firstLine="560"/>
      </w:pPr>
      <w:r>
        <w:rPr>
          <w:rFonts w:hint="eastAsia"/>
        </w:rPr>
        <w:t>1.2水泥、粉煤灰等罐装粉剂必须确保罐体的功能,防止罐体渗水造成粉剂板结,使其丧失使用功能造成材料浪费。</w:t>
      </w:r>
    </w:p>
    <w:p w14:paraId="3DBF41EA">
      <w:pPr>
        <w:ind w:firstLine="560"/>
      </w:pPr>
      <w:r>
        <w:rPr>
          <w:rFonts w:hint="eastAsia"/>
        </w:rPr>
        <w:t>1.2袋装外加剂底部离地20cm,表面采用篷布进行覆盖。</w:t>
      </w:r>
    </w:p>
    <w:p w14:paraId="5F26B626">
      <w:pPr>
        <w:ind w:firstLine="560"/>
      </w:pPr>
      <w:r>
        <w:rPr>
          <w:rFonts w:hint="eastAsia"/>
        </w:rPr>
        <w:t>1.3钢模板及配件、三脚架系统、覆膜板、木方、枕木堆放时底部离地20cm,并用篷布进行覆盖。</w:t>
      </w:r>
    </w:p>
    <w:p w14:paraId="78BCDFFF">
      <w:pPr>
        <w:ind w:firstLine="560"/>
      </w:pPr>
      <w:r>
        <w:rPr>
          <w:rFonts w:hint="eastAsia"/>
        </w:rPr>
        <w:t>1.4扣件丝扣位置进行涂油处理,装箱堆放。</w:t>
      </w:r>
    </w:p>
    <w:p w14:paraId="60E6561A">
      <w:pPr>
        <w:ind w:firstLine="560"/>
      </w:pPr>
      <w:r>
        <w:rPr>
          <w:rFonts w:hint="eastAsia"/>
        </w:rPr>
        <w:t>1.5养护液、防腐涂料应用篷布进行覆盖,防止暴晒而导致失效。</w:t>
      </w:r>
    </w:p>
    <w:p w14:paraId="3F5AB149">
      <w:pPr>
        <w:ind w:firstLine="560"/>
      </w:pPr>
      <w:r>
        <w:rPr>
          <w:rFonts w:hint="eastAsia"/>
        </w:rPr>
        <w:t>1.6在库物资的管理做到“二齐”(摆放齐、库容齐)、“三清”(材质清楚、数量清楚、规格清楚)、“五不”(不锈、不潮、不霉、不混、不漏)</w:t>
      </w:r>
    </w:p>
    <w:p w14:paraId="505E7822">
      <w:pPr>
        <w:ind w:firstLine="560"/>
      </w:pPr>
      <w:r>
        <w:rPr>
          <w:rFonts w:hint="eastAsia"/>
        </w:rPr>
        <w:t>2、机械设备保护措施</w:t>
      </w:r>
    </w:p>
    <w:p w14:paraId="5851CB20">
      <w:pPr>
        <w:ind w:firstLine="560"/>
      </w:pPr>
      <w:r>
        <w:rPr>
          <w:rFonts w:hint="eastAsia"/>
        </w:rPr>
        <w:t>2.1在标示卡标识,标识应清楚、明显、齐全、牢固。重要的机械、设备、容器搬运前,对衬胶垫或防震工具</w:t>
      </w:r>
    </w:p>
    <w:p w14:paraId="48C3F9FA">
      <w:pPr>
        <w:ind w:firstLine="560"/>
      </w:pPr>
      <w:r>
        <w:rPr>
          <w:rFonts w:hint="eastAsia"/>
        </w:rPr>
        <w:t>2.2搬运时设备必须固定牢固,防止滚动和窜动。对易磕碰的关键部位进行适当防护(如:保护套、防护罩、加填充物等)。</w:t>
      </w:r>
    </w:p>
    <w:p w14:paraId="3551ECE3">
      <w:pPr>
        <w:ind w:firstLine="560"/>
      </w:pPr>
      <w:r>
        <w:rPr>
          <w:rFonts w:hint="eastAsia"/>
        </w:rPr>
        <w:t>2.3对有防震、防压、防潮等特殊要求的物资,搬运中采取专门的防护措施和醒目的识别标记。</w:t>
      </w:r>
    </w:p>
    <w:p w14:paraId="7F6176A9">
      <w:pPr>
        <w:ind w:firstLine="560"/>
      </w:pPr>
      <w:r>
        <w:rPr>
          <w:rFonts w:hint="eastAsia"/>
        </w:rPr>
        <w:t>2.4对超限特殊设备或大宗材料,应制定可行的搬运方案</w:t>
      </w:r>
    </w:p>
    <w:p w14:paraId="26A4E66D">
      <w:pPr>
        <w:ind w:firstLine="560"/>
      </w:pPr>
      <w:r>
        <w:rPr>
          <w:rFonts w:hint="eastAsia"/>
        </w:rPr>
        <w:t>2.5钢筋切断机、弯曲机、对焊接等小型机械必须设置防雨罩;氧气、乙炔瓶在高温暴晒季节设置防晒罩。</w:t>
      </w:r>
    </w:p>
    <w:p w14:paraId="5C4053D9">
      <w:pPr>
        <w:ind w:firstLine="560"/>
      </w:pPr>
      <w:r>
        <w:rPr>
          <w:rFonts w:hint="eastAsia"/>
        </w:rPr>
        <w:t>（三）物资检验方案</w:t>
      </w:r>
    </w:p>
    <w:p w14:paraId="7741F0A4">
      <w:pPr>
        <w:ind w:firstLine="560"/>
      </w:pPr>
      <w:r>
        <w:rPr>
          <w:rFonts w:hint="eastAsia"/>
        </w:rPr>
        <w:t>1、进场验证</w:t>
      </w:r>
    </w:p>
    <w:p w14:paraId="661B1210">
      <w:pPr>
        <w:ind w:firstLine="560"/>
      </w:pPr>
      <w:r>
        <w:rPr>
          <w:rFonts w:hint="eastAsia"/>
        </w:rPr>
        <w:t>1.1项目物资部编制物资进场检验计划(依据检验试验计划),经项目技术负责人批准后实施,产品检验由项目部材料员配合试验员完成。</w:t>
      </w:r>
    </w:p>
    <w:p w14:paraId="5B111D12">
      <w:pPr>
        <w:ind w:firstLine="560"/>
      </w:pPr>
      <w:r>
        <w:rPr>
          <w:rFonts w:hint="eastAsia"/>
        </w:rPr>
        <w:t>1.2采购员在大宗物资到达前一天通知有关材料员(库管员),由库管员准备验证必备计量工具、场内搬运器具等熟悉物资技术规范、质量标准,规划堆放场地;</w:t>
      </w:r>
    </w:p>
    <w:p w14:paraId="162DFAF6">
      <w:pPr>
        <w:ind w:firstLine="560"/>
      </w:pPr>
      <w:r>
        <w:rPr>
          <w:rFonts w:hint="eastAsia"/>
        </w:rPr>
        <w:t>1.3物资进场,项目库管员会同采购员对物资图样、文件、包装、外观质量、质量证明文件、产品合格证、包装完好情况、数量、规格、产品标识进行验证并作好《材料、构配件进场检验记录》验证应做到:</w:t>
      </w:r>
    </w:p>
    <w:p w14:paraId="71ED9A24">
      <w:pPr>
        <w:ind w:firstLine="560"/>
      </w:pPr>
      <w:r>
        <w:rPr>
          <w:rFonts w:hint="eastAsia"/>
        </w:rPr>
        <w:t>①核对进场物资是否符合采购计划或加工合同规定,核查产品的外观质量是否与合同约定、已封存样品、产品说明书、质量证明文件、产品合格证、送货单、过磅单、装箱单等符合,验证质量合格,库管员作好记录,才允许卸货;</w:t>
      </w:r>
    </w:p>
    <w:p w14:paraId="47CDE00C">
      <w:pPr>
        <w:ind w:firstLine="560"/>
      </w:pPr>
      <w:r>
        <w:rPr>
          <w:rFonts w:hint="eastAsia"/>
        </w:rPr>
        <w:t>②需复试的材料进场时,库管员进行数量和外观质量验收,验收合格后即可卸货,并做好待检标识,及时通知试验员取样送检,待复检合格后方可使用;</w:t>
      </w:r>
    </w:p>
    <w:p w14:paraId="1E25C0F5">
      <w:pPr>
        <w:ind w:firstLine="560"/>
      </w:pPr>
      <w:r>
        <w:rPr>
          <w:rFonts w:hint="eastAsia"/>
        </w:rPr>
        <w:t>③一般情况下,项目库管员对物资应全数进行验收,验收方式按照国家标准、合同或采购前约定进行,对包装或整齐捆绑物资,库管员按照随机抽样进行抽查,抽查数量控制在进货数量的5%以内;</w:t>
      </w:r>
    </w:p>
    <w:p w14:paraId="00256618">
      <w:pPr>
        <w:ind w:firstLine="560"/>
      </w:pPr>
      <w:r>
        <w:rPr>
          <w:rFonts w:hint="eastAsia"/>
        </w:rPr>
        <w:t>④验证数量与到货凭证不符采购员应立即通知供应商到场重新确认后允许卸货如抽查样品质量、数量与到货凭证或已封存样品质量、数量不符验证人员加倍抽样查验仍发现不符合,库管员拒绝收货、标识并填写《不合格物资记录》单由采购员通知供应商退货。</w:t>
      </w:r>
    </w:p>
    <w:p w14:paraId="39B88FE5">
      <w:pPr>
        <w:ind w:firstLine="560"/>
      </w:pPr>
      <w:r>
        <w:rPr>
          <w:rFonts w:hint="eastAsia"/>
        </w:rPr>
        <w:t>1.4在供应商处验证物资。</w:t>
      </w:r>
    </w:p>
    <w:p w14:paraId="1CF7645D">
      <w:pPr>
        <w:ind w:firstLine="560"/>
      </w:pPr>
      <w:r>
        <w:rPr>
          <w:rFonts w:hint="eastAsia"/>
        </w:rPr>
        <w:t>①当需要在供应商处对所采购物资进行验证时,项目物资部应在采购合同(订单)中明确规定验证的安排和物资的放行方法;</w:t>
      </w:r>
    </w:p>
    <w:p w14:paraId="405A58EE">
      <w:pPr>
        <w:ind w:firstLine="560"/>
      </w:pPr>
      <w:r>
        <w:rPr>
          <w:rFonts w:hint="eastAsia"/>
        </w:rPr>
        <w:t>②项目物资部采购负责人组织技术部、质量部等方面人员到供应商处对所采购物资进行验证,并做好验证记录。</w:t>
      </w:r>
    </w:p>
    <w:p w14:paraId="312D77B9">
      <w:pPr>
        <w:ind w:firstLine="560"/>
      </w:pPr>
      <w:r>
        <w:rPr>
          <w:rFonts w:hint="eastAsia"/>
        </w:rPr>
        <w:t>2、进场物资的复试</w:t>
      </w:r>
    </w:p>
    <w:p w14:paraId="46FA0041">
      <w:pPr>
        <w:ind w:firstLine="560"/>
      </w:pPr>
      <w:r>
        <w:rPr>
          <w:rFonts w:hint="eastAsia"/>
        </w:rPr>
        <w:t>2.1物资的复试的范围</w:t>
      </w:r>
    </w:p>
    <w:p w14:paraId="417111FF">
      <w:pPr>
        <w:ind w:firstLine="560"/>
      </w:pPr>
      <w:r>
        <w:rPr>
          <w:rFonts w:hint="eastAsia"/>
        </w:rPr>
        <w:t>①国家和地方政府规定的必须进行复试的物资,如钢材、水泥、材料、砼添加剂、轻集料、砖、砂、石子、安全玻璃等;</w:t>
      </w:r>
    </w:p>
    <w:p w14:paraId="04613773">
      <w:pPr>
        <w:ind w:firstLine="560"/>
      </w:pPr>
      <w:r>
        <w:rPr>
          <w:rFonts w:hint="eastAsia"/>
        </w:rPr>
        <w:t>②原始质量合格证明文件缺项、数据不清的物资;</w:t>
      </w:r>
    </w:p>
    <w:p w14:paraId="3072EC0C">
      <w:pPr>
        <w:ind w:firstLine="560"/>
      </w:pPr>
      <w:r>
        <w:rPr>
          <w:rFonts w:hint="eastAsia"/>
        </w:rPr>
        <w:t>③超出保质期、规格型号混存的物资。</w:t>
      </w:r>
    </w:p>
    <w:p w14:paraId="21D7678F">
      <w:pPr>
        <w:ind w:firstLine="560"/>
      </w:pPr>
      <w:r>
        <w:rPr>
          <w:rFonts w:hint="eastAsia"/>
        </w:rPr>
        <w:t>2.2试验由项目材料员通知试验员取样,材料员、库管员配合,试验员送交指定试验室试验并记录《试验台帐》,试验合格后才能使用;</w:t>
      </w:r>
    </w:p>
    <w:p w14:paraId="4E975903">
      <w:pPr>
        <w:ind w:firstLine="560"/>
      </w:pPr>
      <w:r>
        <w:rPr>
          <w:rFonts w:hint="eastAsia"/>
        </w:rPr>
        <w:t>2.3电器使用功能检验、电线电缆的绝缘试验、管材和阀门压力试验应在施工现场进行,必要时可送交具有法定资质检测单位鉴定;</w:t>
      </w:r>
    </w:p>
    <w:p w14:paraId="14529260">
      <w:pPr>
        <w:ind w:firstLine="560"/>
      </w:pPr>
      <w:r>
        <w:rPr>
          <w:rFonts w:hint="eastAsia"/>
        </w:rPr>
        <w:t>2.4商品砼进场检验,由试验员按照《混凝土结构工程施工验收规范》要求取样制作试块和塌落度试验并作好取样和塌落度试验结果记录;</w:t>
      </w:r>
    </w:p>
    <w:p w14:paraId="641F4309">
      <w:pPr>
        <w:ind w:firstLine="560"/>
      </w:pPr>
      <w:r>
        <w:rPr>
          <w:rFonts w:hint="eastAsia"/>
        </w:rPr>
        <w:t>2.6有见证要求时,按监理要求取样、送检和传递试验报告。</w:t>
      </w:r>
    </w:p>
    <w:p w14:paraId="0E658E2E">
      <w:pPr>
        <w:ind w:firstLine="560"/>
      </w:pPr>
      <w:r>
        <w:rPr>
          <w:rFonts w:hint="eastAsia"/>
        </w:rPr>
        <w:t>3、验收手续:进场物资经过验证、检验,属外观易识别性质检验的材料,验收应于一日内完成;属化学或物理检验的材料,应于合理时间内完成,复试合格后,由采购员与库管员办理验收手续,双方在验收凭证上署名。</w:t>
      </w:r>
    </w:p>
    <w:p w14:paraId="0ACE8AEA">
      <w:pPr>
        <w:ind w:firstLine="560"/>
      </w:pPr>
      <w:r>
        <w:rPr>
          <w:rFonts w:hint="eastAsia"/>
        </w:rPr>
        <w:t>4、收集材质证明、合格证等资料</w:t>
      </w:r>
    </w:p>
    <w:p w14:paraId="42E5615E">
      <w:pPr>
        <w:ind w:firstLine="560"/>
      </w:pPr>
      <w:r>
        <w:rPr>
          <w:rFonts w:hint="eastAsia"/>
        </w:rPr>
        <w:t>4.1必须收集产品生产企业材质证明、合格证明文件的物资有:钢筋、水泥、商品砼等材料;</w:t>
      </w:r>
    </w:p>
    <w:p w14:paraId="63D1F194">
      <w:pPr>
        <w:ind w:firstLine="560"/>
      </w:pPr>
      <w:r>
        <w:rPr>
          <w:rFonts w:hint="eastAsia"/>
        </w:rPr>
        <w:t>4.2必须收集产品生产企业质量合格证明文件的物资有:有压力要求的管材、轻质墙体材料、特殊要求的油漆化工材料和涂料、粘接材料、等材料</w:t>
      </w:r>
    </w:p>
    <w:p w14:paraId="48244ECF">
      <w:pPr>
        <w:ind w:firstLine="560"/>
      </w:pPr>
      <w:r>
        <w:rPr>
          <w:rFonts w:hint="eastAsia"/>
        </w:rPr>
        <w:t>4.3必须收集产品合格证或产品说明书的物资有:预制构件、钢构件、各种金属门窗、电器产品、各种阀门及水暖零件、电焊条、高压瓷件、灯具、高强紧固件、各种开关箱柜、绝缘材料、计量器具等材料</w:t>
      </w:r>
    </w:p>
    <w:p w14:paraId="6562CFB7">
      <w:pPr>
        <w:ind w:firstLine="560"/>
      </w:pPr>
      <w:r>
        <w:rPr>
          <w:rFonts w:hint="eastAsia"/>
        </w:rPr>
        <w:t>4.4采购安全防护用品必须收集生产可证、准用证、广品合格证,进场前查验;</w:t>
      </w:r>
    </w:p>
    <w:p w14:paraId="690D735E">
      <w:pPr>
        <w:ind w:firstLine="560"/>
      </w:pPr>
      <w:r>
        <w:rPr>
          <w:rFonts w:hint="eastAsia"/>
        </w:rPr>
        <w:t>（四）物资运输方案</w:t>
      </w:r>
    </w:p>
    <w:p w14:paraId="76B824CF">
      <w:pPr>
        <w:ind w:firstLine="560"/>
      </w:pPr>
      <w:r>
        <w:rPr>
          <w:rFonts w:hint="eastAsia"/>
        </w:rPr>
        <w:t>1.物资的采购、使用单位应对其搬运的物资要进行保护,保证物资在搬运过程中不被损坏,并正确保护产品的标识;</w:t>
      </w:r>
    </w:p>
    <w:p w14:paraId="023F792A">
      <w:pPr>
        <w:ind w:firstLine="560"/>
      </w:pPr>
      <w:r>
        <w:rPr>
          <w:rFonts w:hint="eastAsia"/>
        </w:rPr>
        <w:t>2.对容易损坏、易燃、易爆、易变质和有毒的物资,以及甲方有特殊要求的物资,物资的采购、使用单位负责人应指派人员制订专门的搬运措施并明确搬运人员的职责,防止发生火灾、爆炸、泄露等事故;</w:t>
      </w:r>
    </w:p>
    <w:p w14:paraId="603B4774">
      <w:pPr>
        <w:ind w:firstLine="560"/>
      </w:pPr>
      <w:r>
        <w:rPr>
          <w:rFonts w:hint="eastAsia"/>
        </w:rPr>
        <w:t>3.现场内搬运应考虑,从材料堆场、库房到作业现场的距离、路面情况、搬运设备、工具的能力及搬运工人的水平等,对价值较高、易损坏的物资和设备项目物资部应制定专门的搬运方案;</w:t>
      </w:r>
    </w:p>
    <w:p w14:paraId="6DE0C8E7">
      <w:pPr>
        <w:ind w:firstLine="560"/>
      </w:pPr>
      <w:r>
        <w:rPr>
          <w:rFonts w:hint="eastAsia"/>
        </w:rPr>
        <w:t>（五）因搬运不当造成质量问题的处理:</w:t>
      </w:r>
    </w:p>
    <w:p w14:paraId="3FAA3521">
      <w:pPr>
        <w:ind w:firstLine="560"/>
      </w:pPr>
      <w:r>
        <w:rPr>
          <w:rFonts w:hint="eastAsia"/>
        </w:rPr>
        <w:t>1)对因搬运不当造成质量问题的物资,负责搬运的单位应采取适当的隔离措施作好标识以确保不被混用</w:t>
      </w:r>
    </w:p>
    <w:p w14:paraId="37FAA6A2">
      <w:pPr>
        <w:ind w:firstLine="560"/>
      </w:pPr>
      <w:r>
        <w:rPr>
          <w:rFonts w:hint="eastAsia"/>
        </w:rPr>
        <w:t>2)因自行搬运不当造成质量问题时,由当事人书面报告物资采购单位采取措施进行更换或处理;</w:t>
      </w:r>
    </w:p>
    <w:p w14:paraId="5F7D3DEF">
      <w:pPr>
        <w:ind w:firstLine="560"/>
      </w:pPr>
      <w:r>
        <w:rPr>
          <w:rFonts w:hint="eastAsia"/>
        </w:rPr>
        <w:t>3)因供应商搬运不当造成质量问题,物资部要求供应商及时作退货或更换处理;</w:t>
      </w:r>
    </w:p>
    <w:p w14:paraId="4B258675">
      <w:pPr>
        <w:ind w:firstLine="560"/>
      </w:pPr>
      <w:r>
        <w:rPr>
          <w:rFonts w:hint="eastAsia"/>
        </w:rPr>
        <w:t>（六）采购资源配置</w:t>
      </w:r>
    </w:p>
    <w:p w14:paraId="6594BFF5">
      <w:pPr>
        <w:ind w:firstLine="560"/>
      </w:pPr>
      <w:r>
        <w:rPr>
          <w:rFonts w:hint="eastAsia"/>
        </w:rPr>
        <w:t>采购部为适应本项目的环境,分成五个专业界面:综合管理组、采买组、催交组、检验组和物流管理组,把责任和工作量尽快落实,加大工作力度。</w:t>
      </w:r>
    </w:p>
    <w:p w14:paraId="248037B5">
      <w:pPr>
        <w:ind w:firstLine="560"/>
      </w:pPr>
      <w:r>
        <w:rPr>
          <w:rFonts w:hint="eastAsia"/>
        </w:rPr>
        <w:t>改进业务模式,提高工作质量和效率,彻底转变过去的请购单询价-合同的一事一办的作坊式采买,实现向框架协议采购的转变及向招投标方面的发展,同时完善询比价制度。</w:t>
      </w:r>
    </w:p>
    <w:p w14:paraId="0421E8B4">
      <w:pPr>
        <w:ind w:firstLine="560"/>
      </w:pPr>
      <w:r>
        <w:rPr>
          <w:rFonts w:hint="eastAsia"/>
        </w:rPr>
        <w:t>同时,充分利用多年来建立起的优良信誉口碑及与各供应商的良好合作关系,发挥项目的内、外部组织环境优势,有效地降低风险,以经济合理的价格签订物资供货及服务合同,达到保障工程质量和进度,最大限度的维护和保证业主的利益目的。</w:t>
      </w:r>
    </w:p>
    <w:p w14:paraId="415ED241">
      <w:pPr>
        <w:pStyle w:val="5"/>
        <w:spacing w:before="31" w:after="31"/>
        <w:ind w:firstLine="562"/>
      </w:pPr>
      <w:bookmarkStart w:id="11457" w:name="_Toc5423"/>
      <w:bookmarkStart w:id="11458" w:name="_Toc12710"/>
      <w:bookmarkStart w:id="11459" w:name="_Toc22299"/>
      <w:bookmarkStart w:id="11460" w:name="_Toc24493"/>
      <w:bookmarkStart w:id="11461" w:name="_Toc5387"/>
      <w:bookmarkStart w:id="11462" w:name="_Toc21444"/>
      <w:bookmarkStart w:id="11463" w:name="_Toc18135"/>
      <w:bookmarkStart w:id="11464" w:name="_Toc8576"/>
      <w:bookmarkStart w:id="11465" w:name="_Toc31602"/>
      <w:bookmarkStart w:id="11466" w:name="_Toc15405"/>
      <w:bookmarkStart w:id="11467" w:name="_Toc17690"/>
      <w:bookmarkStart w:id="11468" w:name="_Toc6946"/>
      <w:bookmarkStart w:id="11469" w:name="_Toc3968"/>
      <w:bookmarkStart w:id="11470" w:name="_Toc610"/>
      <w:bookmarkStart w:id="11471" w:name="_Toc24834"/>
      <w:bookmarkStart w:id="11472" w:name="_Toc11264"/>
      <w:bookmarkStart w:id="11473" w:name="_Toc10462"/>
      <w:bookmarkStart w:id="11474" w:name="_Toc3272"/>
      <w:bookmarkStart w:id="11475" w:name="_Toc15197"/>
      <w:bookmarkStart w:id="11476" w:name="_Toc16305"/>
      <w:bookmarkStart w:id="11477" w:name="_Toc21165"/>
      <w:bookmarkStart w:id="11478" w:name="_Toc28157"/>
      <w:bookmarkStart w:id="11479" w:name="_Toc3645"/>
      <w:bookmarkStart w:id="11480" w:name="_Toc2075"/>
      <w:bookmarkStart w:id="11481" w:name="_Toc6042"/>
      <w:bookmarkStart w:id="11482" w:name="_Toc9979"/>
      <w:bookmarkStart w:id="11483" w:name="_Toc12345"/>
      <w:bookmarkStart w:id="11484" w:name="_Toc23619"/>
      <w:bookmarkStart w:id="11485" w:name="_Toc16912"/>
      <w:bookmarkStart w:id="11486" w:name="_Toc16357"/>
      <w:bookmarkStart w:id="11487" w:name="_Toc24831"/>
      <w:bookmarkStart w:id="11488" w:name="_Toc6267"/>
      <w:bookmarkStart w:id="11489" w:name="_Toc22294"/>
      <w:bookmarkStart w:id="11490" w:name="_Toc7363"/>
      <w:bookmarkStart w:id="11491" w:name="_Toc19319"/>
      <w:bookmarkStart w:id="11492" w:name="_Toc32562"/>
      <w:bookmarkStart w:id="11493" w:name="_Toc31862"/>
      <w:bookmarkStart w:id="11494" w:name="_Toc20461"/>
      <w:bookmarkStart w:id="11495" w:name="_Toc13203"/>
      <w:bookmarkStart w:id="11496" w:name="_Toc27517"/>
      <w:bookmarkStart w:id="11497" w:name="_Toc13707"/>
      <w:bookmarkStart w:id="11498" w:name="_Toc1819"/>
      <w:bookmarkStart w:id="11499" w:name="_Toc8511"/>
      <w:bookmarkStart w:id="11500" w:name="_Toc23763"/>
      <w:bookmarkStart w:id="11501" w:name="_Toc15402"/>
      <w:bookmarkStart w:id="11502" w:name="_Toc23528"/>
      <w:bookmarkStart w:id="11503" w:name="_Toc23696"/>
      <w:bookmarkStart w:id="11504" w:name="_Toc30705"/>
      <w:r>
        <w:rPr>
          <w:rFonts w:hint="eastAsia"/>
        </w:rPr>
        <w:t>（五）物资采购进度计划控制</w:t>
      </w:r>
      <w:bookmarkEnd w:id="11457"/>
      <w:bookmarkEnd w:id="11458"/>
      <w:bookmarkEnd w:id="11459"/>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bookmarkEnd w:id="11478"/>
      <w:bookmarkEnd w:id="11479"/>
      <w:bookmarkEnd w:id="11480"/>
      <w:bookmarkEnd w:id="11481"/>
      <w:bookmarkEnd w:id="11482"/>
      <w:bookmarkEnd w:id="11483"/>
      <w:bookmarkEnd w:id="11484"/>
      <w:bookmarkEnd w:id="11485"/>
      <w:bookmarkEnd w:id="11486"/>
      <w:bookmarkEnd w:id="11487"/>
      <w:bookmarkEnd w:id="11488"/>
      <w:bookmarkEnd w:id="11489"/>
      <w:bookmarkEnd w:id="11490"/>
      <w:bookmarkEnd w:id="11491"/>
      <w:bookmarkEnd w:id="11492"/>
      <w:bookmarkEnd w:id="11493"/>
      <w:bookmarkEnd w:id="11494"/>
      <w:bookmarkEnd w:id="11495"/>
      <w:bookmarkEnd w:id="11496"/>
      <w:bookmarkEnd w:id="11497"/>
      <w:bookmarkEnd w:id="11498"/>
      <w:bookmarkEnd w:id="11499"/>
      <w:bookmarkEnd w:id="11500"/>
      <w:bookmarkEnd w:id="11501"/>
      <w:bookmarkEnd w:id="11502"/>
      <w:bookmarkEnd w:id="11503"/>
      <w:bookmarkEnd w:id="11504"/>
    </w:p>
    <w:p w14:paraId="0FA0626B">
      <w:pPr>
        <w:ind w:firstLine="560"/>
      </w:pPr>
      <w:r>
        <w:rPr>
          <w:rFonts w:hint="eastAsia"/>
        </w:rPr>
        <w:t>物资采购进度计划是项目管理的重要内容。工程建设物资采购供应实行全面计划管理,所有设备、材料的采购、供应必须按计划执行。采购计划包括采购进度计划、采购执行计划及实施方案、质量保证体系和质量保证措施、HSE管理体系、采购合同管理程序和措施、驻厂监造和出厂验收管理方案、催交催运管理办法、现场物资收发存管理程序、现场仓库和露天堆放场地的管理办法等。</w:t>
      </w:r>
    </w:p>
    <w:p w14:paraId="793E8282">
      <w:pPr>
        <w:ind w:firstLine="560"/>
      </w:pPr>
      <w:bookmarkStart w:id="11505" w:name="_Toc3653"/>
      <w:bookmarkStart w:id="11506" w:name="_Toc31424"/>
      <w:bookmarkStart w:id="11507" w:name="_Toc14925"/>
      <w:bookmarkStart w:id="11508" w:name="_Toc14208"/>
      <w:bookmarkStart w:id="11509" w:name="_Toc23917"/>
      <w:bookmarkStart w:id="11510" w:name="_Toc29707"/>
      <w:bookmarkStart w:id="11511" w:name="_Toc24477"/>
      <w:bookmarkStart w:id="11512" w:name="_Toc8115"/>
      <w:bookmarkStart w:id="11513" w:name="_Toc19415"/>
      <w:bookmarkStart w:id="11514" w:name="_Toc24015"/>
      <w:bookmarkStart w:id="11515" w:name="_Toc10713"/>
      <w:bookmarkStart w:id="11516" w:name="_Toc31792"/>
      <w:bookmarkStart w:id="11517" w:name="_Toc22613"/>
      <w:bookmarkStart w:id="11518" w:name="_Toc23547"/>
      <w:bookmarkStart w:id="11519" w:name="_Toc9364"/>
      <w:bookmarkStart w:id="11520" w:name="_Toc15824"/>
      <w:bookmarkStart w:id="11521" w:name="_Toc6810"/>
      <w:bookmarkStart w:id="11522" w:name="_Toc30840"/>
      <w:bookmarkStart w:id="11523" w:name="_Toc22495"/>
      <w:bookmarkStart w:id="11524" w:name="_Toc25607"/>
      <w:bookmarkStart w:id="11525" w:name="_Toc9160"/>
      <w:bookmarkStart w:id="11526" w:name="_Toc17239"/>
      <w:bookmarkStart w:id="11527" w:name="_Toc5037"/>
      <w:bookmarkStart w:id="11528" w:name="_Toc32602"/>
      <w:bookmarkStart w:id="11529" w:name="_Toc28641"/>
      <w:bookmarkStart w:id="11530" w:name="_Toc29563"/>
      <w:bookmarkStart w:id="11531" w:name="_Toc32617"/>
      <w:bookmarkStart w:id="11532" w:name="_Toc25482"/>
      <w:bookmarkStart w:id="11533" w:name="_Toc11787"/>
      <w:bookmarkStart w:id="11534" w:name="_Toc22254"/>
      <w:bookmarkStart w:id="11535" w:name="_Toc3156"/>
      <w:bookmarkStart w:id="11536" w:name="_Toc27879"/>
      <w:bookmarkStart w:id="11537" w:name="_Toc23318"/>
      <w:bookmarkStart w:id="11538" w:name="_Toc19590"/>
      <w:bookmarkStart w:id="11539" w:name="_Toc25794"/>
      <w:bookmarkStart w:id="11540" w:name="_Toc11352"/>
      <w:bookmarkStart w:id="11541" w:name="_Toc21083"/>
      <w:bookmarkStart w:id="11542" w:name="_Toc25343"/>
      <w:bookmarkStart w:id="11543" w:name="_Toc26738"/>
      <w:bookmarkStart w:id="11544" w:name="_Toc30323"/>
      <w:bookmarkStart w:id="11545" w:name="_Toc13926"/>
      <w:bookmarkStart w:id="11546" w:name="_Toc24272"/>
      <w:bookmarkStart w:id="11547" w:name="_Toc14048"/>
      <w:bookmarkStart w:id="11548" w:name="_Toc7009"/>
      <w:bookmarkStart w:id="11549" w:name="_Toc1710"/>
      <w:bookmarkStart w:id="11550" w:name="_Toc27202"/>
      <w:bookmarkStart w:id="11551" w:name="_Toc10626"/>
      <w:r>
        <w:rPr>
          <w:rFonts w:hint="eastAsia"/>
        </w:rPr>
        <w:t>（一）采购进度计划管理原则和范围</w:t>
      </w:r>
      <w:bookmarkEnd w:id="11505"/>
      <w:bookmarkEnd w:id="11506"/>
      <w:bookmarkEnd w:id="11507"/>
      <w:bookmarkEnd w:id="11508"/>
      <w:bookmarkEnd w:id="11509"/>
      <w:bookmarkEnd w:id="11510"/>
      <w:bookmarkEnd w:id="11511"/>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p>
    <w:p w14:paraId="621AFBC8">
      <w:pPr>
        <w:ind w:firstLine="560"/>
      </w:pPr>
      <w:r>
        <w:rPr>
          <w:rFonts w:hint="eastAsia"/>
        </w:rPr>
        <w:t>本工程物资采购进度计划管理将遵循全面规范、细致、可行的原则,充分发挥进度计划管理工作的规范和实效作用。</w:t>
      </w:r>
    </w:p>
    <w:p w14:paraId="1C7261FB">
      <w:pPr>
        <w:ind w:firstLine="560"/>
      </w:pPr>
      <w:r>
        <w:rPr>
          <w:rFonts w:hint="eastAsia"/>
        </w:rPr>
        <w:t>工程建设物资采购进度计划管理范围:即从工程项目准备工作开始,至物资采购完工报告被批准结束。在此期间工程需用所有物资的采购、生产制造、加工、运输、中转仓储、分配调拨、安装使用、售后服务、剩余物资回收等均属于计划管理的范围。</w:t>
      </w:r>
    </w:p>
    <w:p w14:paraId="33975087">
      <w:pPr>
        <w:ind w:firstLine="560"/>
      </w:pPr>
      <w:bookmarkStart w:id="11552" w:name="_Toc14295"/>
      <w:bookmarkStart w:id="11553" w:name="_Toc21783"/>
      <w:bookmarkStart w:id="11554" w:name="_Toc5964"/>
      <w:bookmarkStart w:id="11555" w:name="_Toc20623"/>
      <w:bookmarkStart w:id="11556" w:name="_Toc5843"/>
      <w:bookmarkStart w:id="11557" w:name="_Toc1490"/>
      <w:bookmarkStart w:id="11558" w:name="_Toc3396"/>
      <w:bookmarkStart w:id="11559" w:name="_Toc8539"/>
      <w:bookmarkStart w:id="11560" w:name="_Toc12692"/>
      <w:bookmarkStart w:id="11561" w:name="_Toc19638"/>
      <w:bookmarkStart w:id="11562" w:name="_Toc9477"/>
      <w:bookmarkStart w:id="11563" w:name="_Toc25379"/>
      <w:bookmarkStart w:id="11564" w:name="_Toc29995"/>
      <w:bookmarkStart w:id="11565" w:name="_Toc30961"/>
      <w:bookmarkStart w:id="11566" w:name="_Toc30626"/>
      <w:bookmarkStart w:id="11567" w:name="_Toc21867"/>
      <w:bookmarkStart w:id="11568" w:name="_Toc23911"/>
      <w:bookmarkStart w:id="11569" w:name="_Toc8077"/>
      <w:bookmarkStart w:id="11570" w:name="_Toc4531"/>
      <w:bookmarkStart w:id="11571" w:name="_Toc3317"/>
      <w:bookmarkStart w:id="11572" w:name="_Toc18449"/>
      <w:bookmarkStart w:id="11573" w:name="_Toc1900"/>
      <w:bookmarkStart w:id="11574" w:name="_Toc5900"/>
      <w:bookmarkStart w:id="11575" w:name="_Toc20098"/>
      <w:bookmarkStart w:id="11576" w:name="_Toc15502"/>
      <w:bookmarkStart w:id="11577" w:name="_Toc29560"/>
      <w:bookmarkStart w:id="11578" w:name="_Toc2665"/>
      <w:bookmarkStart w:id="11579" w:name="_Toc26737"/>
      <w:bookmarkStart w:id="11580" w:name="_Toc29456"/>
      <w:bookmarkStart w:id="11581" w:name="_Toc3811"/>
      <w:bookmarkStart w:id="11582" w:name="_Toc15644"/>
      <w:bookmarkStart w:id="11583" w:name="_Toc15925"/>
      <w:bookmarkStart w:id="11584" w:name="_Toc1904"/>
      <w:bookmarkStart w:id="11585" w:name="_Toc15264"/>
      <w:bookmarkStart w:id="11586" w:name="_Toc12070"/>
      <w:bookmarkStart w:id="11587" w:name="_Toc10016"/>
      <w:bookmarkStart w:id="11588" w:name="_Toc11539"/>
      <w:bookmarkStart w:id="11589" w:name="_Toc27781"/>
      <w:bookmarkStart w:id="11590" w:name="_Toc4469"/>
      <w:bookmarkStart w:id="11591" w:name="_Toc20873"/>
      <w:bookmarkStart w:id="11592" w:name="_Toc10941"/>
      <w:bookmarkStart w:id="11593" w:name="_Toc30268"/>
      <w:bookmarkStart w:id="11594" w:name="_Toc26947"/>
      <w:bookmarkStart w:id="11595" w:name="_Toc25374"/>
      <w:bookmarkStart w:id="11596" w:name="_Toc1830"/>
      <w:bookmarkStart w:id="11597" w:name="_Toc23332"/>
      <w:bookmarkStart w:id="11598" w:name="_Toc20727"/>
      <w:r>
        <w:rPr>
          <w:rFonts w:hint="eastAsia"/>
        </w:rPr>
        <w:t>（二）采购进度计划管理的依据</w:t>
      </w:r>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bookmarkEnd w:id="11588"/>
      <w:bookmarkEnd w:id="11589"/>
      <w:bookmarkEnd w:id="11590"/>
      <w:bookmarkEnd w:id="11591"/>
      <w:bookmarkEnd w:id="11592"/>
      <w:bookmarkEnd w:id="11593"/>
      <w:bookmarkEnd w:id="11594"/>
      <w:bookmarkEnd w:id="11595"/>
      <w:bookmarkEnd w:id="11596"/>
      <w:bookmarkEnd w:id="11597"/>
      <w:bookmarkEnd w:id="11598"/>
    </w:p>
    <w:p w14:paraId="28A01455">
      <w:pPr>
        <w:ind w:firstLine="560"/>
      </w:pPr>
      <w:r>
        <w:rPr>
          <w:rFonts w:hint="eastAsia"/>
        </w:rPr>
        <w:t>1、业主审定批准的设计部门的工程物资设计料表、图纸和有关技术文件;</w:t>
      </w:r>
    </w:p>
    <w:p w14:paraId="1956F7A5">
      <w:pPr>
        <w:ind w:firstLine="560"/>
      </w:pPr>
      <w:r>
        <w:rPr>
          <w:rFonts w:hint="eastAsia"/>
        </w:rPr>
        <w:t>2、业主设计、采购、工程进度计划等文件;</w:t>
      </w:r>
    </w:p>
    <w:p w14:paraId="00C14CF7">
      <w:pPr>
        <w:ind w:firstLine="560"/>
      </w:pPr>
      <w:r>
        <w:rPr>
          <w:rFonts w:hint="eastAsia"/>
        </w:rPr>
        <w:t>3、经业主批准确认的工程项目变更单、设计变更通知单和其他具有法定效能的文件等。</w:t>
      </w:r>
    </w:p>
    <w:p w14:paraId="3328C377">
      <w:pPr>
        <w:ind w:firstLine="560"/>
      </w:pPr>
      <w:bookmarkStart w:id="11599" w:name="_Toc25783"/>
      <w:bookmarkStart w:id="11600" w:name="_Toc3441"/>
      <w:bookmarkStart w:id="11601" w:name="_Toc10341"/>
      <w:bookmarkStart w:id="11602" w:name="_Toc12169"/>
      <w:bookmarkStart w:id="11603" w:name="_Toc5284"/>
      <w:bookmarkStart w:id="11604" w:name="_Toc2777"/>
      <w:bookmarkStart w:id="11605" w:name="_Toc26130"/>
      <w:bookmarkStart w:id="11606" w:name="_Toc11621"/>
      <w:bookmarkStart w:id="11607" w:name="_Toc3460"/>
      <w:bookmarkStart w:id="11608" w:name="_Toc14445"/>
      <w:bookmarkStart w:id="11609" w:name="_Toc2330"/>
      <w:bookmarkStart w:id="11610" w:name="_Toc21601"/>
      <w:bookmarkStart w:id="11611" w:name="_Toc2639"/>
      <w:bookmarkStart w:id="11612" w:name="_Toc6704"/>
      <w:bookmarkStart w:id="11613" w:name="_Toc26134"/>
      <w:bookmarkStart w:id="11614" w:name="_Toc3802"/>
      <w:bookmarkStart w:id="11615" w:name="_Toc9660"/>
      <w:bookmarkStart w:id="11616" w:name="_Toc24995"/>
      <w:bookmarkStart w:id="11617" w:name="_Toc1452"/>
      <w:bookmarkStart w:id="11618" w:name="_Toc16270"/>
      <w:bookmarkStart w:id="11619" w:name="_Toc2676"/>
      <w:bookmarkStart w:id="11620" w:name="_Toc18018"/>
      <w:bookmarkStart w:id="11621" w:name="_Toc19799"/>
      <w:bookmarkStart w:id="11622" w:name="_Toc18828"/>
      <w:bookmarkStart w:id="11623" w:name="_Toc20574"/>
      <w:bookmarkStart w:id="11624" w:name="_Toc12983"/>
      <w:bookmarkStart w:id="11625" w:name="_Toc928"/>
      <w:bookmarkStart w:id="11626" w:name="_Toc30835"/>
      <w:bookmarkStart w:id="11627" w:name="_Toc432"/>
      <w:bookmarkStart w:id="11628" w:name="_Toc9874"/>
      <w:bookmarkStart w:id="11629" w:name="_Toc32676"/>
      <w:bookmarkStart w:id="11630" w:name="_Toc20783"/>
      <w:bookmarkStart w:id="11631" w:name="_Toc1433"/>
      <w:bookmarkStart w:id="11632" w:name="_Toc30216"/>
      <w:bookmarkStart w:id="11633" w:name="_Toc7148"/>
      <w:bookmarkStart w:id="11634" w:name="_Toc24401"/>
      <w:bookmarkStart w:id="11635" w:name="_Toc16733"/>
      <w:bookmarkStart w:id="11636" w:name="_Toc31165"/>
      <w:bookmarkStart w:id="11637" w:name="_Toc8264"/>
      <w:bookmarkStart w:id="11638" w:name="_Toc30746"/>
      <w:bookmarkStart w:id="11639" w:name="_Toc17288"/>
      <w:bookmarkStart w:id="11640" w:name="_Toc16597"/>
      <w:bookmarkStart w:id="11641" w:name="_Toc10593"/>
      <w:bookmarkStart w:id="11642" w:name="_Toc29907"/>
      <w:bookmarkStart w:id="11643" w:name="_Toc458"/>
      <w:bookmarkStart w:id="11644" w:name="_Toc1106"/>
      <w:bookmarkStart w:id="11645" w:name="_Toc22591"/>
      <w:bookmarkStart w:id="11646" w:name="_Toc22910"/>
      <w:bookmarkStart w:id="11647" w:name="_Toc3683"/>
      <w:r>
        <w:rPr>
          <w:rFonts w:hint="eastAsia"/>
        </w:rPr>
        <w:t>（三）采购进度计划控制的责任划分</w:t>
      </w:r>
      <w:bookmarkEnd w:id="11599"/>
      <w:bookmarkEnd w:id="11600"/>
      <w:bookmarkEnd w:id="11601"/>
      <w:bookmarkEnd w:id="11602"/>
      <w:bookmarkEnd w:id="11603"/>
      <w:bookmarkEnd w:id="11604"/>
      <w:bookmarkEnd w:id="11605"/>
      <w:bookmarkEnd w:id="11606"/>
      <w:bookmarkEnd w:id="11607"/>
      <w:bookmarkEnd w:id="11608"/>
      <w:bookmarkEnd w:id="11609"/>
      <w:bookmarkEnd w:id="11610"/>
      <w:bookmarkEnd w:id="11611"/>
      <w:bookmarkEnd w:id="11612"/>
      <w:bookmarkEnd w:id="11613"/>
      <w:bookmarkEnd w:id="11614"/>
      <w:bookmarkEnd w:id="11615"/>
      <w:bookmarkEnd w:id="11616"/>
      <w:bookmarkEnd w:id="11617"/>
      <w:bookmarkEnd w:id="11618"/>
      <w:bookmarkEnd w:id="11619"/>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p>
    <w:p w14:paraId="7DD1A66C">
      <w:pPr>
        <w:ind w:firstLine="560"/>
      </w:pPr>
      <w:r>
        <w:rPr>
          <w:rFonts w:hint="eastAsia"/>
        </w:rPr>
        <w:t>1、项目采购部负责工程所需设备、材料的订购、催办、监造、检验、运输、接收、调拨、结算等一系列采购活动。负责根据项目总体工程计划编制采购的总体实施计划;负责协调、控制采购进度,并编制采购订单状态报告及物资接收报告等。</w:t>
      </w:r>
    </w:p>
    <w:p w14:paraId="0CCDF3EF">
      <w:pPr>
        <w:ind w:firstLine="560"/>
      </w:pPr>
      <w:r>
        <w:rPr>
          <w:rFonts w:hint="eastAsia"/>
        </w:rPr>
        <w:t>2、计划工程师负责根据批准的采购总体实施计划审核采购实际进度,并根据已完成的采购进度计算已完成的采购进度计划百分比。</w:t>
      </w:r>
    </w:p>
    <w:p w14:paraId="286215C4">
      <w:pPr>
        <w:ind w:firstLine="560"/>
      </w:pPr>
      <w:r>
        <w:rPr>
          <w:rFonts w:hint="eastAsia"/>
        </w:rPr>
        <w:t>以达到控制采购进度和掌握采购工作量完成情况的目的计划工程师要对采购进度进行经常性的审核评估,使采购的进度在工程整体项目进度中符合每一级进度计划,同时按项目要求提供各种采购进度报告。</w:t>
      </w:r>
    </w:p>
    <w:p w14:paraId="1226268C">
      <w:pPr>
        <w:ind w:firstLine="560"/>
      </w:pPr>
      <w:bookmarkStart w:id="11648" w:name="_Toc6357"/>
      <w:bookmarkStart w:id="11649" w:name="_Toc29867"/>
      <w:bookmarkStart w:id="11650" w:name="_Toc23634"/>
      <w:bookmarkStart w:id="11651" w:name="_Toc21501"/>
      <w:bookmarkStart w:id="11652" w:name="_Toc17051"/>
      <w:bookmarkStart w:id="11653" w:name="_Toc1515"/>
      <w:bookmarkStart w:id="11654" w:name="_Toc30727"/>
      <w:bookmarkStart w:id="11655" w:name="_Toc32465"/>
      <w:bookmarkStart w:id="11656" w:name="_Toc19730"/>
      <w:bookmarkStart w:id="11657" w:name="_Toc14183"/>
      <w:bookmarkStart w:id="11658" w:name="_Toc12319"/>
      <w:bookmarkStart w:id="11659" w:name="_Toc27686"/>
      <w:bookmarkStart w:id="11660" w:name="_Toc2831"/>
      <w:bookmarkStart w:id="11661" w:name="_Toc9226"/>
      <w:bookmarkStart w:id="11662" w:name="_Toc22240"/>
      <w:bookmarkStart w:id="11663" w:name="_Toc25590"/>
      <w:bookmarkStart w:id="11664" w:name="_Toc852"/>
      <w:bookmarkStart w:id="11665" w:name="_Toc27403"/>
      <w:bookmarkStart w:id="11666" w:name="_Toc21916"/>
      <w:bookmarkStart w:id="11667" w:name="_Toc21239"/>
      <w:bookmarkStart w:id="11668" w:name="_Toc16680"/>
      <w:bookmarkStart w:id="11669" w:name="_Toc19824"/>
      <w:bookmarkStart w:id="11670" w:name="_Toc12727"/>
      <w:bookmarkStart w:id="11671" w:name="_Toc17277"/>
      <w:bookmarkStart w:id="11672" w:name="_Toc30718"/>
      <w:bookmarkStart w:id="11673" w:name="_Toc21143"/>
      <w:bookmarkStart w:id="11674" w:name="_Toc17271"/>
      <w:bookmarkStart w:id="11675" w:name="_Toc31448"/>
      <w:bookmarkStart w:id="11676" w:name="_Toc25091"/>
      <w:bookmarkStart w:id="11677" w:name="_Toc12211"/>
      <w:bookmarkStart w:id="11678" w:name="_Toc15871"/>
      <w:bookmarkStart w:id="11679" w:name="_Toc31111"/>
      <w:bookmarkStart w:id="11680" w:name="_Toc11134"/>
      <w:bookmarkStart w:id="11681" w:name="_Toc6466"/>
      <w:bookmarkStart w:id="11682" w:name="_Toc6492"/>
      <w:bookmarkStart w:id="11683" w:name="_Toc12082"/>
      <w:bookmarkStart w:id="11684" w:name="_Toc3913"/>
      <w:bookmarkStart w:id="11685" w:name="_Toc30403"/>
      <w:bookmarkStart w:id="11686" w:name="_Toc7515"/>
      <w:bookmarkStart w:id="11687" w:name="_Toc25062"/>
      <w:bookmarkStart w:id="11688" w:name="_Toc21573"/>
      <w:bookmarkStart w:id="11689" w:name="_Toc31757"/>
      <w:bookmarkStart w:id="11690" w:name="_Toc30503"/>
      <w:bookmarkStart w:id="11691" w:name="_Toc10987"/>
      <w:bookmarkStart w:id="11692" w:name="_Toc303"/>
      <w:bookmarkStart w:id="11693" w:name="_Toc26967"/>
      <w:bookmarkStart w:id="11694" w:name="_Toc3658"/>
      <w:bookmarkStart w:id="11695" w:name="_Toc13937"/>
      <w:bookmarkStart w:id="11696" w:name="_Toc28748"/>
      <w:bookmarkStart w:id="11697" w:name="_Toc22208"/>
      <w:r>
        <w:rPr>
          <w:rFonts w:hint="eastAsia"/>
        </w:rPr>
        <w:t>（四）物资采购进度控制要点</w:t>
      </w:r>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bookmarkEnd w:id="11673"/>
      <w:bookmarkEnd w:id="11674"/>
      <w:bookmarkEnd w:id="11675"/>
      <w:bookmarkEnd w:id="11676"/>
      <w:bookmarkEnd w:id="11677"/>
      <w:bookmarkEnd w:id="11678"/>
      <w:bookmarkEnd w:id="11679"/>
      <w:bookmarkEnd w:id="11680"/>
      <w:bookmarkEnd w:id="11681"/>
      <w:bookmarkEnd w:id="11682"/>
      <w:bookmarkEnd w:id="11683"/>
      <w:bookmarkEnd w:id="11684"/>
      <w:bookmarkEnd w:id="11685"/>
      <w:bookmarkEnd w:id="11686"/>
      <w:bookmarkEnd w:id="11687"/>
      <w:bookmarkEnd w:id="11688"/>
      <w:bookmarkEnd w:id="11689"/>
      <w:bookmarkEnd w:id="11690"/>
      <w:bookmarkEnd w:id="11691"/>
      <w:bookmarkEnd w:id="11692"/>
      <w:bookmarkEnd w:id="11693"/>
      <w:bookmarkEnd w:id="11694"/>
      <w:bookmarkEnd w:id="11695"/>
      <w:bookmarkEnd w:id="11696"/>
      <w:bookmarkEnd w:id="11697"/>
    </w:p>
    <w:p w14:paraId="6E2F77D2">
      <w:pPr>
        <w:ind w:firstLine="560"/>
      </w:pPr>
      <w:r>
        <w:rPr>
          <w:rFonts w:hint="eastAsia"/>
        </w:rPr>
        <w:t>（一）采购与设计接口进度实施控制要点</w:t>
      </w:r>
    </w:p>
    <w:p w14:paraId="528C24EB">
      <w:pPr>
        <w:ind w:firstLine="560"/>
      </w:pPr>
      <w:r>
        <w:rPr>
          <w:rFonts w:hint="eastAsia"/>
        </w:rPr>
        <w:t>1、设计向采购提交请购文件。</w:t>
      </w:r>
    </w:p>
    <w:p w14:paraId="3EF76E90">
      <w:pPr>
        <w:ind w:firstLine="560"/>
      </w:pPr>
      <w:r>
        <w:rPr>
          <w:rFonts w:hint="eastAsia"/>
        </w:rPr>
        <w:t>2、设计对报价技术的评审。</w:t>
      </w:r>
    </w:p>
    <w:p w14:paraId="025D0E82">
      <w:pPr>
        <w:ind w:firstLine="560"/>
      </w:pPr>
      <w:r>
        <w:rPr>
          <w:rFonts w:hint="eastAsia"/>
        </w:rPr>
        <w:t>3、采购向设计提交的关键设备资料。</w:t>
      </w:r>
    </w:p>
    <w:p w14:paraId="190C6FD3">
      <w:pPr>
        <w:ind w:firstLine="560"/>
      </w:pPr>
      <w:r>
        <w:rPr>
          <w:rFonts w:hint="eastAsia"/>
        </w:rPr>
        <w:t>4、设计对制造厂图纸的审查、确认、反馈。</w:t>
      </w:r>
    </w:p>
    <w:p w14:paraId="3129C3AE">
      <w:pPr>
        <w:ind w:firstLine="560"/>
      </w:pPr>
      <w:r>
        <w:rPr>
          <w:rFonts w:hint="eastAsia"/>
        </w:rPr>
        <w:t>5、设计变更对采购进度的影响。</w:t>
      </w:r>
    </w:p>
    <w:p w14:paraId="1D46BC83">
      <w:pPr>
        <w:ind w:firstLine="560"/>
      </w:pPr>
      <w:r>
        <w:rPr>
          <w:rFonts w:hint="eastAsia"/>
        </w:rPr>
        <w:t>（二）采购与施工接口进度实施控制要点</w:t>
      </w:r>
    </w:p>
    <w:p w14:paraId="3B8991B1">
      <w:pPr>
        <w:ind w:firstLine="560"/>
      </w:pPr>
      <w:r>
        <w:rPr>
          <w:rFonts w:hint="eastAsia"/>
        </w:rPr>
        <w:t>1、所有设备材料运抵现场。</w:t>
      </w:r>
    </w:p>
    <w:p w14:paraId="7D98934C">
      <w:pPr>
        <w:ind w:firstLine="560"/>
      </w:pPr>
      <w:r>
        <w:rPr>
          <w:rFonts w:hint="eastAsia"/>
        </w:rPr>
        <w:t>2、现场的开箱检查。</w:t>
      </w:r>
    </w:p>
    <w:p w14:paraId="502EBAC0">
      <w:pPr>
        <w:ind w:firstLine="560"/>
      </w:pPr>
      <w:r>
        <w:rPr>
          <w:rFonts w:hint="eastAsia"/>
        </w:rPr>
        <w:t>3、施工过程中出现产品制造质量有关的处理对进度的影响。</w:t>
      </w:r>
    </w:p>
    <w:p w14:paraId="27385C77">
      <w:pPr>
        <w:ind w:firstLine="560"/>
      </w:pPr>
      <w:r>
        <w:rPr>
          <w:rFonts w:hint="eastAsia"/>
        </w:rPr>
        <w:t>4、施工工期延误对采购进度的影响。</w:t>
      </w:r>
    </w:p>
    <w:p w14:paraId="6B9EE685">
      <w:pPr>
        <w:ind w:firstLine="560"/>
      </w:pPr>
      <w:bookmarkStart w:id="11698" w:name="_Toc28946"/>
      <w:bookmarkStart w:id="11699" w:name="_Toc11082"/>
      <w:bookmarkStart w:id="11700" w:name="_Toc20535"/>
      <w:bookmarkStart w:id="11701" w:name="_Toc19504"/>
      <w:bookmarkStart w:id="11702" w:name="_Toc3988"/>
      <w:bookmarkStart w:id="11703" w:name="_Toc18626"/>
      <w:bookmarkStart w:id="11704" w:name="_Toc28571"/>
      <w:bookmarkStart w:id="11705" w:name="_Toc17009"/>
      <w:bookmarkStart w:id="11706" w:name="_Toc27542"/>
      <w:bookmarkStart w:id="11707" w:name="_Toc2398"/>
      <w:bookmarkStart w:id="11708" w:name="_Toc18964"/>
      <w:bookmarkStart w:id="11709" w:name="_Toc26939"/>
      <w:bookmarkStart w:id="11710" w:name="_Toc11968"/>
      <w:bookmarkStart w:id="11711" w:name="_Toc16338"/>
      <w:bookmarkStart w:id="11712" w:name="_Toc5701"/>
      <w:bookmarkStart w:id="11713" w:name="_Toc11287"/>
      <w:bookmarkStart w:id="11714" w:name="_Toc6286"/>
      <w:bookmarkStart w:id="11715" w:name="_Toc14138"/>
      <w:bookmarkStart w:id="11716" w:name="_Toc24359"/>
      <w:bookmarkStart w:id="11717" w:name="_Toc27915"/>
      <w:bookmarkStart w:id="11718" w:name="_Toc17442"/>
      <w:bookmarkStart w:id="11719" w:name="_Toc27122"/>
      <w:bookmarkStart w:id="11720" w:name="_Toc8757"/>
      <w:bookmarkStart w:id="11721" w:name="_Toc13916"/>
      <w:bookmarkStart w:id="11722" w:name="_Toc15989"/>
      <w:bookmarkStart w:id="11723" w:name="_Toc6531"/>
      <w:bookmarkStart w:id="11724" w:name="_Toc25273"/>
      <w:bookmarkStart w:id="11725" w:name="_Toc30075"/>
      <w:bookmarkStart w:id="11726" w:name="_Toc14826"/>
      <w:bookmarkStart w:id="11727" w:name="_Toc25177"/>
      <w:bookmarkStart w:id="11728" w:name="_Toc16681"/>
      <w:bookmarkStart w:id="11729" w:name="_Toc14515"/>
      <w:bookmarkStart w:id="11730" w:name="_Toc7179"/>
      <w:bookmarkStart w:id="11731" w:name="_Toc17945"/>
      <w:bookmarkStart w:id="11732" w:name="_Toc14410"/>
      <w:bookmarkStart w:id="11733" w:name="_Toc9672"/>
      <w:bookmarkStart w:id="11734" w:name="_Toc29229"/>
      <w:bookmarkStart w:id="11735" w:name="_Toc30594"/>
      <w:bookmarkStart w:id="11736" w:name="_Toc14618"/>
      <w:bookmarkStart w:id="11737" w:name="_Toc8573"/>
      <w:bookmarkStart w:id="11738" w:name="_Toc29132"/>
      <w:bookmarkStart w:id="11739" w:name="_Toc16745"/>
      <w:bookmarkStart w:id="11740" w:name="_Toc10592"/>
      <w:bookmarkStart w:id="11741" w:name="_Toc7647"/>
      <w:bookmarkStart w:id="11742" w:name="_Toc2924"/>
      <w:bookmarkStart w:id="11743" w:name="_Toc26306"/>
      <w:bookmarkStart w:id="11744" w:name="_Toc29637"/>
      <w:bookmarkStart w:id="11745" w:name="_Toc12326"/>
      <w:bookmarkStart w:id="11746" w:name="_Toc21522"/>
      <w:bookmarkStart w:id="11747" w:name="_Toc27381"/>
      <w:r>
        <w:rPr>
          <w:rFonts w:hint="eastAsia"/>
        </w:rPr>
        <w:t>（五）采购进度计划的控制方法</w:t>
      </w:r>
      <w:bookmarkEnd w:id="11698"/>
      <w:bookmarkEnd w:id="11699"/>
      <w:bookmarkEnd w:id="11700"/>
      <w:bookmarkEnd w:id="11701"/>
      <w:bookmarkEnd w:id="11702"/>
      <w:bookmarkEnd w:id="11703"/>
      <w:bookmarkEnd w:id="11704"/>
      <w:bookmarkEnd w:id="11705"/>
      <w:bookmarkEnd w:id="11706"/>
      <w:bookmarkEnd w:id="11707"/>
      <w:bookmarkEnd w:id="11708"/>
      <w:bookmarkEnd w:id="11709"/>
      <w:bookmarkEnd w:id="11710"/>
      <w:bookmarkEnd w:id="11711"/>
      <w:bookmarkEnd w:id="11712"/>
      <w:bookmarkEnd w:id="11713"/>
      <w:bookmarkEnd w:id="11714"/>
      <w:bookmarkEnd w:id="11715"/>
      <w:bookmarkEnd w:id="11716"/>
      <w:bookmarkEnd w:id="11717"/>
      <w:bookmarkEnd w:id="11718"/>
      <w:bookmarkEnd w:id="11719"/>
      <w:bookmarkEnd w:id="11720"/>
      <w:bookmarkEnd w:id="11721"/>
      <w:bookmarkEnd w:id="11722"/>
      <w:bookmarkEnd w:id="11723"/>
      <w:bookmarkEnd w:id="11724"/>
      <w:bookmarkEnd w:id="11725"/>
      <w:bookmarkEnd w:id="11726"/>
      <w:bookmarkEnd w:id="11727"/>
      <w:bookmarkEnd w:id="11728"/>
      <w:bookmarkEnd w:id="11729"/>
      <w:bookmarkEnd w:id="11730"/>
      <w:bookmarkEnd w:id="11731"/>
      <w:bookmarkEnd w:id="11732"/>
      <w:bookmarkEnd w:id="11733"/>
      <w:bookmarkEnd w:id="11734"/>
      <w:bookmarkEnd w:id="11735"/>
      <w:bookmarkEnd w:id="11736"/>
      <w:bookmarkEnd w:id="11737"/>
      <w:bookmarkEnd w:id="11738"/>
      <w:bookmarkEnd w:id="11739"/>
      <w:bookmarkEnd w:id="11740"/>
      <w:bookmarkEnd w:id="11741"/>
      <w:bookmarkEnd w:id="11742"/>
      <w:bookmarkEnd w:id="11743"/>
      <w:bookmarkEnd w:id="11744"/>
      <w:bookmarkEnd w:id="11745"/>
      <w:bookmarkEnd w:id="11746"/>
      <w:bookmarkEnd w:id="11747"/>
    </w:p>
    <w:p w14:paraId="6EDBE90C">
      <w:pPr>
        <w:ind w:firstLine="560"/>
      </w:pPr>
      <w:r>
        <w:rPr>
          <w:rFonts w:hint="eastAsia"/>
        </w:rPr>
        <w:t>控制采购进度的基础资料是设备和材料订购、加工、运送等各种活动记录的数据和相关文件信息。通过掌握的采购活动记录来计算采购完成情况,每一个采购活动计算结果可用一个百分数来表示其完成的实物百分比权重,而累计的总值就构成采购完成的权重总的百分比。具体步骤概述如下:</w:t>
      </w:r>
    </w:p>
    <w:p w14:paraId="1965473B">
      <w:pPr>
        <w:ind w:firstLine="560"/>
      </w:pPr>
      <w:r>
        <w:rPr>
          <w:rFonts w:hint="eastAsia"/>
        </w:rPr>
        <w:t>1、利用每个主要设备和大宗材料项目的估价建立相关权重,组成进度的基础。</w:t>
      </w:r>
    </w:p>
    <w:p w14:paraId="32CF30A2">
      <w:pPr>
        <w:ind w:firstLine="560"/>
      </w:pPr>
      <w:r>
        <w:rPr>
          <w:rFonts w:hint="eastAsia"/>
        </w:rPr>
        <w:t>2、利用进度管理软件对采购计划进行资源装载,然后由资源装载和基本计划日期(早及晚的日期)计算得出计划进度。</w:t>
      </w:r>
    </w:p>
    <w:p w14:paraId="40E3ADA4">
      <w:pPr>
        <w:ind w:firstLine="560"/>
      </w:pPr>
      <w:r>
        <w:rPr>
          <w:rFonts w:hint="eastAsia"/>
        </w:rPr>
        <w:t>3、计划工程师根据所有采购必要的检验、检测和验收活动的完成情况,建立采购进度完成状态报告。</w:t>
      </w:r>
    </w:p>
    <w:p w14:paraId="585C21CB">
      <w:pPr>
        <w:ind w:firstLine="560"/>
      </w:pPr>
      <w:bookmarkStart w:id="11748" w:name="_Toc6648"/>
      <w:bookmarkStart w:id="11749" w:name="_Toc19130"/>
      <w:bookmarkStart w:id="11750" w:name="_Toc18129"/>
      <w:bookmarkStart w:id="11751" w:name="_Toc7826"/>
      <w:bookmarkStart w:id="11752" w:name="_Toc4806"/>
      <w:bookmarkStart w:id="11753" w:name="_Toc12052"/>
      <w:bookmarkStart w:id="11754" w:name="_Toc26116"/>
      <w:bookmarkStart w:id="11755" w:name="_Toc27149"/>
      <w:bookmarkStart w:id="11756" w:name="_Toc20361"/>
      <w:bookmarkStart w:id="11757" w:name="_Toc16450"/>
      <w:bookmarkStart w:id="11758" w:name="_Toc11704"/>
      <w:bookmarkStart w:id="11759" w:name="_Toc22316"/>
      <w:bookmarkStart w:id="11760" w:name="_Toc5212"/>
      <w:bookmarkStart w:id="11761" w:name="_Toc30919"/>
      <w:bookmarkStart w:id="11762" w:name="_Toc25251"/>
      <w:bookmarkStart w:id="11763" w:name="_Toc8481"/>
      <w:bookmarkStart w:id="11764" w:name="_Toc25636"/>
      <w:bookmarkStart w:id="11765" w:name="_Toc23669"/>
      <w:bookmarkStart w:id="11766" w:name="_Toc9895"/>
      <w:bookmarkStart w:id="11767" w:name="_Toc30928"/>
      <w:bookmarkStart w:id="11768" w:name="_Toc3297"/>
      <w:bookmarkStart w:id="11769" w:name="_Toc30685"/>
      <w:bookmarkStart w:id="11770" w:name="_Toc21308"/>
      <w:bookmarkStart w:id="11771" w:name="_Toc16669"/>
      <w:bookmarkStart w:id="11772" w:name="_Toc17727"/>
      <w:bookmarkStart w:id="11773" w:name="_Toc1700"/>
      <w:bookmarkStart w:id="11774" w:name="_Toc14543"/>
      <w:bookmarkStart w:id="11775" w:name="_Toc21004"/>
      <w:bookmarkStart w:id="11776" w:name="_Toc2132"/>
      <w:bookmarkStart w:id="11777" w:name="_Toc16706"/>
      <w:bookmarkStart w:id="11778" w:name="_Toc19662"/>
      <w:bookmarkStart w:id="11779" w:name="_Toc21759"/>
      <w:bookmarkStart w:id="11780" w:name="_Toc26701"/>
      <w:bookmarkStart w:id="11781" w:name="_Toc25370"/>
      <w:bookmarkStart w:id="11782" w:name="_Toc17500"/>
      <w:bookmarkStart w:id="11783" w:name="_Toc17480"/>
      <w:bookmarkStart w:id="11784" w:name="_Toc21393"/>
      <w:bookmarkStart w:id="11785" w:name="_Toc25564"/>
      <w:bookmarkStart w:id="11786" w:name="_Toc23714"/>
      <w:bookmarkStart w:id="11787" w:name="_Toc14141"/>
      <w:bookmarkStart w:id="11788" w:name="_Toc5290"/>
      <w:bookmarkStart w:id="11789" w:name="_Toc24815"/>
      <w:bookmarkStart w:id="11790" w:name="_Toc9321"/>
      <w:r>
        <w:rPr>
          <w:rFonts w:hint="eastAsia"/>
        </w:rPr>
        <w:t>（六）采购进度计划进度控制措施</w:t>
      </w:r>
      <w:bookmarkEnd w:id="11748"/>
      <w:bookmarkEnd w:id="11749"/>
      <w:bookmarkEnd w:id="11750"/>
      <w:bookmarkEnd w:id="11751"/>
      <w:bookmarkEnd w:id="11752"/>
      <w:bookmarkEnd w:id="11753"/>
      <w:bookmarkEnd w:id="11754"/>
      <w:bookmarkEnd w:id="11755"/>
      <w:bookmarkEnd w:id="11756"/>
      <w:bookmarkEnd w:id="11757"/>
      <w:bookmarkEnd w:id="11758"/>
      <w:bookmarkEnd w:id="11759"/>
      <w:bookmarkEnd w:id="11760"/>
      <w:bookmarkEnd w:id="11761"/>
      <w:bookmarkEnd w:id="11762"/>
      <w:bookmarkEnd w:id="11763"/>
      <w:bookmarkEnd w:id="11764"/>
      <w:bookmarkEnd w:id="11765"/>
      <w:bookmarkEnd w:id="11766"/>
      <w:bookmarkEnd w:id="11767"/>
      <w:bookmarkEnd w:id="11768"/>
      <w:bookmarkEnd w:id="11769"/>
      <w:bookmarkEnd w:id="11770"/>
      <w:bookmarkEnd w:id="11771"/>
      <w:bookmarkEnd w:id="11772"/>
      <w:bookmarkEnd w:id="11773"/>
      <w:bookmarkEnd w:id="11774"/>
      <w:bookmarkEnd w:id="11775"/>
      <w:bookmarkEnd w:id="11776"/>
      <w:bookmarkEnd w:id="11777"/>
      <w:bookmarkEnd w:id="11778"/>
      <w:bookmarkEnd w:id="11779"/>
      <w:bookmarkEnd w:id="11780"/>
      <w:bookmarkEnd w:id="11781"/>
      <w:bookmarkEnd w:id="11782"/>
      <w:bookmarkEnd w:id="11783"/>
      <w:bookmarkEnd w:id="11784"/>
      <w:bookmarkEnd w:id="11785"/>
      <w:bookmarkEnd w:id="11786"/>
      <w:bookmarkEnd w:id="11787"/>
      <w:bookmarkEnd w:id="11788"/>
      <w:bookmarkEnd w:id="11789"/>
      <w:bookmarkEnd w:id="11790"/>
    </w:p>
    <w:p w14:paraId="3568D079">
      <w:pPr>
        <w:ind w:firstLine="560"/>
      </w:pPr>
      <w:r>
        <w:rPr>
          <w:rFonts w:hint="eastAsia"/>
        </w:rPr>
        <w:t>1、施工材料的采购进度控制</w:t>
      </w:r>
    </w:p>
    <w:p w14:paraId="1DB6D6D1">
      <w:pPr>
        <w:ind w:firstLine="560"/>
      </w:pPr>
      <w:r>
        <w:rPr>
          <w:rFonts w:hint="eastAsia"/>
        </w:rPr>
        <w:t>根据工程进度情况控制施工材料的采购、运输、发放等环节,及时了解材料供需情况,以保证施工进度的需要。</w:t>
      </w:r>
    </w:p>
    <w:p w14:paraId="4630515C">
      <w:pPr>
        <w:ind w:firstLine="560"/>
      </w:pPr>
      <w:r>
        <w:rPr>
          <w:rFonts w:hint="eastAsia"/>
        </w:rPr>
        <w:t>2、设备采购进度控制</w:t>
      </w:r>
    </w:p>
    <w:p w14:paraId="63974446">
      <w:pPr>
        <w:ind w:firstLine="560"/>
      </w:pPr>
      <w:r>
        <w:rPr>
          <w:rFonts w:hint="eastAsia"/>
        </w:rPr>
        <w:t>根据工程进度情况控制设备的订单、技术交流、供货商的图纸和信息获批准、检查和测试完成、运输到现场等制约工程进度的设备采购环节,及时反馈现场设备施工进度情况,以保证现场设备施工进度的需要。</w:t>
      </w:r>
    </w:p>
    <w:p w14:paraId="5FD1DFF9">
      <w:pPr>
        <w:ind w:firstLine="560"/>
      </w:pPr>
      <w:r>
        <w:rPr>
          <w:rFonts w:hint="eastAsia"/>
        </w:rPr>
        <w:t>3、依照设备状态记录和大宗材料状态记录中相关项目的进度描述计算项目的采购进度完成百分比。</w:t>
      </w:r>
    </w:p>
    <w:p w14:paraId="27117D9D">
      <w:pPr>
        <w:ind w:firstLine="560"/>
      </w:pPr>
      <w:r>
        <w:rPr>
          <w:rFonts w:hint="eastAsia"/>
        </w:rPr>
        <w:t>4、设备和大宗材料状态记录将被包括在月报告的附件中。</w:t>
      </w:r>
    </w:p>
    <w:p w14:paraId="2F835FD6">
      <w:pPr>
        <w:ind w:firstLine="560"/>
      </w:pPr>
      <w:r>
        <w:rPr>
          <w:rFonts w:hint="eastAsia"/>
        </w:rPr>
        <w:t>5、催办</w:t>
      </w:r>
    </w:p>
    <w:p w14:paraId="52829CFE">
      <w:pPr>
        <w:ind w:firstLine="560"/>
      </w:pPr>
      <w:r>
        <w:rPr>
          <w:rFonts w:hint="eastAsia"/>
        </w:rPr>
        <w:t>催办是保证采购进度计划实施的重要措施,主要工作是督促供货厂商按照合同规定的期限提供技术文件和材料设备以满足工程设计和现场施工进度的要求,故催办工作贯穿于从合同订货开始到出厂检验交货的全过程。</w:t>
      </w:r>
    </w:p>
    <w:p w14:paraId="79F02400">
      <w:pPr>
        <w:ind w:firstLine="560"/>
      </w:pPr>
      <w:r>
        <w:rPr>
          <w:rFonts w:hint="eastAsia"/>
        </w:rPr>
        <w:t>催办工作的要点是要及时地发现问题,尽一切努力保障所有材料和设备按规定的时间交货,并取得供货商提供的完整的技术文件和质量证明资料,作为最后竣工资料的组成部分。</w:t>
      </w:r>
    </w:p>
    <w:p w14:paraId="4446A6B5">
      <w:pPr>
        <w:ind w:firstLine="560"/>
      </w:pPr>
      <w:r>
        <w:rPr>
          <w:rFonts w:hint="eastAsia"/>
        </w:rPr>
        <w:t>催办的分类:</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4E59E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5E20C5F5">
            <w:pPr>
              <w:pStyle w:val="18"/>
              <w:jc w:val="both"/>
              <w:rPr>
                <w:lang w:val="en-US"/>
              </w:rPr>
            </w:pPr>
            <w:r>
              <w:rPr>
                <w:rFonts w:hint="eastAsia"/>
                <w:lang w:val="en-US"/>
              </w:rPr>
              <w:t>(1)资源催办</w:t>
            </w:r>
          </w:p>
        </w:tc>
      </w:tr>
      <w:tr w14:paraId="44A75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4F2531A">
            <w:pPr>
              <w:pStyle w:val="18"/>
              <w:ind w:firstLine="560" w:firstLineChars="200"/>
              <w:jc w:val="both"/>
              <w:rPr>
                <w:lang w:val="en-US"/>
              </w:rPr>
            </w:pPr>
            <w:r>
              <w:rPr>
                <w:rFonts w:hint="eastAsia"/>
                <w:lang w:val="en-US"/>
              </w:rPr>
              <w:t>为保证工程的进度和质量,总承包商资源催办人员应及时与供货商负责设计、采购、生产和检测的人员沟通,获取信息,保证生产工艺和进度,催交技术资料。</w:t>
            </w:r>
          </w:p>
          <w:p w14:paraId="4EA888D1">
            <w:pPr>
              <w:pStyle w:val="18"/>
              <w:ind w:firstLine="560" w:firstLineChars="200"/>
              <w:jc w:val="both"/>
              <w:rPr>
                <w:lang w:val="en-US"/>
              </w:rPr>
            </w:pPr>
            <w:r>
              <w:rPr>
                <w:rFonts w:hint="eastAsia"/>
                <w:lang w:val="en-US"/>
              </w:rPr>
              <w:t>对每个合同,资源催办应有相关的证明文件,以证实设备及物资经过了仔细的检测及任何必要的检验步骤。同时通过书面报告向催办协调员报告工作进度。</w:t>
            </w:r>
          </w:p>
        </w:tc>
      </w:tr>
      <w:tr w14:paraId="3DFDE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3614C65">
            <w:pPr>
              <w:pStyle w:val="18"/>
              <w:jc w:val="both"/>
              <w:rPr>
                <w:lang w:val="en-US"/>
              </w:rPr>
            </w:pPr>
            <w:r>
              <w:rPr>
                <w:rFonts w:hint="eastAsia"/>
                <w:lang w:val="en-US"/>
              </w:rPr>
              <w:t>(2)运输催办</w:t>
            </w:r>
          </w:p>
        </w:tc>
      </w:tr>
      <w:tr w14:paraId="24B78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FAF927F">
            <w:pPr>
              <w:pStyle w:val="18"/>
              <w:jc w:val="both"/>
              <w:rPr>
                <w:lang w:val="en-US"/>
              </w:rPr>
            </w:pPr>
            <w:r>
              <w:rPr>
                <w:rFonts w:hint="eastAsia"/>
                <w:lang w:val="en-US"/>
              </w:rPr>
              <w:t>总承包商运输催办人员负责监督采购合同的进展情况,按时订购设备及材料,以保证物资按时发运,确保工程进度的进行。</w:t>
            </w:r>
          </w:p>
          <w:p w14:paraId="07122F6A">
            <w:pPr>
              <w:pStyle w:val="18"/>
              <w:ind w:firstLine="560" w:firstLineChars="200"/>
              <w:jc w:val="both"/>
              <w:rPr>
                <w:lang w:val="en-US"/>
              </w:rPr>
            </w:pPr>
            <w:r>
              <w:rPr>
                <w:rFonts w:hint="eastAsia"/>
                <w:lang w:val="en-US"/>
              </w:rPr>
              <w:t>运输催办要向催办组和运输组报告可能出现的延误情况,以得到及时处理。</w:t>
            </w:r>
          </w:p>
        </w:tc>
      </w:tr>
      <w:tr w14:paraId="669D9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3AB3E413">
            <w:pPr>
              <w:pStyle w:val="18"/>
              <w:jc w:val="both"/>
              <w:rPr>
                <w:lang w:val="en-US"/>
              </w:rPr>
            </w:pPr>
            <w:r>
              <w:rPr>
                <w:rFonts w:hint="eastAsia"/>
                <w:lang w:val="en-US"/>
              </w:rPr>
              <w:t>(3)供货商技术资料</w:t>
            </w:r>
          </w:p>
        </w:tc>
      </w:tr>
      <w:tr w14:paraId="1C314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2D1F68E">
            <w:pPr>
              <w:pStyle w:val="18"/>
              <w:jc w:val="both"/>
              <w:rPr>
                <w:lang w:val="en-US"/>
              </w:rPr>
            </w:pPr>
            <w:r>
              <w:rPr>
                <w:rFonts w:hint="eastAsia"/>
                <w:lang w:val="en-US"/>
              </w:rPr>
              <w:t>催办协调员在接到订单复印件后,应立即同供货商联系,索取所有的技术资料,同时应确定交付技术资料的时间。</w:t>
            </w:r>
          </w:p>
          <w:p w14:paraId="6C14C45A">
            <w:pPr>
              <w:pStyle w:val="18"/>
              <w:ind w:firstLine="560" w:firstLineChars="200"/>
              <w:jc w:val="both"/>
              <w:rPr>
                <w:lang w:val="en-US"/>
              </w:rPr>
            </w:pPr>
            <w:r>
              <w:rPr>
                <w:rFonts w:hint="eastAsia"/>
                <w:lang w:val="en-US"/>
              </w:rPr>
              <w:t>收到供货商提供的技术资料后,应确认所提供的资料与订单相符。然后将技术资料提交设计部门审核,催促设计部门按时确认图纸和技术资料,并负责将审核之后的技术资料及时反馈给供货厂商。</w:t>
            </w:r>
          </w:p>
        </w:tc>
      </w:tr>
    </w:tbl>
    <w:p w14:paraId="3D2C95CE">
      <w:pPr>
        <w:pStyle w:val="5"/>
        <w:spacing w:before="31" w:after="31"/>
        <w:ind w:firstLine="562"/>
      </w:pPr>
      <w:bookmarkStart w:id="11791" w:name="_Toc31253"/>
      <w:bookmarkStart w:id="11792" w:name="_Toc32595"/>
      <w:bookmarkStart w:id="11793" w:name="_Toc18000"/>
      <w:bookmarkStart w:id="11794" w:name="_Toc18238"/>
      <w:bookmarkStart w:id="11795" w:name="_Toc19807"/>
      <w:bookmarkStart w:id="11796" w:name="_Toc5023"/>
      <w:bookmarkStart w:id="11797" w:name="_Toc10964"/>
      <w:bookmarkStart w:id="11798" w:name="_Toc2906"/>
      <w:bookmarkStart w:id="11799" w:name="_Toc4414"/>
      <w:bookmarkStart w:id="11800" w:name="_Toc11505"/>
      <w:bookmarkStart w:id="11801" w:name="_Toc16408"/>
      <w:bookmarkStart w:id="11802" w:name="_Toc1112"/>
      <w:bookmarkStart w:id="11803" w:name="_Toc779"/>
      <w:bookmarkStart w:id="11804" w:name="_Toc18403"/>
      <w:bookmarkStart w:id="11805" w:name="_Toc957"/>
      <w:bookmarkStart w:id="11806" w:name="_Toc3148"/>
      <w:bookmarkStart w:id="11807" w:name="_Toc3510"/>
      <w:bookmarkStart w:id="11808" w:name="_Toc2620"/>
      <w:bookmarkStart w:id="11809" w:name="_Toc26714"/>
      <w:bookmarkStart w:id="11810" w:name="_Toc17704"/>
      <w:bookmarkStart w:id="11811" w:name="_Toc13359"/>
      <w:bookmarkStart w:id="11812" w:name="_Toc27875"/>
      <w:bookmarkStart w:id="11813" w:name="_Toc14694"/>
      <w:bookmarkStart w:id="11814" w:name="_Toc22837"/>
      <w:bookmarkStart w:id="11815" w:name="_Toc13629"/>
      <w:bookmarkStart w:id="11816" w:name="_Toc4139"/>
      <w:bookmarkStart w:id="11817" w:name="_Toc28492"/>
      <w:bookmarkStart w:id="11818" w:name="_Toc28776"/>
      <w:bookmarkStart w:id="11819" w:name="_Toc11163"/>
      <w:bookmarkStart w:id="11820" w:name="_Toc29204"/>
      <w:bookmarkStart w:id="11821" w:name="_Toc17702"/>
      <w:bookmarkStart w:id="11822" w:name="_Toc9429"/>
      <w:bookmarkStart w:id="11823" w:name="_Toc12622"/>
      <w:bookmarkStart w:id="11824" w:name="_Toc26834"/>
      <w:bookmarkStart w:id="11825" w:name="_Toc12770"/>
      <w:bookmarkStart w:id="11826" w:name="_Toc17980"/>
      <w:bookmarkStart w:id="11827" w:name="_Toc19386"/>
      <w:bookmarkStart w:id="11828" w:name="_Toc1130"/>
      <w:bookmarkStart w:id="11829" w:name="_Toc3727"/>
      <w:bookmarkStart w:id="11830" w:name="_Toc10238"/>
      <w:bookmarkStart w:id="11831" w:name="_Toc13393"/>
      <w:bookmarkStart w:id="11832" w:name="_Toc10562"/>
      <w:bookmarkStart w:id="11833" w:name="_Toc9764"/>
      <w:bookmarkStart w:id="11834" w:name="_Toc5807"/>
      <w:bookmarkStart w:id="11835" w:name="_Toc17845"/>
      <w:bookmarkStart w:id="11836" w:name="_Toc20792"/>
      <w:bookmarkStart w:id="11837" w:name="_Toc6351"/>
      <w:r>
        <w:rPr>
          <w:rFonts w:hint="eastAsia"/>
        </w:rPr>
        <w:t>（六）、施工材料进场计划</w:t>
      </w:r>
      <w:bookmarkEnd w:id="11791"/>
      <w:bookmarkEnd w:id="11792"/>
      <w:bookmarkEnd w:id="11793"/>
      <w:bookmarkEnd w:id="11794"/>
      <w:bookmarkEnd w:id="11795"/>
      <w:bookmarkEnd w:id="11796"/>
      <w:bookmarkEnd w:id="11797"/>
      <w:bookmarkEnd w:id="11798"/>
      <w:bookmarkEnd w:id="11799"/>
      <w:bookmarkEnd w:id="11800"/>
      <w:bookmarkEnd w:id="11801"/>
      <w:bookmarkEnd w:id="11802"/>
      <w:bookmarkEnd w:id="11803"/>
      <w:bookmarkEnd w:id="11804"/>
      <w:bookmarkEnd w:id="11805"/>
      <w:bookmarkEnd w:id="11806"/>
      <w:bookmarkEnd w:id="11807"/>
      <w:bookmarkEnd w:id="11808"/>
      <w:bookmarkEnd w:id="11809"/>
      <w:bookmarkEnd w:id="11810"/>
      <w:bookmarkEnd w:id="11811"/>
      <w:bookmarkEnd w:id="11812"/>
      <w:bookmarkEnd w:id="11813"/>
      <w:bookmarkEnd w:id="11814"/>
      <w:bookmarkEnd w:id="11815"/>
      <w:bookmarkEnd w:id="11816"/>
      <w:bookmarkEnd w:id="11817"/>
      <w:bookmarkEnd w:id="11818"/>
      <w:bookmarkEnd w:id="11819"/>
      <w:bookmarkEnd w:id="11820"/>
      <w:bookmarkEnd w:id="11821"/>
      <w:bookmarkEnd w:id="11822"/>
      <w:bookmarkEnd w:id="11823"/>
      <w:bookmarkEnd w:id="11824"/>
      <w:bookmarkEnd w:id="11825"/>
      <w:bookmarkEnd w:id="11826"/>
      <w:bookmarkEnd w:id="11827"/>
      <w:bookmarkEnd w:id="11828"/>
      <w:bookmarkEnd w:id="11829"/>
      <w:bookmarkEnd w:id="11830"/>
      <w:bookmarkEnd w:id="11831"/>
      <w:bookmarkEnd w:id="11832"/>
      <w:bookmarkEnd w:id="11833"/>
      <w:bookmarkEnd w:id="11834"/>
      <w:bookmarkEnd w:id="11835"/>
      <w:bookmarkEnd w:id="11836"/>
      <w:bookmarkEnd w:id="11837"/>
    </w:p>
    <w:p w14:paraId="02AF5EAF">
      <w:pPr>
        <w:ind w:firstLine="560"/>
      </w:pPr>
      <w:bookmarkStart w:id="11838" w:name="_Toc26235"/>
      <w:bookmarkStart w:id="11839" w:name="_Toc15265"/>
      <w:bookmarkStart w:id="11840" w:name="_Toc13308"/>
      <w:bookmarkStart w:id="11841" w:name="_Toc2422"/>
      <w:bookmarkStart w:id="11842" w:name="_Toc27964"/>
      <w:bookmarkStart w:id="11843" w:name="_Toc19127"/>
      <w:bookmarkStart w:id="11844" w:name="_Toc14258"/>
      <w:bookmarkStart w:id="11845" w:name="_Toc25878"/>
      <w:bookmarkStart w:id="11846" w:name="_Toc21679"/>
      <w:bookmarkStart w:id="11847" w:name="_Toc3618"/>
      <w:bookmarkStart w:id="11848" w:name="_Toc11984"/>
      <w:bookmarkStart w:id="11849" w:name="_Toc14341"/>
      <w:bookmarkStart w:id="11850" w:name="_Toc25662"/>
      <w:bookmarkStart w:id="11851" w:name="_Toc4961"/>
      <w:bookmarkStart w:id="11852" w:name="_Toc19110"/>
      <w:bookmarkStart w:id="11853" w:name="_Toc27519"/>
      <w:bookmarkStart w:id="11854" w:name="_Toc16061"/>
      <w:bookmarkStart w:id="11855" w:name="_Toc28334"/>
      <w:bookmarkStart w:id="11856" w:name="_Toc30001"/>
      <w:bookmarkStart w:id="11857" w:name="_Toc16941"/>
      <w:bookmarkStart w:id="11858" w:name="_Toc26677"/>
      <w:bookmarkStart w:id="11859" w:name="_Toc31538"/>
      <w:bookmarkStart w:id="11860" w:name="_Toc5819"/>
      <w:bookmarkStart w:id="11861" w:name="_Toc173"/>
      <w:bookmarkStart w:id="11862" w:name="_Toc10594"/>
      <w:bookmarkStart w:id="11863" w:name="_Toc29053"/>
      <w:bookmarkStart w:id="11864" w:name="_Toc1965"/>
      <w:bookmarkStart w:id="11865" w:name="_Toc21777"/>
      <w:bookmarkStart w:id="11866" w:name="_Toc4624"/>
      <w:bookmarkStart w:id="11867" w:name="_Toc4718"/>
      <w:bookmarkStart w:id="11868" w:name="_Toc19471"/>
      <w:bookmarkStart w:id="11869" w:name="_Toc1907"/>
      <w:bookmarkStart w:id="11870" w:name="_Toc10174"/>
      <w:bookmarkStart w:id="11871" w:name="_Toc18294"/>
      <w:bookmarkStart w:id="11872" w:name="_Toc17213"/>
      <w:bookmarkStart w:id="11873" w:name="_Toc23637"/>
      <w:bookmarkStart w:id="11874" w:name="_Toc5052"/>
      <w:bookmarkStart w:id="11875" w:name="_Toc23177"/>
      <w:bookmarkStart w:id="11876" w:name="_Toc18903"/>
      <w:bookmarkStart w:id="11877" w:name="_Toc24211"/>
      <w:bookmarkStart w:id="11878" w:name="_Toc6435"/>
      <w:bookmarkStart w:id="11879" w:name="_Toc14253"/>
      <w:bookmarkStart w:id="11880" w:name="_Toc9035"/>
      <w:bookmarkStart w:id="11881" w:name="_Toc3949"/>
      <w:bookmarkStart w:id="11882" w:name="_Toc5335"/>
      <w:bookmarkStart w:id="11883" w:name="_Toc25567"/>
      <w:bookmarkStart w:id="11884" w:name="_Toc31458"/>
      <w:bookmarkStart w:id="11885" w:name="_Toc26184"/>
      <w:r>
        <w:rPr>
          <w:rFonts w:hint="eastAsia"/>
        </w:rPr>
        <w:t>（一）材料的供应管理制度</w:t>
      </w:r>
      <w:bookmarkEnd w:id="11838"/>
      <w:bookmarkEnd w:id="11839"/>
      <w:bookmarkEnd w:id="11840"/>
      <w:bookmarkEnd w:id="11841"/>
      <w:bookmarkEnd w:id="11842"/>
      <w:bookmarkEnd w:id="11843"/>
      <w:bookmarkEnd w:id="11844"/>
      <w:bookmarkEnd w:id="11845"/>
      <w:bookmarkEnd w:id="11846"/>
      <w:bookmarkEnd w:id="11847"/>
      <w:bookmarkEnd w:id="11848"/>
      <w:bookmarkEnd w:id="11849"/>
      <w:bookmarkEnd w:id="11850"/>
      <w:bookmarkEnd w:id="11851"/>
      <w:bookmarkEnd w:id="11852"/>
      <w:bookmarkEnd w:id="11853"/>
      <w:bookmarkEnd w:id="11854"/>
      <w:bookmarkEnd w:id="11855"/>
      <w:bookmarkEnd w:id="11856"/>
      <w:bookmarkEnd w:id="11857"/>
      <w:bookmarkEnd w:id="11858"/>
      <w:bookmarkEnd w:id="11859"/>
      <w:bookmarkEnd w:id="11860"/>
      <w:bookmarkEnd w:id="11861"/>
      <w:bookmarkEnd w:id="11862"/>
      <w:bookmarkEnd w:id="11863"/>
      <w:bookmarkEnd w:id="11864"/>
      <w:bookmarkEnd w:id="11865"/>
      <w:bookmarkEnd w:id="11866"/>
      <w:bookmarkEnd w:id="11867"/>
      <w:bookmarkEnd w:id="11868"/>
      <w:bookmarkEnd w:id="11869"/>
      <w:bookmarkEnd w:id="11870"/>
      <w:bookmarkEnd w:id="11871"/>
      <w:bookmarkEnd w:id="11872"/>
      <w:bookmarkEnd w:id="11873"/>
      <w:bookmarkEnd w:id="11874"/>
      <w:bookmarkEnd w:id="11875"/>
      <w:bookmarkEnd w:id="11876"/>
      <w:bookmarkEnd w:id="11877"/>
      <w:bookmarkEnd w:id="11878"/>
      <w:bookmarkEnd w:id="11879"/>
      <w:bookmarkEnd w:id="11880"/>
      <w:bookmarkEnd w:id="11881"/>
      <w:bookmarkEnd w:id="11882"/>
      <w:bookmarkEnd w:id="11883"/>
      <w:bookmarkEnd w:id="11884"/>
      <w:bookmarkEnd w:id="11885"/>
    </w:p>
    <w:p w14:paraId="20BB26D6">
      <w:pPr>
        <w:ind w:firstLine="560"/>
      </w:pPr>
      <w:r>
        <w:rPr>
          <w:rFonts w:hint="eastAsia"/>
        </w:rPr>
        <w:t>为使施工现场材料物资管理工作标准化、程序化、规范化，达到保证质量、缩短工期、降低消耗，提高效益，制定本规定；</w:t>
      </w:r>
    </w:p>
    <w:p w14:paraId="271F82DE">
      <w:pPr>
        <w:ind w:firstLine="560"/>
      </w:pPr>
      <w:r>
        <w:rPr>
          <w:rFonts w:hint="eastAsia"/>
        </w:rPr>
        <w:t>1．适用范围凡施工所需材料物资，进入施工现场进行保管、使用直至工程竣工，余料清退出现为止的全过程，均属施工现场材料物资管理的范围。</w:t>
      </w:r>
    </w:p>
    <w:p w14:paraId="7DF61966">
      <w:pPr>
        <w:ind w:firstLine="560"/>
      </w:pPr>
      <w:r>
        <w:rPr>
          <w:rFonts w:hint="eastAsia"/>
        </w:rPr>
        <w:t>2．管理要求：材料的进场、存放按施工组织设计规定的位置和要求进行管理；现场必须设专职材料员，材料员均通过考核，持证上岗；现场材料员及时登记材料账目，做到日清月结；现场材料核算员及时做好材料核算工作，数据准确齐全有分析。</w:t>
      </w:r>
    </w:p>
    <w:p w14:paraId="28D63FB5">
      <w:pPr>
        <w:ind w:firstLine="560"/>
      </w:pPr>
      <w:r>
        <w:rPr>
          <w:rFonts w:hint="eastAsia"/>
        </w:rPr>
        <w:t>进场验证：项目材料物资部编制材料物资进场检验计划（依据检验试验计划），经项目技术负责人批准后实施，产品检验由项目部材料员配合试验员完成;采购员在大宗材料物资到达前一天通知有关材料员（库管员）由库管员准备验证必备计量工具、场内搬运器具等。熟悉材料物资技术规范、质量标准，规划堆放场地；</w:t>
      </w:r>
    </w:p>
    <w:p w14:paraId="300DB417">
      <w:pPr>
        <w:ind w:firstLine="560"/>
      </w:pPr>
      <w:r>
        <w:rPr>
          <w:rFonts w:hint="eastAsia"/>
        </w:rPr>
        <w:t>3．材料物资进场，项目库管员会同采购员对材料物资图样、文件、包装、外观质量、质量证明文件、产品合格证、包装完好情况、数量、规格、产品标识进行验证并作好《材料、构配件进场检验记录》验证应做到：</w:t>
      </w:r>
    </w:p>
    <w:p w14:paraId="2E8A4E58">
      <w:pPr>
        <w:ind w:firstLine="560"/>
      </w:pPr>
      <w:r>
        <w:rPr>
          <w:rFonts w:hint="eastAsia"/>
        </w:rPr>
        <w:t>①核对进场材料物资是否符合采购计划或加工合同规定，核查产品的外观质量是否与合同约定、已封存样品、产品说明书、质量证明文件、产品合格证、送货单、过磅单、装箱单等符合，验证质量合格，库管员作好记录，才允许卸货；</w:t>
      </w:r>
    </w:p>
    <w:p w14:paraId="697BD414">
      <w:pPr>
        <w:ind w:firstLine="560"/>
      </w:pPr>
      <w:r>
        <w:rPr>
          <w:rFonts w:hint="eastAsia"/>
        </w:rPr>
        <w:t>②需复试的材料进场时，库管员进行数量和外观质量验收，验收合格后即可卸货，并做好待检标识，及时通知试验员取样送检，待复检合格后方可使用；</w:t>
      </w:r>
    </w:p>
    <w:p w14:paraId="2EB0B575">
      <w:pPr>
        <w:ind w:firstLine="560"/>
      </w:pPr>
      <w:r>
        <w:rPr>
          <w:rFonts w:hint="eastAsia"/>
        </w:rPr>
        <w:t>③一般情况下，项目库管员对材料物资应全数进行验收，验收方式按照国家标准、合同或采购前约定进行,对包装或整齐捆绑材料物资，库管员按照随机抽样进行抽查，抽查数量控制在进货数量的5%以内;</w:t>
      </w:r>
    </w:p>
    <w:p w14:paraId="412B93E5">
      <w:pPr>
        <w:ind w:firstLine="560"/>
      </w:pPr>
      <w:r>
        <w:rPr>
          <w:rFonts w:hint="eastAsia"/>
        </w:rPr>
        <w:t>④验证数量与到货凭证不符,采购员应立即通知供应商到场重新确认后允许卸货,如抽查样品质量、数量与到货凭证或已封存样品质量、数量不符,验证人员加倍抽样查验,仍发现不符合，库管员拒绝收货、标识并填写《不合格材料物资记录单》，由采购员通知供应商退货。</w:t>
      </w:r>
    </w:p>
    <w:p w14:paraId="65470CF1">
      <w:pPr>
        <w:ind w:firstLine="560"/>
      </w:pPr>
      <w:r>
        <w:rPr>
          <w:rFonts w:hint="eastAsia"/>
        </w:rPr>
        <w:t>4．在供应商处验证材料物资</w:t>
      </w:r>
    </w:p>
    <w:p w14:paraId="77D956A1">
      <w:pPr>
        <w:ind w:firstLine="560"/>
      </w:pPr>
      <w:r>
        <w:rPr>
          <w:rFonts w:hint="eastAsia"/>
        </w:rPr>
        <w:t>①当需要在供应商处对所采购材料物资进行验证时，项目材料物资部应在采购合同（订单）中明确规定验证的安排和材料物资的放行方法；</w:t>
      </w:r>
    </w:p>
    <w:p w14:paraId="26454815">
      <w:pPr>
        <w:ind w:firstLine="560"/>
      </w:pPr>
      <w:r>
        <w:rPr>
          <w:rFonts w:hint="eastAsia"/>
        </w:rPr>
        <w:t>②项目材料物资部采购负责人组织技术部、质量部等方面人员到供应商处对所采购材料物资进行验证，并做好验证记录。进场材料物资的复试及材料物资的复试的范围国家和地方政府规定的必须进行复试的材料物资，如钢材、水泥、材料、砼添加剂、轻集料、砖、砂、石子等；原始质量合格证明文件缺项、数据不清的材料物资；</w:t>
      </w:r>
    </w:p>
    <w:p w14:paraId="13B8356A">
      <w:pPr>
        <w:ind w:firstLine="560"/>
      </w:pPr>
      <w:r>
        <w:rPr>
          <w:rFonts w:hint="eastAsia"/>
        </w:rPr>
        <w:t>③超出保质期、规格型号混存的材料物资。试验由项目材料员通知试验员取样，材料员、库管员配合，试验员送交指定试验室试验并记录《试验台帐》，试验合格后才能使用；</w:t>
      </w:r>
    </w:p>
    <w:p w14:paraId="51C12C94">
      <w:pPr>
        <w:ind w:firstLine="560"/>
      </w:pPr>
      <w:r>
        <w:rPr>
          <w:rFonts w:hint="eastAsia"/>
        </w:rPr>
        <w:t>5．电器使用功能检验、电线电缆的绝缘试验、管材和阀门压力试验应在施工现场进行，必要时可送交具有法定资质检测单位鉴定；</w:t>
      </w:r>
    </w:p>
    <w:p w14:paraId="13049023">
      <w:pPr>
        <w:ind w:firstLine="560"/>
      </w:pPr>
      <w:r>
        <w:rPr>
          <w:rFonts w:hint="eastAsia"/>
        </w:rPr>
        <w:t>6．商品砼进场检验，由试验员按照GB50204-2002《混凝土结构工程施工验收规范》要求取样,制作试块和塌落度试验,并作好取样和塌落度试验结果记录；</w:t>
      </w:r>
    </w:p>
    <w:p w14:paraId="01F43A4C">
      <w:pPr>
        <w:ind w:firstLine="560"/>
      </w:pPr>
      <w:r>
        <w:rPr>
          <w:rFonts w:hint="eastAsia"/>
        </w:rPr>
        <w:t>7．验收手续：进场材料物资经过验证、检验，属外观易识别性质检验的材料，验收应于一日内完成；属化学或物理检验的材料，应于合理时间内完成，复试合格后，由采购员与库管员办理验收手续，双方在验收凭证上署名。收集材质证明、合格证等资料，必须收集产品生产企业材质证明、合格证明文件的材料物资有：钢筋、水泥、商品砼等材料；必须收集产品生产企业质量合格证明文件的材料物资有：有压力要求的管材、轻质墙体材料、特殊要求的油漆化工材料和涂料、粘接材料、等材料；必须收集产品合格证或产品说明书的材料物资有：预制构件、钢构件采购安全防护用品必须收集生产许可证、准用证、产品合格证，进场前查验；所有原始质量文件由采购员负责索取并经库管员传递给项目资料员，项目资料员负责保存,并提供交工资料；所有产品复试的质量检验结果报告由项目试验员负</w:t>
      </w:r>
    </w:p>
    <w:p w14:paraId="53F6D5B2">
      <w:pPr>
        <w:ind w:firstLine="0" w:firstLineChars="0"/>
      </w:pPr>
      <w:r>
        <w:rPr>
          <w:rFonts w:hint="eastAsia"/>
        </w:rPr>
        <w:t>责索取后传递给项目资料员，同时将检验结果反馈材料员和库管员，试验员应作好检验结果报告传递记录。</w:t>
      </w:r>
    </w:p>
    <w:p w14:paraId="5782669B">
      <w:pPr>
        <w:ind w:firstLine="560"/>
      </w:pPr>
      <w:r>
        <w:rPr>
          <w:rFonts w:hint="eastAsia"/>
        </w:rPr>
        <w:t>8．紧急放行材料物资因施工急需来不及验证，可对有些材料物资采取紧急放行措施；但对于那些不能追回或更换的材料物资(如砼)，不允许紧急放行使用；所有紧急放行的材料物资必须经过项目技术负责人批准，由材料员做好记录，并在放行材料物资上做出明确标识，保证一旦发现其不合格时，能立即追回或更换时,才准放行使用。《材料物资紧急放行记录》</w:t>
      </w:r>
    </w:p>
    <w:p w14:paraId="3958E624">
      <w:pPr>
        <w:ind w:firstLine="560"/>
      </w:pPr>
      <w:r>
        <w:rPr>
          <w:rFonts w:hint="eastAsia"/>
        </w:rPr>
        <w:t>9．材料物资搬运、材料物资的采购／使用单位应对其搬运的材料物资要进行保护，保证材料物资在搬运过程中不被损坏，并正确保护产品的标识；材料物资的采购／使用单位负责人应指派人员制订专门的搬运措施并明确搬运人员的职责，防止发生火灾、爆炸、泄露等事故；现场内搬运应考虑，从材料堆场、库房到作业现场的距离、路面情况、搬运设备、工具的能力及搬运工人的水平等,对价值较高、易损坏的材料物资和设备,项目材料物资部应制定专门的搬运方案；场外搬运应考虑，路面情况、道路承载能力及高度、宽度，天气情况，搬运时间等，对超限设备的搬运，供应商或方或项目材料物资部应制定专门的搬运方案；搬运由供应商或方承担时，在选择供应商或方时，项目材料物资部/局工程项目管理部应对其搬运能力（包括搬运设备能力、搬运工人的培训和资格等）进行评价和考察，现场监督；因搬运不当造成质量问题的处理：对因搬运不当造成质量问题的材料物资，负责搬运的单位应采取适当的隔离措施,作好标识以确保不被混用；因自行搬运不当造成质量问题时，由当事人书面报告材料物资采购单位采取措施,进行更换或处理；因供应商搬运不当造成质量问题，材料物资部要求供应商及时作退货或更换处理；因方搬运不当造成质量问题，工程部应要求方写出书面报告，并承担经济损失，同时通知采购人员进行更换。</w:t>
      </w:r>
    </w:p>
    <w:p w14:paraId="60DB6B49">
      <w:pPr>
        <w:ind w:firstLine="560"/>
      </w:pPr>
      <w:r>
        <w:rPr>
          <w:rFonts w:hint="eastAsia"/>
        </w:rPr>
        <w:t>10．材料物资收发、贮存业主提供的材料物资和项目经理部采购的材料物资由材料物资部负责保管，方采购的材料物资由方负责保管，材料物资保管员对已进场验收合格的材料物资建立台帐，记录规格、数量、进出库情况；材料物资的接收与领取前应办理交接手续，库管员应保存验收入库、出库交接记录；项目库管员依据领料单发放材料，领料单必须标明材料名称、规格、单位、数量，并有项目工长签字，缺少任何一项均不能发料；产品质量有保质期限要求的，要标明进场时间，做到先进先出；月末25日前库管员应将当月材料消耗量、库存量统计出来，报送项目现场经理及材料计划员。</w:t>
      </w:r>
    </w:p>
    <w:p w14:paraId="4E60E17A">
      <w:pPr>
        <w:ind w:firstLine="560"/>
      </w:pPr>
      <w:r>
        <w:rPr>
          <w:rFonts w:hint="eastAsia"/>
        </w:rPr>
        <w:t>11．材料物资的贮存应符合以下要求：按施工组织总平面图与产品性能、形态，合理堆码，保持库区整齐规范，大宗材料物资要支垫、齐头、分层堆放，散料要成堆成丁，受大气影响怕潮以及易散失、变质的材料物资要入棚、贮存材料物资应有明显标识，做到帐、卡、物应相符,对有追溯要求的材料物资（如钢材、水泥），应做到批号、试验单号、使用部位等清晰可查；材料物资堆场和库房必须地面平整、排水畅通,对有环境（如温度、湿度、通风、清洁、采光、避光、防鼠、防等）要求的材料物资，仓库条件必须符合防火、防盗、防雨、防潮、防漏、防尘、防冻、防霉、防腐、防晒、防锈、防、防毒规定；贵重、易燃、易爆、有毒物品，必须特别标识并安排专人、专库分开存放保管,配备必要的器具及消防用品，并要有安全隔离措施。</w:t>
      </w:r>
    </w:p>
    <w:p w14:paraId="7A1AEF37">
      <w:pPr>
        <w:ind w:firstLine="560"/>
      </w:pPr>
      <w:r>
        <w:rPr>
          <w:rFonts w:hint="eastAsia"/>
        </w:rPr>
        <w:t>12．材料物资的标识：砂、石、加气砼块等品种单一、不易混淆的材料物资和有外包装标识的材料物资，可不作产品标识，只作待验、已检合格标识；内容要注明进场时间和检验状态；钢筋应作产品标识和状态标识，标识内容应注明钢筋的材质、规格、待验或已检验合格；进入库房或作业面的材料物资均为合格，用合格卡或合格库作标识；危险品、爆炸品、有毒物品标识用红色标记；用挂牌或用记录或堆放区域作标识。</w:t>
      </w:r>
    </w:p>
    <w:p w14:paraId="4B658C24">
      <w:pPr>
        <w:ind w:firstLine="560"/>
      </w:pPr>
      <w:r>
        <w:rPr>
          <w:rFonts w:hint="eastAsia"/>
        </w:rPr>
        <w:t>13．不合格材料物资的处置</w:t>
      </w:r>
    </w:p>
    <w:p w14:paraId="25B9F6C9">
      <w:pPr>
        <w:ind w:firstLine="560"/>
      </w:pPr>
      <w:r>
        <w:rPr>
          <w:rFonts w:hint="eastAsia"/>
        </w:rPr>
        <w:t>不合格材料物资分为可让步接收的和不可让步接收的两类,返修后可接收的、可降级使用的、可改作它用的不合格材料物资为可让步接收的材料物资，其余的均为不可让步接收的材料物资；发现不合格材料物资，检验人员应将不合格情况记录在不合格材料物资记录上,将不合格材料物资单独堆放或采取可靠措施使其与合格品隔离,设置明显的不合格标识牌，以防止处置前的误用；检验人员应组织有关人员对不合格材料物资进行评审，以判定该不合格材料物资是可让步接收的还是不可让步接收的；对于判定为可让步接收的不合格材料物资，检验人员应写让步接收单，交项目技术负责人审核，业主/设计/监理批准;只有在得到业主/设计/监理同意后，才能将让步接收材料物资发放使用；</w:t>
      </w:r>
    </w:p>
    <w:p w14:paraId="7BB169F8">
      <w:pPr>
        <w:ind w:firstLine="560"/>
      </w:pPr>
      <w:r>
        <w:rPr>
          <w:rFonts w:hint="eastAsia"/>
        </w:rPr>
        <w:t>14．对方采购材料物资的控制</w:t>
      </w:r>
    </w:p>
    <w:p w14:paraId="3FA63F73">
      <w:pPr>
        <w:ind w:firstLine="560"/>
      </w:pPr>
      <w:r>
        <w:rPr>
          <w:rFonts w:hint="eastAsia"/>
        </w:rPr>
        <w:t>在与方签订合同时，应明确方采购材料物资的范围、样品／样本报批、供应商评价、采购合同签署等内容；方采购的材料物资，由方负责验证,项目材料物资部对方验证情况进行监督；方负责提供质量证明、检验报告、试验报告等文件，材料物资部予以验证并保存验证记录。</w:t>
      </w:r>
    </w:p>
    <w:p w14:paraId="2C614AD4">
      <w:pPr>
        <w:ind w:firstLine="560"/>
      </w:pPr>
      <w:r>
        <w:rPr>
          <w:rFonts w:hint="eastAsia"/>
        </w:rPr>
        <w:t>15．剩余物资处理</w:t>
      </w:r>
    </w:p>
    <w:p w14:paraId="59402F42">
      <w:pPr>
        <w:ind w:firstLine="560"/>
      </w:pPr>
      <w:r>
        <w:rPr>
          <w:rFonts w:hint="eastAsia"/>
        </w:rPr>
        <w:t>优先以工程总承包部内部各所属单位调剂利用为主，由施工管理部负责牵头，会同质量部对剩余物资或经过加工修理达到可利用的物资，进行品质功能评估。剩余物资对外处置方式包括出售、置换、报废等方式，实行“合法依规、阳光处置、合理估价、公开竞价、统筹兼顾、价高者得”的原则。处置资金及时交付公司资产财务部入账，剩余物资对外处置物资净值的处置过程由项目内部进行评估和审批处理，项目经理进行终审；报施工管理部协调相关部门进行评估和审核处理；处置过程报工程总承包部经理办公会进行审批，审批通过后按照公司相关规定报公司审批。剩余物资对外处置回收要优选公司废旧物资回收名录中的单位，选择不少于三家单位，由项目材料组组织进行竞价，选择出价高、信誉好的单位作为最终处置回收单位。处置完成后将处置审批表、处置资金和收款票据报送项目财务负责人并及时送达工程总承包部资产财务部。</w:t>
      </w:r>
    </w:p>
    <w:p w14:paraId="13EE2DF2">
      <w:pPr>
        <w:ind w:firstLine="560"/>
      </w:pPr>
      <w:r>
        <w:rPr>
          <w:rFonts w:hint="eastAsia"/>
        </w:rPr>
        <w:t>16、流程化管理办法制定仓储各作业环节的详细流程，进行流程化管理。仓储作业严格按照流程进行，一方面可以明确各个人员的职责，提高作业的效率，同时使到每一个环节都可控，保证服务的质量；另一方面更有利于管理人员对作业人员工作评估考核，流程的不断优化也同时改进了整个项目的运作水平。所以，流程化管理是实现运作高效可控的重要途径，是精细管理的重要手段之一。仓储作业管理包括商品从入到出库之间的装卸、搬运、储存养护和流程化管理是细化到仓储管理的每一个环节，包括从订单接收、物资入库、在库管理、盘点、到数据录入、物资出库的每个作业过程。</w:t>
      </w:r>
    </w:p>
    <w:p w14:paraId="4F37A773">
      <w:pPr>
        <w:ind w:firstLine="560"/>
      </w:pPr>
      <w:r>
        <w:rPr>
          <w:rFonts w:hint="eastAsia"/>
        </w:rPr>
        <w:t>17、关键点控制办法关键点控制也是精细管理的重要途径之一，通过寻找作业流程中影响运作质量最大的关键点，并组织团队对其进行控制，从而保证了整体运作的质量。我公司仓库作业的关键点主要包括以下几点：</w:t>
      </w:r>
    </w:p>
    <w:p w14:paraId="3C198EE3">
      <w:pPr>
        <w:ind w:firstLine="560"/>
      </w:pPr>
      <w:r>
        <w:rPr>
          <w:rFonts w:hint="eastAsia"/>
        </w:rPr>
        <w:t>a.针对以上关键环节，制定以下现场督查管理办法，成立督查小组对关键点进行控制：质量主管为专门的质量控制人员，每天对以上仓储作业环节流程监督及质量管理，并定期将督查结果及改进建议反馈给项目经理；设计相关的跟踪表格，由仓库主管对本项目的运作情况进行全程跟踪；</w:t>
      </w:r>
    </w:p>
    <w:p w14:paraId="56A687C1">
      <w:pPr>
        <w:ind w:firstLine="560"/>
      </w:pPr>
      <w:r>
        <w:rPr>
          <w:rFonts w:hint="eastAsia"/>
        </w:rPr>
        <w:t>b.建立定期汇报制度，助理必须每周向项目经理汇报项目运作情况，遇到异常情况必须及时通知项目经理；</w:t>
      </w:r>
    </w:p>
    <w:p w14:paraId="44208E17">
      <w:pPr>
        <w:ind w:firstLine="560"/>
      </w:pPr>
      <w:r>
        <w:rPr>
          <w:rFonts w:hint="eastAsia"/>
        </w:rPr>
        <w:t>c.设计好对仓库管理及作业人员的督查报告，通过：“问题记录一问题汇总一分析问题一改进方法一改进实施一效果评估一重新督查记录”的质量管理步骤，不断提高作业效率及质量；</w:t>
      </w:r>
    </w:p>
    <w:p w14:paraId="40CCC0D6">
      <w:pPr>
        <w:ind w:firstLine="560"/>
      </w:pPr>
      <w:r>
        <w:rPr>
          <w:rFonts w:hint="eastAsia"/>
        </w:rPr>
        <w:t>d.进行现场追踪考核，项目经理不定期到场对作业进行现场监督；</w:t>
      </w:r>
    </w:p>
    <w:p w14:paraId="54746DF0">
      <w:pPr>
        <w:ind w:firstLine="560"/>
      </w:pPr>
      <w:r>
        <w:rPr>
          <w:rFonts w:hint="eastAsia"/>
        </w:rPr>
        <w:t>18、对仓库作业时间管理对仓库作业各环节采取时间考核管理办法：首先根据正常作业速度制定各环节完成的必需时间，要求作业人员进行时间登记，质量主管进行时间的统计分析，根据分析结果对人员工作能力进行客观评估，同时制定并下发改进措施，通过不断的改进，保证仓库作业能潢足客户的时限要求。</w:t>
      </w:r>
    </w:p>
    <w:p w14:paraId="5EE9F11D">
      <w:pPr>
        <w:ind w:firstLine="560"/>
      </w:pPr>
      <w:r>
        <w:rPr>
          <w:rFonts w:hint="eastAsia"/>
        </w:rPr>
        <w:t>19、清廉自持原则</w:t>
      </w:r>
    </w:p>
    <w:p w14:paraId="35AB0595">
      <w:pPr>
        <w:ind w:firstLine="560"/>
      </w:pPr>
      <w:r>
        <w:rPr>
          <w:rFonts w:hint="eastAsia"/>
        </w:rPr>
        <w:t>对采购过程中发生的回扣必须如实上交公司财务部，不得据为已有，不得故意采购质次价高产品，否则将追究当事人的责任。</w:t>
      </w:r>
    </w:p>
    <w:p w14:paraId="6CA390DC">
      <w:pPr>
        <w:ind w:firstLine="560"/>
      </w:pPr>
      <w:r>
        <w:rPr>
          <w:rFonts w:hint="eastAsia"/>
        </w:rPr>
        <w:t>20、材料堆放的措施现场材料严格按施工平面布臵图堆放，所有合格材料必须悬挂白底红字标识牌，标明材料名称、规格、检验状态。不合格禁止使用材料悬挂白底黑字，标明“禁止使用”的标识牌。</w:t>
      </w:r>
    </w:p>
    <w:p w14:paraId="52431839">
      <w:pPr>
        <w:ind w:firstLine="560"/>
      </w:pPr>
      <w:r>
        <w:rPr>
          <w:rFonts w:hint="eastAsia"/>
        </w:rPr>
        <w:t>21、设备保管措施无论是业主采购的设备材料、或是由承包人采购的设备材料。一经入库必须妥善保管，并采取相应的保护措施。业主采购的设备、材料入库前应配合业主进行开箱检查，观察外观、检查质量，查验技术资料，核实规格型号、数量，并办理开箱记录认证手续，并由经理部统一保管、发放。</w:t>
      </w:r>
    </w:p>
    <w:p w14:paraId="24B3E7F4">
      <w:pPr>
        <w:ind w:firstLine="560"/>
      </w:pPr>
      <w:r>
        <w:rPr>
          <w:rFonts w:hint="eastAsia"/>
        </w:rPr>
        <w:t>22、人采购的设备材料入库前必须主动邀请业主进行开箱检查，当确定无误后方可入库保管。当不能入库时，应及时办理换货或退货，以避免停工待料。设备材料入库及时入帐登记在册，并悬挂醒目清晰的标识牌或标识卡。领用后及时减帐，做到实物与帐面相符。设备、材料入库实行分区域堆码，堆码必须整齐，井井有条，安全可靠，并留有一定的出货通道，严禁乱堆、混放。对易燃易爆品的保管设立单独的仓库，并与生活区相隔一定的距离。</w:t>
      </w:r>
    </w:p>
    <w:p w14:paraId="67B51A1B">
      <w:pPr>
        <w:ind w:firstLine="560"/>
      </w:pPr>
      <w:r>
        <w:rPr>
          <w:rFonts w:hint="eastAsia"/>
        </w:rPr>
        <w:t>23、危险品仓库外安装消防栓、灭火器，防患于未燃。对易燃易爆品的领用应严格管理，措施到位，责任到人。对需防潮的设备、材料要入库保管。大型超重设备不能入库可露天堆放，但必须用支墩架空，表面覆盖塑料布防雨水，覆盖必须严实，谨防雨水浸湿损伤设备。镀锌钢管、镀锌铁皮等钢材放臵到钢材堆棚内保管，防止锈蚀。搬运，堆码时不得碰撞以避免划伤镀锌面，存放加护塑料布盖。严格领用料制度。实行预算定额材料限额领用的措施，并提倡节约，未用完的材料应及时回库，严禁浪费。</w:t>
      </w:r>
    </w:p>
    <w:p w14:paraId="36F695E6">
      <w:pPr>
        <w:ind w:firstLine="560"/>
      </w:pPr>
      <w:r>
        <w:rPr>
          <w:rFonts w:hint="eastAsia"/>
        </w:rPr>
        <w:t>加强对设备材料的保安措施，包括已经安装到位的设备，除妥善保护外，应执行昼夜巡查的制度，严防偷盗和损失。</w:t>
      </w:r>
    </w:p>
    <w:p w14:paraId="34B602A5">
      <w:pPr>
        <w:ind w:firstLine="560"/>
      </w:pPr>
      <w:bookmarkStart w:id="11886" w:name="_Toc14339"/>
      <w:bookmarkStart w:id="11887" w:name="_Toc21339"/>
      <w:bookmarkStart w:id="11888" w:name="_Toc12093"/>
      <w:bookmarkStart w:id="11889" w:name="_Toc15990"/>
      <w:bookmarkStart w:id="11890" w:name="_Toc19278"/>
      <w:bookmarkStart w:id="11891" w:name="_Toc28464"/>
      <w:bookmarkStart w:id="11892" w:name="_Toc19074"/>
      <w:bookmarkStart w:id="11893" w:name="_Toc20598"/>
      <w:bookmarkStart w:id="11894" w:name="_Toc25999"/>
      <w:bookmarkStart w:id="11895" w:name="_Toc5713"/>
      <w:bookmarkStart w:id="11896" w:name="_Toc29377"/>
      <w:bookmarkStart w:id="11897" w:name="_Toc9311"/>
      <w:bookmarkStart w:id="11898" w:name="_Toc16940"/>
      <w:bookmarkStart w:id="11899" w:name="_Toc16258"/>
      <w:bookmarkStart w:id="11900" w:name="_Toc17860"/>
      <w:bookmarkStart w:id="11901" w:name="_Toc11553"/>
      <w:bookmarkStart w:id="11902" w:name="_Toc27201"/>
      <w:bookmarkStart w:id="11903" w:name="_Toc12618"/>
      <w:bookmarkStart w:id="11904" w:name="_Toc4248"/>
      <w:bookmarkStart w:id="11905" w:name="_Toc25675"/>
      <w:bookmarkStart w:id="11906" w:name="_Toc27324"/>
      <w:bookmarkStart w:id="11907" w:name="_Toc4672"/>
      <w:bookmarkStart w:id="11908" w:name="_Toc14096"/>
      <w:bookmarkStart w:id="11909" w:name="_Toc3034"/>
      <w:bookmarkStart w:id="11910" w:name="_Toc3101"/>
      <w:bookmarkStart w:id="11911" w:name="_Toc22561"/>
      <w:bookmarkStart w:id="11912" w:name="_Toc24923"/>
      <w:bookmarkStart w:id="11913" w:name="_Toc25614"/>
      <w:bookmarkStart w:id="11914" w:name="_Toc21249"/>
      <w:bookmarkStart w:id="11915" w:name="_Toc18116"/>
      <w:bookmarkStart w:id="11916" w:name="_Toc11750"/>
      <w:bookmarkStart w:id="11917" w:name="_Toc32261"/>
      <w:bookmarkStart w:id="11918" w:name="_Toc10903"/>
      <w:bookmarkStart w:id="11919" w:name="_Toc11580"/>
      <w:bookmarkStart w:id="11920" w:name="_Toc31750"/>
      <w:bookmarkStart w:id="11921" w:name="_Toc11931"/>
      <w:bookmarkStart w:id="11922" w:name="_Toc12281"/>
      <w:bookmarkStart w:id="11923" w:name="_Toc22582"/>
      <w:bookmarkStart w:id="11924" w:name="_Toc16025"/>
      <w:bookmarkStart w:id="11925" w:name="_Toc2374"/>
      <w:bookmarkStart w:id="11926" w:name="_Toc8369"/>
      <w:bookmarkStart w:id="11927" w:name="_Toc12623"/>
      <w:bookmarkStart w:id="11928" w:name="_Toc4257"/>
      <w:bookmarkStart w:id="11929" w:name="_Toc17805"/>
      <w:bookmarkStart w:id="11930" w:name="_Toc15514"/>
      <w:bookmarkStart w:id="11931" w:name="_Toc13192"/>
      <w:bookmarkStart w:id="11932" w:name="_Toc13227"/>
      <w:bookmarkStart w:id="11933" w:name="_Toc30890"/>
      <w:bookmarkStart w:id="11934" w:name="_Toc15535"/>
      <w:bookmarkStart w:id="11935" w:name="_Toc8810"/>
      <w:bookmarkStart w:id="11936" w:name="_Toc26061"/>
      <w:r>
        <w:rPr>
          <w:rFonts w:hint="eastAsia"/>
        </w:rPr>
        <w:t>（二）材料的运输措施</w:t>
      </w:r>
      <w:bookmarkEnd w:id="11886"/>
      <w:bookmarkEnd w:id="11887"/>
      <w:bookmarkEnd w:id="11888"/>
      <w:bookmarkEnd w:id="11889"/>
      <w:bookmarkEnd w:id="11890"/>
      <w:bookmarkEnd w:id="11891"/>
      <w:bookmarkEnd w:id="11892"/>
      <w:bookmarkEnd w:id="11893"/>
      <w:bookmarkEnd w:id="11894"/>
      <w:bookmarkEnd w:id="11895"/>
      <w:bookmarkEnd w:id="11896"/>
      <w:bookmarkEnd w:id="11897"/>
      <w:bookmarkEnd w:id="11898"/>
      <w:bookmarkEnd w:id="11899"/>
      <w:bookmarkEnd w:id="11900"/>
      <w:bookmarkEnd w:id="11901"/>
      <w:bookmarkEnd w:id="11902"/>
      <w:bookmarkEnd w:id="11903"/>
      <w:bookmarkEnd w:id="11904"/>
      <w:bookmarkEnd w:id="11905"/>
      <w:bookmarkEnd w:id="11906"/>
      <w:bookmarkEnd w:id="11907"/>
      <w:bookmarkEnd w:id="11908"/>
      <w:bookmarkEnd w:id="11909"/>
      <w:bookmarkEnd w:id="11910"/>
      <w:bookmarkEnd w:id="11911"/>
      <w:bookmarkEnd w:id="11912"/>
      <w:bookmarkEnd w:id="11913"/>
      <w:bookmarkEnd w:id="11914"/>
      <w:bookmarkEnd w:id="11915"/>
      <w:bookmarkEnd w:id="11916"/>
      <w:bookmarkEnd w:id="11917"/>
      <w:bookmarkEnd w:id="11918"/>
      <w:bookmarkEnd w:id="11919"/>
      <w:bookmarkEnd w:id="11920"/>
      <w:bookmarkEnd w:id="11921"/>
      <w:bookmarkEnd w:id="11922"/>
      <w:bookmarkEnd w:id="11923"/>
      <w:bookmarkEnd w:id="11924"/>
      <w:bookmarkEnd w:id="11925"/>
      <w:bookmarkEnd w:id="11926"/>
      <w:bookmarkEnd w:id="11927"/>
      <w:bookmarkEnd w:id="11928"/>
      <w:bookmarkEnd w:id="11929"/>
      <w:bookmarkEnd w:id="11930"/>
      <w:bookmarkEnd w:id="11931"/>
      <w:bookmarkEnd w:id="11932"/>
      <w:bookmarkEnd w:id="11933"/>
      <w:bookmarkEnd w:id="11934"/>
      <w:bookmarkEnd w:id="11935"/>
      <w:bookmarkEnd w:id="11936"/>
    </w:p>
    <w:p w14:paraId="2FB9D66C">
      <w:pPr>
        <w:ind w:firstLine="560"/>
      </w:pPr>
      <w:r>
        <w:rPr>
          <w:rFonts w:hint="eastAsia"/>
        </w:rPr>
        <w:t>（一）运输安全控制</w:t>
      </w:r>
    </w:p>
    <w:p w14:paraId="6AA36E8C">
      <w:pPr>
        <w:ind w:firstLine="560"/>
      </w:pPr>
      <w:r>
        <w:rPr>
          <w:rFonts w:hint="eastAsia"/>
        </w:rPr>
        <w:t>1、交通管制材料在运输过程中必须进行交通管制；</w:t>
      </w:r>
    </w:p>
    <w:p w14:paraId="05391DA2">
      <w:pPr>
        <w:ind w:firstLine="560"/>
      </w:pPr>
      <w:r>
        <w:rPr>
          <w:rFonts w:hint="eastAsia"/>
        </w:rPr>
        <w:t>2、运行时间</w:t>
      </w:r>
    </w:p>
    <w:p w14:paraId="208C2162">
      <w:pPr>
        <w:ind w:firstLine="560"/>
      </w:pPr>
      <w:r>
        <w:rPr>
          <w:rFonts w:hint="eastAsia"/>
        </w:rPr>
        <w:t>材料运输必须在白天进行；</w:t>
      </w:r>
    </w:p>
    <w:p w14:paraId="1F73EF01">
      <w:pPr>
        <w:ind w:firstLine="560"/>
      </w:pPr>
      <w:r>
        <w:rPr>
          <w:rFonts w:hint="eastAsia"/>
        </w:rPr>
        <w:t>3、运行速度</w:t>
      </w:r>
    </w:p>
    <w:p w14:paraId="762102D9">
      <w:pPr>
        <w:ind w:firstLine="560"/>
      </w:pPr>
      <w:r>
        <w:rPr>
          <w:rFonts w:hint="eastAsia"/>
        </w:rPr>
        <w:t>正常运输速度必须控制在5Km/h；道路不平整的路段速度必须控制在2Km/h以下；通过障碍的速度控制在3Km/h以下；</w:t>
      </w:r>
    </w:p>
    <w:p w14:paraId="29D2DCEE">
      <w:pPr>
        <w:ind w:firstLine="560"/>
      </w:pPr>
      <w:r>
        <w:rPr>
          <w:rFonts w:hint="eastAsia"/>
        </w:rPr>
        <w:t>4、车辆启动前的检查</w:t>
      </w:r>
    </w:p>
    <w:p w14:paraId="360CDCE6">
      <w:pPr>
        <w:ind w:firstLine="560"/>
      </w:pPr>
      <w:r>
        <w:rPr>
          <w:rFonts w:hint="eastAsia"/>
        </w:rPr>
        <w:t>车辆启动前必须对平板车和加固情况作详细的检查，杜绝隐患，并做好记录。有问题必须在启动前排除；</w:t>
      </w:r>
    </w:p>
    <w:p w14:paraId="4F2F6A3E">
      <w:pPr>
        <w:ind w:firstLine="560"/>
      </w:pPr>
      <w:r>
        <w:rPr>
          <w:rFonts w:hint="eastAsia"/>
        </w:rPr>
        <w:t>5、运行过程中的检查</w:t>
      </w:r>
    </w:p>
    <w:p w14:paraId="2C4443FB">
      <w:pPr>
        <w:ind w:firstLine="560"/>
      </w:pPr>
      <w:r>
        <w:rPr>
          <w:rFonts w:hint="eastAsia"/>
        </w:rPr>
        <w:t>（1）横坡检查：通过横坡大于3％的道路，必须进行平板车的横坡校正，确保材料处于相对水平的状态；</w:t>
      </w:r>
    </w:p>
    <w:p w14:paraId="5CA7AB9C">
      <w:pPr>
        <w:ind w:firstLine="560"/>
      </w:pPr>
      <w:r>
        <w:rPr>
          <w:rFonts w:hint="eastAsia"/>
        </w:rPr>
        <w:t>（2）纵坡检查：通过较大的纵坡时，对平板车进行纵坡校正，确保材料处于相对水平状态；</w:t>
      </w:r>
    </w:p>
    <w:p w14:paraId="5037B82C">
      <w:pPr>
        <w:ind w:firstLine="560"/>
      </w:pPr>
      <w:r>
        <w:rPr>
          <w:rFonts w:hint="eastAsia"/>
        </w:rPr>
        <w:t>6、车辆停放：运输过程中，夜间停放或中途停车必须选择道路坚实平整、路面宽阔、视线良好的地段停放，设置警戒线、警示标志，并派人守护；停放时间较长时，需要在平板车主梁下部支垫道木，降低平板车高度，主梁落在道木上，检查平板车压力表，将压力降低。将平板车停放妥当后，检查材料捆绑情况和车辆轮胎等，及时排除隐患；沿途路段实行封闭或半封闭通行；停车时，作好安全隔离措施，提醒其他车辆注意绕行。</w:t>
      </w:r>
    </w:p>
    <w:p w14:paraId="387091C5">
      <w:pPr>
        <w:ind w:firstLine="560"/>
      </w:pPr>
      <w:r>
        <w:rPr>
          <w:rFonts w:hint="eastAsia"/>
        </w:rPr>
        <w:t>（二）运输保障控制</w:t>
      </w:r>
    </w:p>
    <w:p w14:paraId="6A0346EB">
      <w:pPr>
        <w:ind w:firstLine="560"/>
      </w:pPr>
      <w:r>
        <w:rPr>
          <w:rFonts w:hint="eastAsia"/>
        </w:rPr>
        <w:t>对准备运输的材料需进行适当的保管和包装，以防损伤。对运输的控制应该分四步进行：</w:t>
      </w:r>
    </w:p>
    <w:p w14:paraId="34A1B81C">
      <w:pPr>
        <w:ind w:firstLine="560"/>
      </w:pPr>
      <w:r>
        <w:rPr>
          <w:rFonts w:hint="eastAsia"/>
        </w:rPr>
        <w:t>1、装载前的验证：装载前，必须对要运输的大件(材料)进行核对验收；</w:t>
      </w:r>
    </w:p>
    <w:p w14:paraId="5187C0C7">
      <w:pPr>
        <w:ind w:firstLine="560"/>
      </w:pPr>
      <w:r>
        <w:rPr>
          <w:rFonts w:hint="eastAsia"/>
        </w:rPr>
        <w:t>2、有效地执行细则——执行捆扎和加固方案；——到货后立即执行接收条款。</w:t>
      </w:r>
    </w:p>
    <w:p w14:paraId="0E9768F7">
      <w:pPr>
        <w:ind w:firstLine="560"/>
      </w:pPr>
      <w:r>
        <w:rPr>
          <w:rFonts w:hint="eastAsia"/>
        </w:rPr>
        <w:t>3、选取和维护运输工具——正确选用运输工具；——对运输工具进行维护；</w:t>
      </w:r>
    </w:p>
    <w:p w14:paraId="3206F03C">
      <w:pPr>
        <w:ind w:firstLine="560"/>
      </w:pPr>
      <w:r>
        <w:rPr>
          <w:rFonts w:hint="eastAsia"/>
        </w:rPr>
        <w:t>4、正确选取运输路线（在运输前再次对路线进行勘查，确保运输条件与实际情况相符等）。</w:t>
      </w:r>
    </w:p>
    <w:p w14:paraId="1960C75A">
      <w:pPr>
        <w:ind w:firstLine="560"/>
      </w:pPr>
      <w:r>
        <w:rPr>
          <w:rFonts w:hint="eastAsia"/>
        </w:rPr>
        <w:t>5、人员的安排和考核——明确人员的职责——进行有关细则的内容、作用、使用方法的宣传教育。</w:t>
      </w:r>
    </w:p>
    <w:p w14:paraId="096E242A">
      <w:pPr>
        <w:ind w:firstLine="560"/>
      </w:pPr>
      <w:r>
        <w:rPr>
          <w:rFonts w:hint="eastAsia"/>
        </w:rPr>
        <w:t>（三）技术安全措施</w:t>
      </w:r>
    </w:p>
    <w:p w14:paraId="5504B985">
      <w:pPr>
        <w:ind w:firstLine="560"/>
      </w:pPr>
      <w:r>
        <w:rPr>
          <w:rFonts w:hint="eastAsia"/>
        </w:rPr>
        <w:t>采取项目经理负责制；对参加该项目的施工人员进行质量、安全和施工的技术要求进行培训，对运输人员进行技术交底；施工人员在作业过程中按照国家劳动防护法规要求配备必要的安全防护设施；针对项目进行科学、合理的风险评估，确定实际需要的运输材料工具；在接货时，严格检查，如有残损，及时将残损情况报告客户，并按照客户意见处理，并做好相应交接记录；运行前必须检查大件(材料)装载与捆扎情况；做好超限运输标志；装卸过程中严格执行配载方案；在运输途中，定时检查大件(材料)的绑扎加固情况是否完好，如有不安全的隐患及时采取措施清除，以确保大件(材料)、运输工具的安全；运输前必须对运输车辆、封刹工具进行严格检查；严格按照安全质量操作规程和实施方案作业；夜间作业，施工人员配置反光背心,最大限度地确保施工人员以及材料的安全；安全质量监控人员全程跟踪，作好安全记录。</w:t>
      </w:r>
    </w:p>
    <w:p w14:paraId="246B83AE">
      <w:pPr>
        <w:ind w:firstLine="560"/>
      </w:pPr>
      <w:r>
        <w:rPr>
          <w:rFonts w:hint="eastAsia"/>
        </w:rPr>
        <w:t>（四）应急预案及处理</w:t>
      </w:r>
    </w:p>
    <w:p w14:paraId="07A23327">
      <w:pPr>
        <w:ind w:firstLine="560"/>
      </w:pPr>
      <w:r>
        <w:rPr>
          <w:rFonts w:hint="eastAsia"/>
        </w:rPr>
        <w:t>1、组织保障</w:t>
      </w:r>
    </w:p>
    <w:p w14:paraId="14B95547">
      <w:pPr>
        <w:ind w:firstLine="560"/>
      </w:pPr>
      <w:r>
        <w:rPr>
          <w:rFonts w:hint="eastAsia"/>
        </w:rPr>
        <w:t>项目部下设专门的应急支持小组，建立内部和外部沟通机制。项目经理亲自指导、指挥应急支持小组的日常工作，直接听取应急支持小组的各种报告。在特定的紧急状况下将召集会议，组织临时机构或者亲赴现场处理，直至紧急状况解除。各分组组长负责其职责范围内应急预案措施的组织、落实、实施。</w:t>
      </w:r>
    </w:p>
    <w:p w14:paraId="29B414A7">
      <w:pPr>
        <w:ind w:firstLine="560"/>
      </w:pPr>
      <w:r>
        <w:rPr>
          <w:rFonts w:hint="eastAsia"/>
        </w:rPr>
        <w:t>2、基本应急措施</w:t>
      </w:r>
    </w:p>
    <w:p w14:paraId="554A3259">
      <w:pPr>
        <w:ind w:firstLine="560"/>
      </w:pPr>
      <w:r>
        <w:rPr>
          <w:rFonts w:hint="eastAsia"/>
        </w:rPr>
        <w:t>针对影响业务正常运行典型的潜在风险因素，项目部将致力于通过采取“策划、分析和提高作业水平”等措施予以防控。由于第三方责任、不可控因素等导致的实际发生的紧急情况时，将按照预先制定的应急预案，“即时报告、维护现场、请求支援、替换替代、调整计划”等措施，在客户的确认或授权下处置，必要时，项目部将临时改变分工模式，由项目经理亲自调配资源，消除或减轻紧急情况给客户带来的不利影响。项目部还将通过培训，并制作便于携带的应急预案印刷品等方法，确保每一位具体从事现场操作的工作人员熟悉本应急预案内容，进而在紧急情况发生时，采取最为恰当的措施。</w:t>
      </w:r>
    </w:p>
    <w:p w14:paraId="4C74960B">
      <w:pPr>
        <w:ind w:firstLine="560"/>
      </w:pPr>
      <w:r>
        <w:rPr>
          <w:rFonts w:hint="eastAsia"/>
        </w:rPr>
        <w:t>3、应急预案</w:t>
      </w:r>
    </w:p>
    <w:p w14:paraId="38C16797">
      <w:pPr>
        <w:ind w:firstLine="560"/>
      </w:pPr>
      <w:r>
        <w:rPr>
          <w:rFonts w:hint="eastAsia"/>
        </w:rPr>
        <w:t>（1）、天气突变应急预案</w:t>
      </w:r>
    </w:p>
    <w:p w14:paraId="2830E4F6">
      <w:pPr>
        <w:ind w:firstLine="560"/>
      </w:pPr>
      <w:r>
        <w:rPr>
          <w:rFonts w:hint="eastAsia"/>
        </w:rPr>
        <w:t>如在运输作业期间遇天气突变，如降雨降雪等情况，及时对货物进行遮盖并对车辆采取防滑措施，保证货物安全运抵指定地点。</w:t>
      </w:r>
    </w:p>
    <w:p w14:paraId="1161B5FE">
      <w:pPr>
        <w:ind w:firstLine="560"/>
      </w:pPr>
      <w:r>
        <w:rPr>
          <w:rFonts w:hint="eastAsia"/>
        </w:rPr>
        <w:t>（2）、车辆故障应急预案</w:t>
      </w:r>
    </w:p>
    <w:p w14:paraId="4C435DD7">
      <w:pPr>
        <w:ind w:firstLine="560"/>
      </w:pPr>
      <w:r>
        <w:rPr>
          <w:rFonts w:hint="eastAsia"/>
        </w:rPr>
        <w:t>在运输前，通知备用车辆及维修人员待命。如在途中运输车辆出现故障，立即安排维修技术人员进行维修。如确定无法维修，及时调用备用车辆，采取紧急运输措施，保证在最短时间内运抵指定地点；</w:t>
      </w:r>
    </w:p>
    <w:p w14:paraId="0FA1ABB9">
      <w:pPr>
        <w:ind w:firstLine="560"/>
      </w:pPr>
      <w:r>
        <w:rPr>
          <w:rFonts w:hint="eastAsia"/>
        </w:rPr>
        <w:t>（3）、道路紧急施工应急预案</w:t>
      </w:r>
    </w:p>
    <w:p w14:paraId="305651A5">
      <w:pPr>
        <w:ind w:firstLine="560"/>
      </w:pPr>
      <w:r>
        <w:rPr>
          <w:rFonts w:hint="eastAsia"/>
        </w:rPr>
        <w:t>项目部大件(材料)运输经过的陆路路线进行反复勘察，并在材料起运前一天再次确认道路状况，掌握运输路线的详细资料。尽管如此，仍难以完全避免因道路紧急开挖施工导致的通行受阻情况。遇到此类情况，现场经理应及时采取补救措施，如难度较大项目经理将亲赴现场，协调内外部资源，及时提出运输路线整改方案，在施工部门配合下在最短的时间内完成对施工道路进行整改，确保材料运输顺利通行；</w:t>
      </w:r>
    </w:p>
    <w:p w14:paraId="22D78648">
      <w:pPr>
        <w:ind w:firstLine="560"/>
      </w:pPr>
      <w:r>
        <w:rPr>
          <w:rFonts w:hint="eastAsia"/>
        </w:rPr>
        <w:t>（4）、道路堵塞应急预案</w:t>
      </w:r>
    </w:p>
    <w:p w14:paraId="312D3732">
      <w:pPr>
        <w:ind w:firstLine="560"/>
      </w:pPr>
      <w:r>
        <w:rPr>
          <w:rFonts w:hint="eastAsia"/>
        </w:rPr>
        <w:t>在材料运输过程中遇到交通堵塞情况；服从当地交通主管部门的协调指挥，加强交通管制；</w:t>
      </w:r>
    </w:p>
    <w:p w14:paraId="758323B2">
      <w:pPr>
        <w:ind w:firstLine="560"/>
      </w:pPr>
      <w:r>
        <w:rPr>
          <w:rFonts w:hint="eastAsia"/>
        </w:rPr>
        <w:t>（5）、交通事故应急预案</w:t>
      </w:r>
    </w:p>
    <w:p w14:paraId="3FB58855">
      <w:pPr>
        <w:ind w:firstLine="560"/>
      </w:pPr>
      <w:r>
        <w:rPr>
          <w:rFonts w:hint="eastAsia"/>
        </w:rPr>
        <w:t>在运输车辆发生交通事故时，现场人员及时保护事故现场，并上报项目经理、业主及保险公司，说明情况，积极协调交警主管部门处理，必要时，协调交警主管部门在做好记录的前提下“先放行后处理”；</w:t>
      </w:r>
    </w:p>
    <w:p w14:paraId="17293A9E">
      <w:pPr>
        <w:ind w:firstLine="560"/>
      </w:pPr>
      <w:r>
        <w:rPr>
          <w:rFonts w:hint="eastAsia"/>
        </w:rPr>
        <w:t>（6）、加固松动应急预案</w:t>
      </w:r>
    </w:p>
    <w:p w14:paraId="5F142E69">
      <w:pPr>
        <w:ind w:firstLine="560"/>
      </w:pPr>
      <w:r>
        <w:rPr>
          <w:rFonts w:hint="eastAsia"/>
        </w:rPr>
        <w:t>运输过程中，因客观原因导致捆扎松动的情况下，由随从的质量监控人员及专家认真分析松动的原因，重新制定切实可行的加固方案，对大件(材料)进行重新加固；</w:t>
      </w:r>
    </w:p>
    <w:p w14:paraId="46FBC0D9">
      <w:pPr>
        <w:ind w:firstLine="560"/>
      </w:pPr>
      <w:r>
        <w:rPr>
          <w:rFonts w:hint="eastAsia"/>
        </w:rPr>
        <w:t>（7）、货损、货差应急预案</w:t>
      </w:r>
    </w:p>
    <w:p w14:paraId="7070158A">
      <w:pPr>
        <w:ind w:firstLine="560"/>
      </w:pPr>
      <w:r>
        <w:rPr>
          <w:rFonts w:hint="eastAsia"/>
        </w:rPr>
        <w:t>如货物在卸货装车和交接过程中出现货损、货差，协助业主取得商检、保险公司的相关证明，确保业主利益；</w:t>
      </w:r>
    </w:p>
    <w:p w14:paraId="5632D303">
      <w:pPr>
        <w:ind w:firstLine="560"/>
      </w:pPr>
      <w:r>
        <w:rPr>
          <w:rFonts w:hint="eastAsia"/>
        </w:rPr>
        <w:t>（8）、机械故障应急预案</w:t>
      </w:r>
    </w:p>
    <w:p w14:paraId="75BFDA3D">
      <w:pPr>
        <w:ind w:firstLine="560"/>
      </w:pPr>
      <w:r>
        <w:rPr>
          <w:rFonts w:hint="eastAsia"/>
        </w:rPr>
        <w:t>在工地现场装卸货时，如果作业机械或工具出现故障，立即组织维修人员抢修，如果不具备维修条件或者无法维修，调用备用机械和工具，恢复正常作业；</w:t>
      </w:r>
    </w:p>
    <w:p w14:paraId="22917654">
      <w:pPr>
        <w:ind w:firstLine="560"/>
      </w:pPr>
      <w:r>
        <w:rPr>
          <w:rFonts w:hint="eastAsia"/>
        </w:rPr>
        <w:t>（9）、不可抗力应急预案</w:t>
      </w:r>
    </w:p>
    <w:p w14:paraId="74B97FF8">
      <w:pPr>
        <w:ind w:firstLine="560"/>
      </w:pPr>
      <w:r>
        <w:rPr>
          <w:rFonts w:hint="eastAsia"/>
        </w:rPr>
        <w:t>在运输过程中有不可抗力的情况发生时，首先将运输材料置于相对安全的地带、妥善保管，利用一切可以利用的条件将事件及动态通知业主，并按照业主的授权开展工作。如果基本的通讯条件不具备，则做好相关记录和材料的保管工作，直到与业主取得联系或者不可抗力事件解除。不可抗力的影响消除后，如果具备继续承运的条件，项目部将在确保材料以及运输人员安全的前提下，继续实施运输计划。</w:t>
      </w:r>
    </w:p>
    <w:p w14:paraId="78C9A2C7">
      <w:pPr>
        <w:ind w:firstLine="560"/>
      </w:pPr>
      <w:bookmarkStart w:id="11937" w:name="_Toc15118"/>
      <w:bookmarkStart w:id="11938" w:name="_Toc13388"/>
      <w:bookmarkStart w:id="11939" w:name="_Toc31916"/>
      <w:bookmarkStart w:id="11940" w:name="_Toc10207"/>
      <w:bookmarkStart w:id="11941" w:name="_Toc9686"/>
      <w:bookmarkStart w:id="11942" w:name="_Toc30119"/>
      <w:bookmarkStart w:id="11943" w:name="_Toc14455"/>
      <w:bookmarkStart w:id="11944" w:name="_Toc13702"/>
      <w:bookmarkStart w:id="11945" w:name="_Toc11427"/>
      <w:bookmarkStart w:id="11946" w:name="_Toc12019"/>
      <w:bookmarkStart w:id="11947" w:name="_Toc14717"/>
      <w:bookmarkStart w:id="11948" w:name="_Toc22822"/>
      <w:bookmarkStart w:id="11949" w:name="_Toc7577"/>
      <w:bookmarkStart w:id="11950" w:name="_Toc8012"/>
      <w:bookmarkStart w:id="11951" w:name="_Toc30675"/>
      <w:bookmarkStart w:id="11952" w:name="_Toc32116"/>
      <w:bookmarkStart w:id="11953" w:name="_Toc9115"/>
      <w:bookmarkStart w:id="11954" w:name="_Toc18179"/>
      <w:bookmarkStart w:id="11955" w:name="_Toc17142"/>
      <w:bookmarkStart w:id="11956" w:name="_Toc4801"/>
      <w:bookmarkStart w:id="11957" w:name="_Toc9551"/>
      <w:bookmarkStart w:id="11958" w:name="_Toc26713"/>
      <w:bookmarkStart w:id="11959" w:name="_Toc24026"/>
      <w:bookmarkStart w:id="11960" w:name="_Toc18579"/>
      <w:bookmarkStart w:id="11961" w:name="_Toc9987"/>
      <w:bookmarkStart w:id="11962" w:name="_Toc3461"/>
      <w:bookmarkStart w:id="11963" w:name="_Toc18485"/>
      <w:bookmarkStart w:id="11964" w:name="_Toc31311"/>
      <w:bookmarkStart w:id="11965" w:name="_Toc27761"/>
      <w:bookmarkStart w:id="11966" w:name="_Toc6538"/>
      <w:bookmarkStart w:id="11967" w:name="_Toc25584"/>
      <w:bookmarkStart w:id="11968" w:name="_Toc10970"/>
      <w:bookmarkStart w:id="11969" w:name="_Toc22140"/>
      <w:bookmarkStart w:id="11970" w:name="_Toc9411"/>
      <w:bookmarkStart w:id="11971" w:name="_Toc15786"/>
      <w:bookmarkStart w:id="11972" w:name="_Toc26228"/>
      <w:bookmarkStart w:id="11973" w:name="_Toc11555"/>
      <w:bookmarkStart w:id="11974" w:name="_Toc29345"/>
      <w:bookmarkStart w:id="11975" w:name="_Toc13941"/>
      <w:bookmarkStart w:id="11976" w:name="_Toc17935"/>
      <w:bookmarkStart w:id="11977" w:name="_Toc10423"/>
      <w:bookmarkStart w:id="11978" w:name="_Toc32417"/>
      <w:bookmarkStart w:id="11979" w:name="_Toc167"/>
      <w:bookmarkStart w:id="11980" w:name="_Toc23894"/>
      <w:bookmarkStart w:id="11981" w:name="_Toc19778"/>
      <w:bookmarkStart w:id="11982" w:name="_Toc261"/>
      <w:bookmarkStart w:id="11983" w:name="_Toc21418"/>
      <w:r>
        <w:rPr>
          <w:rFonts w:hint="eastAsia"/>
        </w:rPr>
        <w:t>（三）材料的检验</w:t>
      </w:r>
      <w:bookmarkEnd w:id="11937"/>
      <w:bookmarkEnd w:id="11938"/>
      <w:bookmarkEnd w:id="11939"/>
      <w:bookmarkEnd w:id="11940"/>
      <w:bookmarkEnd w:id="11941"/>
      <w:bookmarkEnd w:id="11942"/>
      <w:bookmarkEnd w:id="11943"/>
      <w:bookmarkEnd w:id="11944"/>
      <w:bookmarkEnd w:id="11945"/>
      <w:bookmarkEnd w:id="11946"/>
      <w:bookmarkEnd w:id="11947"/>
      <w:bookmarkEnd w:id="11948"/>
      <w:bookmarkEnd w:id="11949"/>
      <w:bookmarkEnd w:id="11950"/>
      <w:bookmarkEnd w:id="11951"/>
      <w:bookmarkEnd w:id="11952"/>
      <w:bookmarkEnd w:id="11953"/>
      <w:bookmarkEnd w:id="11954"/>
      <w:bookmarkEnd w:id="11955"/>
      <w:bookmarkEnd w:id="11956"/>
      <w:bookmarkEnd w:id="11957"/>
      <w:bookmarkEnd w:id="11958"/>
      <w:bookmarkEnd w:id="11959"/>
      <w:bookmarkEnd w:id="11960"/>
      <w:bookmarkEnd w:id="11961"/>
      <w:bookmarkEnd w:id="11962"/>
      <w:bookmarkEnd w:id="11963"/>
      <w:bookmarkEnd w:id="11964"/>
      <w:bookmarkEnd w:id="11965"/>
      <w:bookmarkEnd w:id="11966"/>
      <w:bookmarkEnd w:id="11967"/>
      <w:bookmarkEnd w:id="11968"/>
      <w:bookmarkEnd w:id="11969"/>
      <w:bookmarkEnd w:id="11970"/>
      <w:bookmarkEnd w:id="11971"/>
      <w:bookmarkEnd w:id="11972"/>
      <w:bookmarkEnd w:id="11973"/>
      <w:bookmarkEnd w:id="11974"/>
      <w:bookmarkEnd w:id="11975"/>
      <w:bookmarkEnd w:id="11976"/>
      <w:bookmarkEnd w:id="11977"/>
      <w:bookmarkEnd w:id="11978"/>
      <w:bookmarkEnd w:id="11979"/>
      <w:bookmarkEnd w:id="11980"/>
      <w:bookmarkEnd w:id="11981"/>
      <w:bookmarkEnd w:id="11982"/>
      <w:bookmarkEnd w:id="11983"/>
    </w:p>
    <w:p w14:paraId="6E94BAE9">
      <w:pPr>
        <w:ind w:firstLine="560"/>
      </w:pPr>
      <w:r>
        <w:rPr>
          <w:rFonts w:hint="eastAsia"/>
        </w:rPr>
        <w:t>（一）钢材的验收</w:t>
      </w:r>
    </w:p>
    <w:p w14:paraId="7F97D5FF">
      <w:pPr>
        <w:ind w:firstLine="560"/>
      </w:pPr>
      <w:r>
        <w:rPr>
          <w:rFonts w:hint="eastAsia"/>
        </w:rPr>
        <w:t>1、外观质量的验收：钢材的直径、对边距离采用游标卡尺测量，钢材的长度用钢尺或皮尺测量。针对表面质量缺陷和开头缺陷进行验收，验收中表现偶然出现或极少数的缺陷时，一般不应作为处理依据。如同样缺陷反复出现或出现多种缺陷时，通知厂家和主管部门及时解决。</w:t>
      </w:r>
    </w:p>
    <w:p w14:paraId="244AE496">
      <w:pPr>
        <w:ind w:firstLine="560"/>
      </w:pPr>
      <w:r>
        <w:rPr>
          <w:rFonts w:hint="eastAsia"/>
        </w:rPr>
        <w:t>2、数量验收的三种方法：</w:t>
      </w:r>
    </w:p>
    <w:p w14:paraId="64E8A606">
      <w:pPr>
        <w:ind w:firstLine="560"/>
      </w:pPr>
      <w:r>
        <w:rPr>
          <w:rFonts w:hint="eastAsia"/>
        </w:rPr>
        <w:t>A.过磅计量验收。</w:t>
      </w:r>
    </w:p>
    <w:p w14:paraId="6D0C023F">
      <w:pPr>
        <w:ind w:firstLine="560"/>
      </w:pPr>
      <w:r>
        <w:rPr>
          <w:rFonts w:hint="eastAsia"/>
        </w:rPr>
        <w:t>B.理论核算计量。</w:t>
      </w:r>
    </w:p>
    <w:p w14:paraId="34F6646F">
      <w:pPr>
        <w:ind w:firstLine="560"/>
      </w:pPr>
      <w:r>
        <w:rPr>
          <w:rFonts w:hint="eastAsia"/>
        </w:rPr>
        <w:t>C.点件计数。</w:t>
      </w:r>
    </w:p>
    <w:p w14:paraId="42254A3D">
      <w:pPr>
        <w:ind w:firstLine="560"/>
      </w:pPr>
      <w:r>
        <w:rPr>
          <w:rFonts w:hint="eastAsia"/>
        </w:rPr>
        <w:t>数量验收必须两人参与，通过过磅、点件、检尺换算等方式进行，目前盘条常用的是过磅方式，直条、型钢、钢管则采用点件、检尺换算方式居多；检尺方式主要便于操作，但从合理性来讲，只适用于国标材，不适用于非标材，有条件应全部采用过磅方式，但过磅验收必须与标牌重量及检尺重量核对，一般不超过标牌重量或检尺计重，因此采购议价时应明确过磅价或检尺价。</w:t>
      </w:r>
    </w:p>
    <w:p w14:paraId="7764552F">
      <w:pPr>
        <w:ind w:firstLine="560"/>
      </w:pPr>
      <w:r>
        <w:rPr>
          <w:rFonts w:hint="eastAsia"/>
        </w:rPr>
        <w:t>3、资料验收：钢材进场必须具有质量证明（包括炉号、化学成分、力学性能等指标）文件并附盖钢厂鲜章或经销商鲜章，每批做复检实验。钢材进场时，必须附有盖钢厂鲜章或经销商鲜章的包括炉号、化学成分、力学性能等指标的质量证明书，同采购计划、标牌、发票、过磅单等核对相符。</w:t>
      </w:r>
    </w:p>
    <w:p w14:paraId="02D79E73">
      <w:pPr>
        <w:ind w:firstLine="560"/>
      </w:pPr>
      <w:r>
        <w:rPr>
          <w:rFonts w:hint="eastAsia"/>
        </w:rPr>
        <w:t>4、质量验收：先通过眼看手摸和简单工具检查钢材表面是否有缺陷，规格尺寸是否相符、锈蚀情况是否严重等，然后通知质检（试验）人员按规定抽样送检，检验结果与国家标准对照判定其质量是否合格。</w:t>
      </w:r>
    </w:p>
    <w:p w14:paraId="7133307F">
      <w:pPr>
        <w:ind w:firstLine="560"/>
      </w:pPr>
      <w:r>
        <w:rPr>
          <w:rFonts w:hint="eastAsia"/>
        </w:rPr>
        <w:t>5、进入现场的钢材应入库入棚保管，尤其是优质钢材、小规格钢材、镀锌管、板及电线管等；若条件所限，只能露天存放时，应做好上盖下垫，保持场地干燥。</w:t>
      </w:r>
    </w:p>
    <w:p w14:paraId="5416A130">
      <w:pPr>
        <w:ind w:firstLine="560"/>
      </w:pPr>
      <w:r>
        <w:rPr>
          <w:rFonts w:hint="eastAsia"/>
        </w:rPr>
        <w:t>6、入场钢材应按品种、规格、材质分别堆放，尤其是外观尺寸相同而材质不同的材料，如Ⅱ、Ⅲ螺纹钢筋，优质钢材等，并挂牌标识。</w:t>
      </w:r>
    </w:p>
    <w:p w14:paraId="02804C7C">
      <w:pPr>
        <w:ind w:firstLine="560"/>
      </w:pPr>
      <w:r>
        <w:rPr>
          <w:rFonts w:hint="eastAsia"/>
        </w:rPr>
        <w:t>7、钢材收料后要及时填制收料单，同时作好材质书台帐登记，发料时应在领料单备注栏内注明炉（批）号和使用部位。</w:t>
      </w:r>
    </w:p>
    <w:p w14:paraId="2CF01BB1">
      <w:pPr>
        <w:ind w:firstLine="560"/>
      </w:pPr>
      <w:r>
        <w:rPr>
          <w:rFonts w:hint="eastAsia"/>
        </w:rPr>
        <w:t>（二）水泥的验收</w:t>
      </w:r>
    </w:p>
    <w:p w14:paraId="2637E8A1">
      <w:pPr>
        <w:ind w:firstLine="560"/>
      </w:pPr>
      <w:r>
        <w:rPr>
          <w:rFonts w:hint="eastAsia"/>
        </w:rPr>
        <w:t>1、水泥卸料前，应核对水泥包装注明的产地名称、水泥的品种、标号、日期等，然后点数或过磅验收。</w:t>
      </w:r>
    </w:p>
    <w:p w14:paraId="43ED174F">
      <w:pPr>
        <w:ind w:firstLine="560"/>
      </w:pPr>
      <w:r>
        <w:rPr>
          <w:rFonts w:hint="eastAsia"/>
        </w:rPr>
        <w:t>2、外观质量的验收：观察破皮、散包漏出的水泥，其颜色是否与标准相符。</w:t>
      </w:r>
    </w:p>
    <w:p w14:paraId="0A84871C">
      <w:pPr>
        <w:ind w:firstLine="560"/>
      </w:pPr>
      <w:r>
        <w:rPr>
          <w:rFonts w:hint="eastAsia"/>
        </w:rPr>
        <w:t>3、重量的验收：采取随机抽查的方式，每批水泥的随机取10包过称，求每袋平均重量，然后乘总袋数，为该批水泥总重量。国家规定水泥每袋重量为50±1kg。</w:t>
      </w:r>
    </w:p>
    <w:p w14:paraId="27A4669C">
      <w:pPr>
        <w:ind w:firstLine="560"/>
      </w:pPr>
      <w:r>
        <w:rPr>
          <w:rFonts w:hint="eastAsia"/>
        </w:rPr>
        <w:t>4、资料的验收：水泥出厂质量证明（三天强度报告）。查看包装纸袋上的标识、强度报告单、供货单和采购计划上的品种规格是否一致，散装水泥应有出厂的计量磅单。</w:t>
      </w:r>
    </w:p>
    <w:p w14:paraId="27FA97CE">
      <w:pPr>
        <w:ind w:firstLine="560"/>
      </w:pPr>
      <w:r>
        <w:rPr>
          <w:rFonts w:hint="eastAsia"/>
        </w:rPr>
        <w:t>5、水泥必须入库保管，水泥库房四周应设置排水沟或积水坑，库房墙壁及地面应进行防潮处理；水泥库房要经常保持清洁，散灰要及时清理、收集、使用；特殊情况需露天存放时，要选择地势较高，便于排水的地方，并要有足够的遮垫措施，做到防雨水、防潮湿。</w:t>
      </w:r>
    </w:p>
    <w:p w14:paraId="3D24B3D0">
      <w:pPr>
        <w:ind w:firstLine="560"/>
      </w:pPr>
      <w:r>
        <w:rPr>
          <w:rFonts w:hint="eastAsia"/>
        </w:rPr>
        <w:t>6、水泥收发要严格遵守先进先出的原则，防止过期使用；要及时检查保存期限，水泥的存储时间不宜过长，从出厂到使用不得超过90天。</w:t>
      </w:r>
    </w:p>
    <w:p w14:paraId="61FDE62E">
      <w:pPr>
        <w:ind w:firstLine="560"/>
      </w:pPr>
      <w:r>
        <w:rPr>
          <w:rFonts w:hint="eastAsia"/>
        </w:rPr>
        <w:t>7、袋装水泥一般码放10袋高，最高不超过15袋，不同厂家、品种、标号、编号水泥要分开码放，并挂牌标识。</w:t>
      </w:r>
    </w:p>
    <w:p w14:paraId="190F4ED9">
      <w:pPr>
        <w:ind w:firstLine="560"/>
      </w:pPr>
      <w:r>
        <w:rPr>
          <w:rFonts w:hint="eastAsia"/>
        </w:rPr>
        <w:t>8、水泥收料后要及时填制收料单，在备注栏内填制出厂编号和出厂日期；发料时应在领料单备注栏内注明水泥编号和使用部位。</w:t>
      </w:r>
    </w:p>
    <w:p w14:paraId="53E593C7">
      <w:pPr>
        <w:ind w:firstLine="560"/>
      </w:pPr>
      <w:r>
        <w:rPr>
          <w:rFonts w:hint="eastAsia"/>
        </w:rPr>
        <w:t>（三）材料的验收</w:t>
      </w:r>
    </w:p>
    <w:p w14:paraId="5A318A9F">
      <w:pPr>
        <w:ind w:firstLine="560"/>
      </w:pPr>
      <w:r>
        <w:rPr>
          <w:rFonts w:hint="eastAsia"/>
        </w:rPr>
        <w:t>按不同材料的包装分别计量验收。并抽查箱体材料的数量、规格、颜色、尺寸等。</w:t>
      </w:r>
    </w:p>
    <w:p w14:paraId="438E41C6">
      <w:pPr>
        <w:ind w:firstLine="560"/>
      </w:pPr>
      <w:r>
        <w:rPr>
          <w:rFonts w:hint="eastAsia"/>
        </w:rPr>
        <w:t>（四）工程设备的验收</w:t>
      </w:r>
    </w:p>
    <w:p w14:paraId="699D3985">
      <w:pPr>
        <w:ind w:firstLine="560"/>
      </w:pPr>
      <w:r>
        <w:rPr>
          <w:rFonts w:hint="eastAsia"/>
        </w:rPr>
        <w:t>认真履行订货合同，检验其发货单与设备的规格、性能是否一致。在出厂前，要对设备完好状态进行校准；在进场时，对其外观状态和机械使用状态进行全面验收。</w:t>
      </w:r>
    </w:p>
    <w:p w14:paraId="684CD915">
      <w:pPr>
        <w:ind w:firstLine="560"/>
      </w:pPr>
      <w:r>
        <w:rPr>
          <w:rFonts w:hint="eastAsia"/>
        </w:rPr>
        <w:t>（五）商品砼的验收</w:t>
      </w:r>
    </w:p>
    <w:p w14:paraId="6CA3F0F9">
      <w:pPr>
        <w:ind w:firstLine="560"/>
      </w:pPr>
      <w:r>
        <w:rPr>
          <w:rFonts w:hint="eastAsia"/>
        </w:rPr>
        <w:t>1、按车次计量与施工图理论计量对比，不超出正常偏差。</w:t>
      </w:r>
    </w:p>
    <w:p w14:paraId="2B1224B7">
      <w:pPr>
        <w:ind w:firstLine="560"/>
      </w:pPr>
      <w:r>
        <w:rPr>
          <w:rFonts w:hint="eastAsia"/>
        </w:rPr>
        <w:t>2、按规范取样试验。</w:t>
      </w:r>
    </w:p>
    <w:p w14:paraId="0EA08B85">
      <w:pPr>
        <w:ind w:firstLine="560"/>
      </w:pPr>
      <w:r>
        <w:rPr>
          <w:rFonts w:hint="eastAsia"/>
        </w:rPr>
        <w:t>3、签订商品砼合同时应尽量按施工图理论计量。如按实际车次计量，材料员应严格按照合同对随车发货单进行签证和抽查，如抽查出计量不足，则当批次供应的所有车次均按抽查出的单车最少量计量。</w:t>
      </w:r>
    </w:p>
    <w:p w14:paraId="29F40C18">
      <w:pPr>
        <w:ind w:firstLine="560"/>
      </w:pPr>
      <w:r>
        <w:rPr>
          <w:rFonts w:hint="eastAsia"/>
        </w:rPr>
        <w:t>4、现场材料标识采用材料本身的质量证明书或抽检试验报告，以标牌或记录作为标识。标识必须清晰易辩，不得涂改、损坏。抽检状态标识分为合格、待检、不合格三种。标识的内容包括供方名称、生产厂家、供货时间、质量及环境安全状况、名称规格、抽检状态、生产批（炉）号等。</w:t>
      </w:r>
    </w:p>
    <w:p w14:paraId="4F6DBDF3">
      <w:pPr>
        <w:ind w:firstLine="560"/>
      </w:pPr>
      <w:r>
        <w:rPr>
          <w:rFonts w:hint="eastAsia"/>
        </w:rPr>
        <w:t>5、对A类材料使用在重要工程时，应记录每批（炉）号的使用部位、使用数量并保存记录。</w:t>
      </w:r>
    </w:p>
    <w:p w14:paraId="1A4520B9">
      <w:pPr>
        <w:ind w:firstLine="560"/>
      </w:pPr>
      <w:bookmarkStart w:id="11984" w:name="_Toc30218"/>
      <w:bookmarkStart w:id="11985" w:name="_Toc30416"/>
      <w:bookmarkStart w:id="11986" w:name="_Toc9630"/>
      <w:bookmarkStart w:id="11987" w:name="_Toc18400"/>
      <w:bookmarkStart w:id="11988" w:name="_Toc23360"/>
      <w:bookmarkStart w:id="11989" w:name="_Toc20120"/>
      <w:bookmarkStart w:id="11990" w:name="_Toc26763"/>
      <w:bookmarkStart w:id="11991" w:name="_Toc27320"/>
      <w:bookmarkStart w:id="11992" w:name="_Toc22520"/>
      <w:bookmarkStart w:id="11993" w:name="_Toc535"/>
      <w:bookmarkStart w:id="11994" w:name="_Toc2027"/>
      <w:bookmarkStart w:id="11995" w:name="_Toc9602"/>
      <w:bookmarkStart w:id="11996" w:name="_Toc32087"/>
      <w:bookmarkStart w:id="11997" w:name="_Toc26857"/>
      <w:bookmarkStart w:id="11998" w:name="_Toc3759"/>
      <w:bookmarkStart w:id="11999" w:name="_Toc25789"/>
      <w:bookmarkStart w:id="12000" w:name="_Toc11193"/>
      <w:bookmarkStart w:id="12001" w:name="_Toc26019"/>
      <w:bookmarkStart w:id="12002" w:name="_Toc22618"/>
      <w:bookmarkStart w:id="12003" w:name="_Toc31608"/>
      <w:bookmarkStart w:id="12004" w:name="_Toc27409"/>
      <w:bookmarkStart w:id="12005" w:name="_Toc20079"/>
      <w:bookmarkStart w:id="12006" w:name="_Toc9648"/>
      <w:bookmarkStart w:id="12007" w:name="_Toc5312"/>
      <w:bookmarkStart w:id="12008" w:name="_Toc12665"/>
      <w:bookmarkStart w:id="12009" w:name="_Toc23333"/>
      <w:bookmarkStart w:id="12010" w:name="_Toc26722"/>
      <w:bookmarkStart w:id="12011" w:name="_Toc8658"/>
      <w:bookmarkStart w:id="12012" w:name="_Toc5431"/>
      <w:bookmarkStart w:id="12013" w:name="_Toc4185"/>
      <w:bookmarkStart w:id="12014" w:name="_Toc27311"/>
      <w:bookmarkStart w:id="12015" w:name="_Toc16375"/>
      <w:bookmarkStart w:id="12016" w:name="_Toc27437"/>
      <w:bookmarkStart w:id="12017" w:name="_Toc14861"/>
      <w:bookmarkStart w:id="12018" w:name="_Toc28200"/>
      <w:bookmarkStart w:id="12019" w:name="_Toc6639"/>
      <w:bookmarkStart w:id="12020" w:name="_Toc8154"/>
      <w:bookmarkStart w:id="12021" w:name="_Toc15385"/>
      <w:bookmarkStart w:id="12022" w:name="_Toc10353"/>
      <w:bookmarkStart w:id="12023" w:name="_Toc619"/>
      <w:bookmarkStart w:id="12024" w:name="_Toc18628"/>
      <w:bookmarkStart w:id="12025" w:name="_Toc5635"/>
      <w:bookmarkStart w:id="12026" w:name="_Toc17998"/>
      <w:bookmarkStart w:id="12027" w:name="_Toc16473"/>
      <w:bookmarkStart w:id="12028" w:name="_Toc30740"/>
      <w:bookmarkStart w:id="12029" w:name="_Toc5207"/>
      <w:bookmarkStart w:id="12030" w:name="_Toc9129"/>
      <w:bookmarkStart w:id="12031" w:name="_Toc19782"/>
      <w:r>
        <w:rPr>
          <w:rFonts w:hint="eastAsia"/>
        </w:rPr>
        <w:t>（四）材料的存放、保管措施</w:t>
      </w:r>
      <w:bookmarkEnd w:id="11984"/>
      <w:bookmarkEnd w:id="11985"/>
      <w:bookmarkEnd w:id="11986"/>
      <w:bookmarkEnd w:id="11987"/>
      <w:bookmarkEnd w:id="11988"/>
      <w:bookmarkEnd w:id="11989"/>
      <w:bookmarkEnd w:id="11990"/>
      <w:bookmarkEnd w:id="11991"/>
      <w:bookmarkEnd w:id="11992"/>
      <w:bookmarkEnd w:id="11993"/>
      <w:bookmarkEnd w:id="11994"/>
      <w:bookmarkEnd w:id="11995"/>
      <w:bookmarkEnd w:id="11996"/>
      <w:bookmarkEnd w:id="11997"/>
      <w:bookmarkEnd w:id="11998"/>
      <w:bookmarkEnd w:id="11999"/>
      <w:bookmarkEnd w:id="12000"/>
      <w:bookmarkEnd w:id="12001"/>
      <w:bookmarkEnd w:id="12002"/>
      <w:bookmarkEnd w:id="12003"/>
      <w:bookmarkEnd w:id="12004"/>
      <w:bookmarkEnd w:id="12005"/>
      <w:bookmarkEnd w:id="12006"/>
      <w:bookmarkEnd w:id="12007"/>
      <w:bookmarkEnd w:id="12008"/>
      <w:bookmarkEnd w:id="12009"/>
      <w:bookmarkEnd w:id="12010"/>
      <w:bookmarkEnd w:id="12011"/>
      <w:bookmarkEnd w:id="12012"/>
      <w:bookmarkEnd w:id="12013"/>
      <w:bookmarkEnd w:id="12014"/>
      <w:bookmarkEnd w:id="12015"/>
      <w:bookmarkEnd w:id="12016"/>
      <w:bookmarkEnd w:id="12017"/>
      <w:bookmarkEnd w:id="12018"/>
      <w:bookmarkEnd w:id="12019"/>
      <w:bookmarkEnd w:id="12020"/>
      <w:bookmarkEnd w:id="12021"/>
      <w:bookmarkEnd w:id="12022"/>
      <w:bookmarkEnd w:id="12023"/>
      <w:bookmarkEnd w:id="12024"/>
      <w:bookmarkEnd w:id="12025"/>
      <w:bookmarkEnd w:id="12026"/>
      <w:bookmarkEnd w:id="12027"/>
      <w:bookmarkEnd w:id="12028"/>
      <w:bookmarkEnd w:id="12029"/>
      <w:bookmarkEnd w:id="12030"/>
      <w:bookmarkEnd w:id="12031"/>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2"/>
      </w:tblGrid>
      <w:tr w14:paraId="78618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D21E146">
            <w:pPr>
              <w:pStyle w:val="18"/>
              <w:jc w:val="both"/>
              <w:rPr>
                <w:rFonts w:eastAsia="仿宋"/>
              </w:rPr>
            </w:pPr>
            <w:r>
              <w:rPr>
                <w:rFonts w:hint="eastAsia"/>
              </w:rPr>
              <w:t>（一）库房管理措施</w:t>
            </w:r>
          </w:p>
        </w:tc>
      </w:tr>
      <w:tr w14:paraId="0070D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0247A2A6">
            <w:pPr>
              <w:pStyle w:val="18"/>
              <w:ind w:firstLine="560" w:firstLineChars="200"/>
              <w:jc w:val="both"/>
              <w:rPr>
                <w:rFonts w:eastAsia="仿宋"/>
              </w:rPr>
            </w:pPr>
            <w:r>
              <w:rPr>
                <w:rFonts w:hint="eastAsia"/>
              </w:rPr>
              <w:t>1、库内货架应摆放合理，利于货物的存储，按照品种、规格进行码放，标明货物的名称、规格、数量。</w:t>
            </w:r>
          </w:p>
          <w:p w14:paraId="755BBCC4">
            <w:pPr>
              <w:pStyle w:val="18"/>
              <w:ind w:firstLine="560" w:firstLineChars="200"/>
              <w:jc w:val="both"/>
              <w:rPr>
                <w:rFonts w:eastAsia="仿宋"/>
              </w:rPr>
            </w:pPr>
            <w:r>
              <w:rPr>
                <w:rFonts w:hint="eastAsia"/>
              </w:rPr>
              <w:t>2、易燃、易爆、贵重物品及有毒物品应设专库存放，并有保管措施。</w:t>
            </w:r>
          </w:p>
          <w:p w14:paraId="0ED26E82">
            <w:pPr>
              <w:pStyle w:val="18"/>
              <w:ind w:firstLine="560" w:firstLineChars="200"/>
              <w:jc w:val="both"/>
            </w:pPr>
            <w:r>
              <w:rPr>
                <w:rFonts w:hint="eastAsia"/>
              </w:rPr>
              <w:t>3、材料管理人员要坚守岗位，保持库容整洁干净，对入库的各种材料，对照计划单，来料单逐一核对，对物资的品种、规格、质量、数量，实行验收入库。</w:t>
            </w:r>
          </w:p>
          <w:p w14:paraId="610DEE74">
            <w:pPr>
              <w:pStyle w:val="18"/>
              <w:ind w:firstLine="560" w:firstLineChars="200"/>
              <w:jc w:val="both"/>
            </w:pPr>
            <w:r>
              <w:rPr>
                <w:rFonts w:hint="eastAsia"/>
                <w:lang w:val="en-US"/>
              </w:rPr>
              <w:t>4、做到先入库，先使用的原则，按照制度规定的手续发料，做好货物</w:t>
            </w:r>
          </w:p>
          <w:p w14:paraId="6E18920C">
            <w:pPr>
              <w:pStyle w:val="18"/>
              <w:jc w:val="both"/>
            </w:pPr>
            <w:r>
              <w:rPr>
                <w:rFonts w:hint="eastAsia"/>
                <w:lang w:val="en-US"/>
              </w:rPr>
              <w:t>的发料记录。</w:t>
            </w:r>
          </w:p>
          <w:p w14:paraId="5297EFFB">
            <w:pPr>
              <w:pStyle w:val="18"/>
              <w:ind w:firstLine="560" w:firstLineChars="200"/>
              <w:jc w:val="both"/>
            </w:pPr>
            <w:r>
              <w:rPr>
                <w:rFonts w:hint="eastAsia"/>
                <w:lang w:val="en-US"/>
              </w:rPr>
              <w:t>5、易燃、易爆材料严禁在结构工程内部存放。</w:t>
            </w:r>
          </w:p>
          <w:p w14:paraId="28F34AF5">
            <w:pPr>
              <w:pStyle w:val="18"/>
              <w:ind w:firstLine="560" w:firstLineChars="200"/>
              <w:jc w:val="both"/>
            </w:pPr>
            <w:r>
              <w:rPr>
                <w:rFonts w:hint="eastAsia"/>
                <w:lang w:val="en-US"/>
              </w:rPr>
              <w:t>6、出入库的账目要齐全，要有出门证，账实相符，日清月结，做到有</w:t>
            </w:r>
          </w:p>
          <w:p w14:paraId="0C2482F2">
            <w:pPr>
              <w:pStyle w:val="18"/>
              <w:jc w:val="both"/>
            </w:pPr>
            <w:r>
              <w:rPr>
                <w:rFonts w:hint="eastAsia"/>
                <w:lang w:val="en-US"/>
              </w:rPr>
              <w:t>物必有账。</w:t>
            </w:r>
          </w:p>
          <w:p w14:paraId="6485D2CA">
            <w:pPr>
              <w:pStyle w:val="18"/>
              <w:ind w:firstLine="560" w:firstLineChars="200"/>
              <w:jc w:val="both"/>
            </w:pPr>
            <w:r>
              <w:rPr>
                <w:rFonts w:hint="eastAsia"/>
                <w:lang w:val="en-US"/>
              </w:rPr>
              <w:t>7、库房要达到防火、防盗要求，进入库房的工作人员严禁吸烟，库内</w:t>
            </w:r>
          </w:p>
          <w:p w14:paraId="3635C628">
            <w:pPr>
              <w:pStyle w:val="18"/>
              <w:jc w:val="both"/>
            </w:pPr>
            <w:r>
              <w:rPr>
                <w:rFonts w:hint="eastAsia"/>
                <w:lang w:val="en-US"/>
              </w:rPr>
              <w:t>配置灭火器材。</w:t>
            </w:r>
          </w:p>
          <w:p w14:paraId="1AD6F71D">
            <w:pPr>
              <w:pStyle w:val="18"/>
              <w:ind w:firstLine="560" w:firstLineChars="200"/>
              <w:jc w:val="both"/>
            </w:pPr>
            <w:r>
              <w:rPr>
                <w:rFonts w:hint="eastAsia"/>
                <w:lang w:val="en-US"/>
              </w:rPr>
              <w:t>8、根据材料性能要求，保管好物资，做好防护措施。</w:t>
            </w:r>
          </w:p>
          <w:p w14:paraId="5913D51D">
            <w:pPr>
              <w:pStyle w:val="18"/>
              <w:ind w:firstLine="560" w:firstLineChars="200"/>
              <w:jc w:val="both"/>
            </w:pPr>
            <w:r>
              <w:rPr>
                <w:rFonts w:hint="eastAsia"/>
                <w:lang w:val="en-US"/>
              </w:rPr>
              <w:t>9、对质量、数量、品种、规格、型号不符合要求的，有权拒绝入库，</w:t>
            </w:r>
          </w:p>
          <w:p w14:paraId="1DC88B9A">
            <w:pPr>
              <w:pStyle w:val="18"/>
              <w:jc w:val="both"/>
            </w:pPr>
            <w:r>
              <w:rPr>
                <w:rFonts w:hint="eastAsia"/>
                <w:lang w:val="en-US"/>
              </w:rPr>
              <w:t>并及时向上级有关部门反映。</w:t>
            </w:r>
          </w:p>
        </w:tc>
      </w:tr>
      <w:tr w14:paraId="533BE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DF5FDB0">
            <w:pPr>
              <w:pStyle w:val="18"/>
              <w:jc w:val="both"/>
            </w:pPr>
            <w:r>
              <w:rPr>
                <w:rFonts w:hint="eastAsia"/>
              </w:rPr>
              <w:t>（二）现场料具使用和周转管理措施</w:t>
            </w:r>
          </w:p>
        </w:tc>
      </w:tr>
      <w:tr w14:paraId="7FAF5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DC79DCC">
            <w:pPr>
              <w:pStyle w:val="18"/>
              <w:ind w:firstLine="560" w:firstLineChars="200"/>
              <w:jc w:val="both"/>
              <w:rPr>
                <w:rFonts w:eastAsia="仿宋"/>
              </w:rPr>
            </w:pPr>
            <w:r>
              <w:rPr>
                <w:rFonts w:hint="eastAsia"/>
              </w:rPr>
              <w:t>1、各种工具、材料，因保管不当丢失的照价赔偿。</w:t>
            </w:r>
          </w:p>
          <w:p w14:paraId="4AD62E4E">
            <w:pPr>
              <w:pStyle w:val="18"/>
              <w:ind w:firstLine="560" w:firstLineChars="200"/>
              <w:jc w:val="both"/>
              <w:rPr>
                <w:rFonts w:eastAsia="仿宋"/>
              </w:rPr>
            </w:pPr>
            <w:r>
              <w:rPr>
                <w:rFonts w:hint="eastAsia"/>
              </w:rPr>
              <w:t>2、所有工程用料必须按计划使用，不得随意丢弃浪费和损坏，对故意损坏浪费材料的人酌情进行处罚。</w:t>
            </w:r>
          </w:p>
          <w:p w14:paraId="6C847647">
            <w:pPr>
              <w:pStyle w:val="18"/>
              <w:ind w:firstLine="560" w:firstLineChars="200"/>
              <w:jc w:val="both"/>
              <w:rPr>
                <w:rFonts w:eastAsia="仿宋"/>
              </w:rPr>
            </w:pPr>
            <w:r>
              <w:rPr>
                <w:rFonts w:hint="eastAsia"/>
              </w:rPr>
              <w:t>3、各班组、各外包队班组，必须设有专人领料，由材料人员登记入账。</w:t>
            </w:r>
          </w:p>
          <w:p w14:paraId="05999D5D">
            <w:pPr>
              <w:pStyle w:val="18"/>
              <w:ind w:firstLine="560" w:firstLineChars="200"/>
              <w:jc w:val="both"/>
              <w:rPr>
                <w:rFonts w:eastAsia="仿宋"/>
              </w:rPr>
            </w:pPr>
            <w:r>
              <w:rPr>
                <w:rFonts w:hint="eastAsia"/>
              </w:rPr>
              <w:t>4、妥善保管和合理使用各种工具，不得损坏，不得丢失。</w:t>
            </w:r>
          </w:p>
          <w:p w14:paraId="0EABE97D">
            <w:pPr>
              <w:pStyle w:val="18"/>
              <w:ind w:firstLine="560" w:firstLineChars="200"/>
              <w:jc w:val="both"/>
              <w:rPr>
                <w:rFonts w:eastAsia="仿宋"/>
              </w:rPr>
            </w:pPr>
            <w:r>
              <w:rPr>
                <w:rFonts w:hint="eastAsia"/>
              </w:rPr>
              <w:t>5、超计划用料必须由工地经理签发领料单。</w:t>
            </w:r>
          </w:p>
          <w:p w14:paraId="40B3DD3B">
            <w:pPr>
              <w:pStyle w:val="18"/>
              <w:ind w:firstLine="560" w:firstLineChars="200"/>
              <w:jc w:val="both"/>
              <w:rPr>
                <w:rFonts w:eastAsia="仿宋"/>
              </w:rPr>
            </w:pPr>
            <w:r>
              <w:rPr>
                <w:rFonts w:hint="eastAsia"/>
              </w:rPr>
              <w:t>6、各种工具、劳保工具、机具，使用完毕后，必须清理干净，完整的交回材料。</w:t>
            </w:r>
          </w:p>
          <w:p w14:paraId="2B338D58">
            <w:pPr>
              <w:pStyle w:val="18"/>
              <w:ind w:firstLine="560" w:firstLineChars="200"/>
              <w:jc w:val="both"/>
              <w:rPr>
                <w:rFonts w:eastAsia="仿宋"/>
              </w:rPr>
            </w:pPr>
            <w:r>
              <w:rPr>
                <w:rFonts w:hint="eastAsia"/>
              </w:rPr>
              <w:t>7、负责现场材料管理工作，对进场材料认真检验，做好检测、发放记录，建立健全材料采购台账。</w:t>
            </w:r>
          </w:p>
          <w:p w14:paraId="28EDCC2D">
            <w:pPr>
              <w:pStyle w:val="18"/>
              <w:ind w:firstLine="560" w:firstLineChars="200"/>
              <w:jc w:val="both"/>
              <w:rPr>
                <w:rFonts w:eastAsia="仿宋"/>
                <w:lang w:val="en-US"/>
              </w:rPr>
            </w:pPr>
            <w:r>
              <w:rPr>
                <w:rFonts w:hint="eastAsia"/>
              </w:rPr>
              <w:t>8、负责场容管理工作，现场材料要分规格、分区域码放，做到标识清</w:t>
            </w:r>
            <w:r>
              <w:rPr>
                <w:rFonts w:hint="eastAsia"/>
                <w:lang w:val="en-US"/>
              </w:rPr>
              <w:t>楚。</w:t>
            </w:r>
          </w:p>
        </w:tc>
      </w:tr>
      <w:tr w14:paraId="36505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2E54B696">
            <w:pPr>
              <w:pStyle w:val="18"/>
              <w:jc w:val="both"/>
            </w:pPr>
            <w:r>
              <w:rPr>
                <w:rFonts w:hint="eastAsia"/>
              </w:rPr>
              <w:t>（三）现场材料管理措施</w:t>
            </w:r>
          </w:p>
        </w:tc>
      </w:tr>
      <w:tr w14:paraId="7BF78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1554D39F">
            <w:pPr>
              <w:pStyle w:val="18"/>
              <w:jc w:val="both"/>
              <w:rPr>
                <w:rFonts w:eastAsia="仿宋"/>
              </w:rPr>
            </w:pPr>
            <w:r>
              <w:rPr>
                <w:rFonts w:hint="eastAsia"/>
              </w:rPr>
              <w:t>为了加强施工现场管理，提高现场的管理水平，合理、有效的使用面积狭窄的施工现场规定如下：</w:t>
            </w:r>
          </w:p>
          <w:p w14:paraId="6819DC6F">
            <w:pPr>
              <w:pStyle w:val="18"/>
              <w:ind w:firstLine="560" w:firstLineChars="200"/>
              <w:jc w:val="both"/>
              <w:rPr>
                <w:rFonts w:eastAsia="仿宋"/>
              </w:rPr>
            </w:pPr>
            <w:r>
              <w:rPr>
                <w:rFonts w:hint="eastAsia"/>
              </w:rPr>
              <w:t>1、凡进入施工现场的车辆需要把车停在指定位置，不得影响施工作业。</w:t>
            </w:r>
          </w:p>
          <w:p w14:paraId="4CD81E58">
            <w:pPr>
              <w:pStyle w:val="18"/>
              <w:ind w:firstLine="560" w:firstLineChars="200"/>
              <w:jc w:val="both"/>
              <w:rPr>
                <w:rFonts w:eastAsia="仿宋"/>
              </w:rPr>
            </w:pPr>
            <w:r>
              <w:rPr>
                <w:rFonts w:hint="eastAsia"/>
              </w:rPr>
              <w:t>2、做好施工现场的安全、保卫、防火、防盗的工作，设专人做好施工现场的清洁保洁工作。</w:t>
            </w:r>
          </w:p>
          <w:p w14:paraId="7B7410B6">
            <w:pPr>
              <w:pStyle w:val="18"/>
              <w:ind w:firstLine="560" w:firstLineChars="200"/>
              <w:jc w:val="both"/>
              <w:rPr>
                <w:rFonts w:eastAsia="仿宋"/>
              </w:rPr>
            </w:pPr>
            <w:r>
              <w:rPr>
                <w:rFonts w:hint="eastAsia"/>
              </w:rPr>
              <w:t>3、卸料时要轻拿轻放，码放整齐，不得随意抛、投，不得超高码放，夜间来料卸料不能影响周围居民的休息。</w:t>
            </w:r>
          </w:p>
          <w:p w14:paraId="4AE86BBB">
            <w:pPr>
              <w:pStyle w:val="18"/>
              <w:ind w:firstLine="560" w:firstLineChars="200"/>
              <w:jc w:val="both"/>
              <w:rPr>
                <w:rFonts w:eastAsia="仿宋"/>
              </w:rPr>
            </w:pPr>
            <w:r>
              <w:rPr>
                <w:rFonts w:hint="eastAsia"/>
              </w:rPr>
              <w:t>4、保持施工现场的道路畅通。</w:t>
            </w:r>
          </w:p>
          <w:p w14:paraId="728C34D0">
            <w:pPr>
              <w:pStyle w:val="18"/>
              <w:ind w:firstLine="560" w:firstLineChars="200"/>
              <w:jc w:val="both"/>
              <w:rPr>
                <w:rFonts w:eastAsia="仿宋"/>
              </w:rPr>
            </w:pPr>
            <w:r>
              <w:rPr>
                <w:rFonts w:hint="eastAsia"/>
              </w:rPr>
              <w:t>5、一切运材料的车辆进入现场后必须听从材料人员的指挥，把材料卸到指定地点。</w:t>
            </w:r>
          </w:p>
          <w:p w14:paraId="49A5A602">
            <w:pPr>
              <w:pStyle w:val="18"/>
              <w:ind w:firstLine="560" w:firstLineChars="200"/>
              <w:jc w:val="both"/>
              <w:rPr>
                <w:rFonts w:eastAsia="仿宋"/>
              </w:rPr>
            </w:pPr>
            <w:r>
              <w:rPr>
                <w:rFonts w:hint="eastAsia"/>
              </w:rPr>
              <w:t>6、管员应建立材料台账,记录材料的入库、出料、退库及结存数据。</w:t>
            </w:r>
          </w:p>
          <w:p w14:paraId="4CE3BA87">
            <w:pPr>
              <w:pStyle w:val="18"/>
              <w:ind w:firstLine="560" w:firstLineChars="200"/>
              <w:jc w:val="both"/>
              <w:rPr>
                <w:rFonts w:eastAsia="仿宋"/>
              </w:rPr>
            </w:pPr>
            <w:r>
              <w:rPr>
                <w:rFonts w:hint="eastAsia"/>
              </w:rPr>
              <w:t>7、做好仓库安全保卫、防火及卫生工作,确保仓库和物资的安全,保持库房整洁。</w:t>
            </w:r>
          </w:p>
          <w:p w14:paraId="076C65E0">
            <w:pPr>
              <w:pStyle w:val="18"/>
              <w:ind w:firstLine="560" w:firstLineChars="200"/>
              <w:jc w:val="both"/>
              <w:rPr>
                <w:rFonts w:eastAsia="仿宋"/>
              </w:rPr>
            </w:pPr>
            <w:r>
              <w:rPr>
                <w:rFonts w:hint="eastAsia"/>
              </w:rPr>
              <w:t>8、要妥善保管入库单和材料领料单。</w:t>
            </w:r>
          </w:p>
          <w:p w14:paraId="5DE3A494">
            <w:pPr>
              <w:pStyle w:val="18"/>
              <w:ind w:firstLine="560" w:firstLineChars="200"/>
              <w:jc w:val="both"/>
              <w:rPr>
                <w:rFonts w:eastAsia="仿宋"/>
              </w:rPr>
            </w:pPr>
            <w:r>
              <w:rPr>
                <w:rFonts w:hint="eastAsia"/>
              </w:rPr>
              <w:t>9、根据项目进度需要及时向项目经理和施工员报告材料库存情况,由施工员做材料采购计划。</w:t>
            </w:r>
          </w:p>
          <w:p w14:paraId="5C0FC2E1">
            <w:pPr>
              <w:pStyle w:val="18"/>
              <w:ind w:firstLine="560" w:firstLineChars="200"/>
              <w:jc w:val="both"/>
              <w:rPr>
                <w:rFonts w:eastAsia="仿宋"/>
              </w:rPr>
            </w:pPr>
            <w:r>
              <w:rPr>
                <w:rFonts w:hint="eastAsia"/>
              </w:rPr>
              <w:t>10、勤检查库存物品，保持库房干燥,注意防火、防盗、防潮、防霉变、防蛀、防鼠害。</w:t>
            </w:r>
          </w:p>
          <w:p w14:paraId="71A86279">
            <w:pPr>
              <w:pStyle w:val="18"/>
              <w:ind w:firstLine="560" w:firstLineChars="200"/>
              <w:jc w:val="both"/>
              <w:rPr>
                <w:rFonts w:eastAsia="仿宋"/>
              </w:rPr>
            </w:pPr>
            <w:r>
              <w:rPr>
                <w:rFonts w:hint="eastAsia"/>
              </w:rPr>
              <w:t>11、根据工地项目进度需要,服从加班安排,确保按时完成任务。</w:t>
            </w:r>
          </w:p>
          <w:p w14:paraId="09884ED0">
            <w:pPr>
              <w:pStyle w:val="18"/>
              <w:ind w:firstLine="560" w:firstLineChars="200"/>
              <w:jc w:val="both"/>
              <w:rPr>
                <w:rFonts w:eastAsia="仿宋"/>
              </w:rPr>
            </w:pPr>
            <w:r>
              <w:rPr>
                <w:rFonts w:hint="eastAsia"/>
              </w:rPr>
              <w:t>12、库内物资,按大类区分,分库保管,做到货物成行、成方、成层、成垛或成包、上摆轻、下摆重的原则。分类存放时做到标记明显、整洁稳固、存放合理、安全可靠,然后建帐、挂卡,做到帐、卡、物三者一致。保证库区整洁卫生,道路畅通。</w:t>
            </w:r>
          </w:p>
          <w:p w14:paraId="37A21ADD">
            <w:pPr>
              <w:pStyle w:val="18"/>
              <w:ind w:firstLine="560" w:firstLineChars="200"/>
              <w:jc w:val="both"/>
              <w:rPr>
                <w:rFonts w:eastAsia="仿宋"/>
              </w:rPr>
            </w:pPr>
            <w:r>
              <w:rPr>
                <w:rFonts w:hint="eastAsia"/>
              </w:rPr>
              <w:t>13、露天存放的物资根据需要做好防护、垫盖处理,定期检查是否变质、散失、发现问题及时.上报并采取保护措施。</w:t>
            </w:r>
          </w:p>
          <w:p w14:paraId="1211DC9E">
            <w:pPr>
              <w:pStyle w:val="18"/>
              <w:ind w:firstLine="560" w:firstLineChars="200"/>
              <w:jc w:val="both"/>
              <w:rPr>
                <w:rFonts w:eastAsia="仿宋"/>
              </w:rPr>
            </w:pPr>
            <w:r>
              <w:rPr>
                <w:rFonts w:hint="eastAsia"/>
              </w:rPr>
              <w:t>14、金属材料、机电配套件,要定期进行防锈蚀检查。</w:t>
            </w:r>
          </w:p>
          <w:p w14:paraId="0742DE1D">
            <w:pPr>
              <w:pStyle w:val="18"/>
              <w:ind w:firstLine="560" w:firstLineChars="200"/>
              <w:jc w:val="both"/>
              <w:rPr>
                <w:rFonts w:eastAsia="仿宋"/>
              </w:rPr>
            </w:pPr>
            <w:r>
              <w:rPr>
                <w:rFonts w:hint="eastAsia"/>
              </w:rPr>
              <w:t>15、对易老化、易碎、防潮湿、怕冻、怕晒等物资,要根据其特点进行定期检查,加强防护措施，做到分批存放,先到先发,发现问题及时采取防护措施,保证物资的完整无损,不降低物资质量状况。</w:t>
            </w:r>
          </w:p>
          <w:p w14:paraId="3FC114A9">
            <w:pPr>
              <w:pStyle w:val="18"/>
              <w:ind w:firstLine="560" w:firstLineChars="200"/>
              <w:jc w:val="both"/>
              <w:rPr>
                <w:rFonts w:eastAsia="仿宋"/>
              </w:rPr>
            </w:pPr>
            <w:r>
              <w:rPr>
                <w:rFonts w:hint="eastAsia"/>
              </w:rPr>
              <w:t>16、对易燃易爆等危险物资,要存放在单独设定的区域,并设立相应的警示。</w:t>
            </w:r>
          </w:p>
        </w:tc>
      </w:tr>
      <w:tr w14:paraId="616A0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4E6E12AA">
            <w:pPr>
              <w:pStyle w:val="18"/>
              <w:jc w:val="both"/>
            </w:pPr>
            <w:r>
              <w:rPr>
                <w:rFonts w:hint="eastAsia"/>
              </w:rPr>
              <w:t>（四）保管员基本要求</w:t>
            </w:r>
          </w:p>
        </w:tc>
      </w:tr>
      <w:tr w14:paraId="206CC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14:paraId="69D7FC06">
            <w:pPr>
              <w:pStyle w:val="18"/>
              <w:jc w:val="both"/>
            </w:pPr>
            <w:r>
              <w:rPr>
                <w:rFonts w:hint="eastAsia"/>
              </w:rPr>
              <w:t>1.保管员要做到“四懂”、“五会”</w:t>
            </w:r>
          </w:p>
          <w:p w14:paraId="65229088">
            <w:pPr>
              <w:pStyle w:val="18"/>
              <w:jc w:val="both"/>
            </w:pPr>
            <w:r>
              <w:rPr>
                <w:rFonts w:hint="eastAsia"/>
              </w:rPr>
              <w:t>四懂：懂物资名称规格，懂物资基本性能、懂用途、懂业务流程、懂业务技术安保规程；五会：会识货、会换算、会保管保养、会使用衡器量具、会使用消防器材。</w:t>
            </w:r>
          </w:p>
          <w:p w14:paraId="7727BEFB">
            <w:pPr>
              <w:pStyle w:val="18"/>
              <w:ind w:firstLine="560" w:firstLineChars="200"/>
              <w:jc w:val="both"/>
            </w:pPr>
            <w:r>
              <w:rPr>
                <w:rFonts w:hint="eastAsia"/>
              </w:rPr>
              <w:t>2.账务处理规范化，做到“一坚持”、“五不许”、“八准确”</w:t>
            </w:r>
          </w:p>
          <w:p w14:paraId="16724340">
            <w:pPr>
              <w:pStyle w:val="18"/>
              <w:ind w:firstLine="560" w:firstLineChars="200"/>
              <w:jc w:val="both"/>
            </w:pPr>
            <w:r>
              <w:rPr>
                <w:rFonts w:hint="eastAsia"/>
              </w:rPr>
              <w:t>一坚持：坚持日清月结；</w:t>
            </w:r>
          </w:p>
          <w:p w14:paraId="66F53382">
            <w:pPr>
              <w:pStyle w:val="18"/>
              <w:ind w:firstLine="560" w:firstLineChars="200"/>
              <w:jc w:val="both"/>
              <w:rPr>
                <w:rFonts w:eastAsia="仿宋"/>
              </w:rPr>
            </w:pPr>
            <w:r>
              <w:rPr>
                <w:rFonts w:hint="eastAsia"/>
              </w:rPr>
              <w:t>五不许：不许潦草、不许涂改、不许挖补、不许污损、不许丢失；</w:t>
            </w:r>
          </w:p>
          <w:p w14:paraId="52028075">
            <w:pPr>
              <w:pStyle w:val="18"/>
              <w:ind w:firstLine="560" w:firstLineChars="200"/>
              <w:jc w:val="both"/>
            </w:pPr>
            <w:r>
              <w:rPr>
                <w:rFonts w:hint="eastAsia"/>
              </w:rPr>
              <w:t>八准确：时间、用料单位、名称、规格型号、计量单位、单价、数量、金额准确，计量单位要符合法定计量单位标准；</w:t>
            </w:r>
          </w:p>
          <w:p w14:paraId="25E5B541">
            <w:pPr>
              <w:pStyle w:val="18"/>
              <w:ind w:firstLine="560" w:firstLineChars="200"/>
              <w:jc w:val="both"/>
              <w:rPr>
                <w:rFonts w:eastAsia="仿宋"/>
              </w:rPr>
            </w:pPr>
            <w:r>
              <w:rPr>
                <w:rFonts w:hint="eastAsia"/>
              </w:rPr>
              <w:t>3.收、发各种单据按月整理，装订成册，妥善保管；</w:t>
            </w:r>
          </w:p>
          <w:p w14:paraId="77AA6D09">
            <w:pPr>
              <w:pStyle w:val="18"/>
              <w:ind w:firstLine="560" w:firstLineChars="200"/>
              <w:jc w:val="both"/>
            </w:pPr>
            <w:r>
              <w:rPr>
                <w:rFonts w:hint="eastAsia"/>
              </w:rPr>
              <w:t>4.物资按照“二齐、三清、四号定位”摆放，并且悬挂标识牌，露天堆放的物资要分区、分类堆放整齐，做到上盖下垫，做好防潮、、防火工作。</w:t>
            </w:r>
          </w:p>
          <w:p w14:paraId="171A2C78">
            <w:pPr>
              <w:pStyle w:val="18"/>
              <w:ind w:firstLine="560" w:firstLineChars="200"/>
              <w:jc w:val="both"/>
              <w:rPr>
                <w:rFonts w:eastAsia="仿宋"/>
              </w:rPr>
            </w:pPr>
            <w:r>
              <w:rPr>
                <w:rFonts w:hint="eastAsia"/>
              </w:rPr>
              <w:t>5.物资保管应按照“五净、五无、三条线”要求做到位。</w:t>
            </w:r>
          </w:p>
          <w:p w14:paraId="7E1EEF7D">
            <w:pPr>
              <w:pStyle w:val="18"/>
              <w:ind w:firstLine="560" w:firstLineChars="200"/>
              <w:jc w:val="both"/>
            </w:pPr>
            <w:r>
              <w:rPr>
                <w:rFonts w:hint="eastAsia"/>
              </w:rPr>
              <w:t>6.做到“三有一保证”。三有：库内物资盈亏有原因，损坏由报告，调整有依据；一保证：保证账、卡、物、资金四相符。</w:t>
            </w:r>
          </w:p>
        </w:tc>
      </w:tr>
    </w:tbl>
    <w:p w14:paraId="3155C648">
      <w:pPr>
        <w:ind w:firstLine="560"/>
      </w:pPr>
      <w:bookmarkStart w:id="12032" w:name="_Toc22309"/>
      <w:bookmarkStart w:id="12033" w:name="_Toc193"/>
      <w:bookmarkStart w:id="12034" w:name="_Toc11404"/>
      <w:bookmarkStart w:id="12035" w:name="_Toc3766"/>
      <w:bookmarkStart w:id="12036" w:name="_Toc16963"/>
      <w:bookmarkStart w:id="12037" w:name="_Toc10549"/>
      <w:bookmarkStart w:id="12038" w:name="_Toc15103"/>
      <w:bookmarkStart w:id="12039" w:name="_Toc3405"/>
      <w:bookmarkStart w:id="12040" w:name="_Toc13055"/>
      <w:bookmarkStart w:id="12041" w:name="_Toc31632"/>
      <w:bookmarkStart w:id="12042" w:name="_Toc18865"/>
      <w:bookmarkStart w:id="12043" w:name="_Toc24380"/>
      <w:bookmarkStart w:id="12044" w:name="_Toc15165"/>
      <w:bookmarkStart w:id="12045" w:name="_Toc2545"/>
      <w:bookmarkStart w:id="12046" w:name="_Toc21094"/>
      <w:bookmarkStart w:id="12047" w:name="_Toc6082"/>
      <w:bookmarkStart w:id="12048" w:name="_Toc12029"/>
      <w:bookmarkStart w:id="12049" w:name="_Toc23161"/>
      <w:bookmarkStart w:id="12050" w:name="_Toc16693"/>
      <w:bookmarkStart w:id="12051" w:name="_Toc16107"/>
      <w:bookmarkStart w:id="12052" w:name="_Toc16007"/>
      <w:bookmarkStart w:id="12053" w:name="_Toc24648"/>
      <w:bookmarkStart w:id="12054" w:name="_Toc9980"/>
      <w:bookmarkStart w:id="12055" w:name="_Toc9368"/>
      <w:bookmarkStart w:id="12056" w:name="_Toc32350"/>
      <w:bookmarkStart w:id="12057" w:name="_Toc184"/>
      <w:bookmarkStart w:id="12058" w:name="_Toc31995"/>
      <w:bookmarkStart w:id="12059" w:name="_Toc23891"/>
      <w:bookmarkStart w:id="12060" w:name="_Toc2492"/>
      <w:bookmarkStart w:id="12061" w:name="_Toc1729"/>
      <w:bookmarkStart w:id="12062" w:name="_Toc31105"/>
      <w:bookmarkStart w:id="12063" w:name="_Toc29478"/>
      <w:bookmarkStart w:id="12064" w:name="_Toc7145"/>
      <w:bookmarkStart w:id="12065" w:name="_Toc12083"/>
      <w:bookmarkStart w:id="12066" w:name="_Toc7961"/>
      <w:bookmarkStart w:id="12067" w:name="_Toc6597"/>
      <w:bookmarkStart w:id="12068" w:name="_Toc25097"/>
      <w:bookmarkStart w:id="12069" w:name="_Toc30130"/>
      <w:bookmarkStart w:id="12070" w:name="_Toc24784"/>
      <w:bookmarkStart w:id="12071" w:name="_Toc24712"/>
      <w:bookmarkStart w:id="12072" w:name="_Toc9224"/>
      <w:bookmarkStart w:id="12073" w:name="_Toc23877"/>
      <w:bookmarkStart w:id="12074" w:name="_Toc13760"/>
      <w:bookmarkStart w:id="12075" w:name="_Toc329"/>
      <w:bookmarkStart w:id="12076" w:name="_Toc30366"/>
      <w:bookmarkStart w:id="12077" w:name="_Toc27667"/>
      <w:bookmarkStart w:id="12078" w:name="_Toc24454"/>
      <w:bookmarkStart w:id="12079" w:name="_Toc2177"/>
      <w:r>
        <w:rPr>
          <w:rFonts w:hint="eastAsia"/>
        </w:rPr>
        <w:t>（五）材料的使用管理措施</w:t>
      </w:r>
      <w:bookmarkEnd w:id="12032"/>
      <w:bookmarkEnd w:id="12033"/>
      <w:bookmarkEnd w:id="12034"/>
      <w:bookmarkEnd w:id="12035"/>
      <w:bookmarkEnd w:id="12036"/>
      <w:bookmarkEnd w:id="12037"/>
      <w:bookmarkEnd w:id="12038"/>
      <w:bookmarkEnd w:id="12039"/>
      <w:bookmarkEnd w:id="12040"/>
      <w:bookmarkEnd w:id="12041"/>
      <w:bookmarkEnd w:id="12042"/>
      <w:bookmarkEnd w:id="12043"/>
      <w:bookmarkEnd w:id="12044"/>
      <w:bookmarkEnd w:id="12045"/>
      <w:bookmarkEnd w:id="12046"/>
      <w:bookmarkEnd w:id="12047"/>
      <w:bookmarkEnd w:id="12048"/>
      <w:bookmarkEnd w:id="12049"/>
      <w:bookmarkEnd w:id="12050"/>
      <w:bookmarkEnd w:id="12051"/>
      <w:bookmarkEnd w:id="12052"/>
      <w:bookmarkEnd w:id="12053"/>
      <w:bookmarkEnd w:id="12054"/>
      <w:bookmarkEnd w:id="12055"/>
      <w:bookmarkEnd w:id="12056"/>
      <w:bookmarkEnd w:id="12057"/>
      <w:bookmarkEnd w:id="12058"/>
      <w:bookmarkEnd w:id="12059"/>
      <w:bookmarkEnd w:id="12060"/>
      <w:bookmarkEnd w:id="12061"/>
      <w:bookmarkEnd w:id="12062"/>
      <w:bookmarkEnd w:id="12063"/>
      <w:bookmarkEnd w:id="12064"/>
      <w:bookmarkEnd w:id="12065"/>
      <w:bookmarkEnd w:id="12066"/>
      <w:bookmarkEnd w:id="12067"/>
      <w:bookmarkEnd w:id="12068"/>
      <w:bookmarkEnd w:id="12069"/>
      <w:bookmarkEnd w:id="12070"/>
      <w:bookmarkEnd w:id="12071"/>
      <w:bookmarkEnd w:id="12072"/>
      <w:bookmarkEnd w:id="12073"/>
      <w:bookmarkEnd w:id="12074"/>
      <w:bookmarkEnd w:id="12075"/>
      <w:bookmarkEnd w:id="12076"/>
      <w:bookmarkEnd w:id="12077"/>
      <w:bookmarkEnd w:id="12078"/>
      <w:bookmarkEnd w:id="12079"/>
    </w:p>
    <w:p w14:paraId="48FB1C7D">
      <w:pPr>
        <w:ind w:firstLine="560"/>
      </w:pPr>
      <w:r>
        <w:rPr>
          <w:rFonts w:hint="eastAsia"/>
        </w:rPr>
        <w:t>（一）材料使用管理</w:t>
      </w:r>
    </w:p>
    <w:p w14:paraId="18425FE8">
      <w:pPr>
        <w:ind w:firstLine="560"/>
      </w:pPr>
      <w:r>
        <w:rPr>
          <w:rFonts w:hint="eastAsia"/>
        </w:rPr>
        <w:t>1、到货验收：</w:t>
      </w:r>
    </w:p>
    <w:p w14:paraId="1608D227">
      <w:pPr>
        <w:ind w:firstLine="560"/>
      </w:pPr>
      <w:r>
        <w:rPr>
          <w:rFonts w:hint="eastAsia"/>
        </w:rPr>
        <w:t>（1）原则：验收人员见到货物后，如实清点验收，严禁不见物资办理入库手续。</w:t>
      </w:r>
    </w:p>
    <w:p w14:paraId="210B4EFC">
      <w:pPr>
        <w:ind w:firstLine="560"/>
      </w:pPr>
      <w:r>
        <w:rPr>
          <w:rFonts w:hint="eastAsia"/>
        </w:rPr>
        <w:t>（2）依据：验收人员见到货物后，按照发货清单及有关资料一一核实数量、质量、单价、总价及质检资料。（发货清单上有单价时必须要有经办人签字确认，若发货清单上没有单价的入库后及时与经办人联系，核实单价后办理正式手续）无误后办理入库手续。要求：</w:t>
      </w:r>
    </w:p>
    <w:p w14:paraId="1EA323E1">
      <w:pPr>
        <w:ind w:firstLine="560"/>
      </w:pPr>
      <w:r>
        <w:rPr>
          <w:rFonts w:hint="eastAsia"/>
        </w:rPr>
        <w:t>①登记进货登记表、入库单、台账；</w:t>
      </w:r>
    </w:p>
    <w:p w14:paraId="375D95CD">
      <w:pPr>
        <w:ind w:firstLine="560"/>
      </w:pPr>
      <w:r>
        <w:rPr>
          <w:rFonts w:hint="eastAsia"/>
        </w:rPr>
        <w:t>②入库手续上必须注明供货单位详细信息；</w:t>
      </w:r>
    </w:p>
    <w:p w14:paraId="6A6B1B94">
      <w:pPr>
        <w:ind w:firstLine="560"/>
      </w:pPr>
      <w:r>
        <w:rPr>
          <w:rFonts w:hint="eastAsia"/>
        </w:rPr>
        <w:t>③入库手续上物资计量单位名称必须统一，按照标准折算，准确填写，不得出现一箱、一件、一桶等单位；</w:t>
      </w:r>
    </w:p>
    <w:p w14:paraId="61FF78F4">
      <w:pPr>
        <w:ind w:firstLine="560"/>
      </w:pPr>
      <w:r>
        <w:rPr>
          <w:rFonts w:hint="eastAsia"/>
        </w:rPr>
        <w:t>④当日的到货物资信息予次日报送物资分公司。以备及时掌握到场物资情况。</w:t>
      </w:r>
    </w:p>
    <w:p w14:paraId="5D0D6F62">
      <w:pPr>
        <w:ind w:firstLine="560"/>
      </w:pPr>
      <w:r>
        <w:rPr>
          <w:rFonts w:hint="eastAsia"/>
        </w:rPr>
        <w:t>2、领料出库：</w:t>
      </w:r>
    </w:p>
    <w:p w14:paraId="51F3D82A">
      <w:pPr>
        <w:ind w:firstLine="560"/>
      </w:pPr>
      <w:r>
        <w:rPr>
          <w:rFonts w:hint="eastAsia"/>
        </w:rPr>
        <w:t>（1）每个领料单位必须指定1-2名领料人员，该领料单位负责人在领料人身份证复印件上签字确认后备案库房；</w:t>
      </w:r>
    </w:p>
    <w:p w14:paraId="7255E6D5">
      <w:pPr>
        <w:ind w:firstLine="560"/>
      </w:pPr>
      <w:r>
        <w:rPr>
          <w:rFonts w:hint="eastAsia"/>
        </w:rPr>
        <w:t>（2）发料人员必须在指定领料人员持有签字齐全的领料单时方可发货。发料人员见到指定领料人，并持有签字齐全、规格型号、数量明确的情况下，方可办理出库手续。要求：</w:t>
      </w:r>
    </w:p>
    <w:p w14:paraId="74B78B6B">
      <w:pPr>
        <w:ind w:firstLine="560"/>
      </w:pPr>
      <w:r>
        <w:rPr>
          <w:rFonts w:hint="eastAsia"/>
        </w:rPr>
        <w:t>①各单项工程劳务队必须指定1-2名领料人员，否则不予发料；</w:t>
      </w:r>
    </w:p>
    <w:p w14:paraId="315C009E">
      <w:pPr>
        <w:ind w:firstLine="560"/>
      </w:pPr>
      <w:r>
        <w:rPr>
          <w:rFonts w:hint="eastAsia"/>
        </w:rPr>
        <w:t>②领料单、出库登记表、出库单及领用明细表必须要有领料人签字确认；</w:t>
      </w:r>
    </w:p>
    <w:p w14:paraId="531CB5DE">
      <w:pPr>
        <w:ind w:firstLine="560"/>
      </w:pPr>
      <w:r>
        <w:rPr>
          <w:rFonts w:hint="eastAsia"/>
        </w:rPr>
        <w:t>③登记出库登记、出库单、台账，且计量单位要与入库时计量单位一致，不得出现一批、一供应链管理理念开发的一体化电子招标采购平台，同时及时下账，保证账、卡、物、资金四相符；</w:t>
      </w:r>
    </w:p>
    <w:p w14:paraId="613A1F3A">
      <w:pPr>
        <w:ind w:firstLine="560"/>
      </w:pPr>
      <w:r>
        <w:rPr>
          <w:rFonts w:hint="eastAsia"/>
        </w:rPr>
        <w:t>④当日的出库信息予次日报送物资分公司，以备及时掌握出库物资情况。</w:t>
      </w:r>
    </w:p>
    <w:p w14:paraId="43032238">
      <w:pPr>
        <w:ind w:firstLine="560"/>
      </w:pPr>
      <w:r>
        <w:rPr>
          <w:rFonts w:hint="eastAsia"/>
        </w:rPr>
        <w:t>3、账务处理及报表：</w:t>
      </w:r>
    </w:p>
    <w:p w14:paraId="7DEAA908">
      <w:pPr>
        <w:ind w:firstLine="560"/>
      </w:pPr>
      <w:r>
        <w:rPr>
          <w:rFonts w:hint="eastAsia"/>
        </w:rPr>
        <w:t>①仓库账簿记账原则是：简单、清楚、及时、准确。</w:t>
      </w:r>
    </w:p>
    <w:p w14:paraId="0C9CEA46">
      <w:pPr>
        <w:ind w:firstLine="560"/>
      </w:pPr>
      <w:r>
        <w:rPr>
          <w:rFonts w:hint="eastAsia"/>
        </w:rPr>
        <w:t>②为便于记账和便于查找，记账人员必须按十五大类分类记账。</w:t>
      </w:r>
    </w:p>
    <w:p w14:paraId="6E6D1204">
      <w:pPr>
        <w:ind w:firstLine="560"/>
      </w:pPr>
      <w:r>
        <w:rPr>
          <w:rFonts w:hint="eastAsia"/>
        </w:rPr>
        <w:t>③记账时必须按先后顺序详细记录。</w:t>
      </w:r>
    </w:p>
    <w:p w14:paraId="60E3E165">
      <w:pPr>
        <w:ind w:firstLine="560"/>
      </w:pPr>
      <w:r>
        <w:rPr>
          <w:rFonts w:hint="eastAsia"/>
        </w:rPr>
        <w:t>④所有账务票据资料必须清楚、准确、及时、不得出现后补、涂改等情况。</w:t>
      </w:r>
    </w:p>
    <w:p w14:paraId="14A60E82">
      <w:pPr>
        <w:ind w:firstLine="560"/>
      </w:pPr>
      <w:r>
        <w:rPr>
          <w:rFonts w:hint="eastAsia"/>
        </w:rPr>
        <w:t>⑤工具类物资不做出库处理，只做领用手续，单独建立台账及报表。</w:t>
      </w:r>
    </w:p>
    <w:p w14:paraId="350D5EF7">
      <w:pPr>
        <w:ind w:firstLine="560"/>
      </w:pPr>
      <w:r>
        <w:rPr>
          <w:rFonts w:hint="eastAsia"/>
        </w:rPr>
        <w:t>4、地材由物资分公司限价后项目部自行购买，但出入库及报账必须由库房管理人员做登记报账处理。</w:t>
      </w:r>
    </w:p>
    <w:p w14:paraId="3CA081D0">
      <w:pPr>
        <w:ind w:firstLine="560"/>
      </w:pPr>
      <w:r>
        <w:rPr>
          <w:rFonts w:hint="eastAsia"/>
        </w:rPr>
        <w:t>5、每月底按单项工程统计主材报表（主材：钢材、砂子、石子、水泥、砖、白灰、木材、卷材；矿建主材：钢材、砂子、石子、水泥、木材、锚杆、网片、锚锁）。</w:t>
      </w:r>
    </w:p>
    <w:p w14:paraId="4160236A">
      <w:pPr>
        <w:ind w:firstLine="560"/>
      </w:pPr>
      <w:r>
        <w:rPr>
          <w:rFonts w:hint="eastAsia"/>
        </w:rPr>
        <w:t>6、凡进入机械费、安全费用的物资不做出库处理，单独建立台帐及报表。</w:t>
      </w:r>
    </w:p>
    <w:p w14:paraId="62882817">
      <w:pPr>
        <w:ind w:firstLine="560"/>
      </w:pPr>
      <w:r>
        <w:rPr>
          <w:rFonts w:hint="eastAsia"/>
        </w:rPr>
        <w:t>7、工具类物资不做出库处理，只做领用手续（属于以旧换新的必须以旧换新），并单独建立台帐和报表。</w:t>
      </w:r>
    </w:p>
    <w:p w14:paraId="6BC4B54B">
      <w:pPr>
        <w:ind w:firstLine="560"/>
      </w:pPr>
      <w:r>
        <w:rPr>
          <w:rFonts w:hint="eastAsia"/>
        </w:rPr>
        <w:t>8、每月必须按照规定时间报账、挂账并出具相应的报表。</w:t>
      </w:r>
    </w:p>
    <w:p w14:paraId="675E03EB">
      <w:pPr>
        <w:ind w:firstLine="560"/>
      </w:pPr>
      <w:r>
        <w:rPr>
          <w:rFonts w:hint="eastAsia"/>
        </w:rPr>
        <w:t>（二）余料退库</w:t>
      </w:r>
    </w:p>
    <w:p w14:paraId="3E9EF0CE">
      <w:pPr>
        <w:ind w:firstLine="560"/>
      </w:pPr>
      <w:r>
        <w:rPr>
          <w:rFonts w:hint="eastAsia"/>
        </w:rPr>
        <w:t>1、项目经理、施工员和仓管员要要求施工人员将余料、边角料和废料退还给仓管员,由仓管员统-保管,未经公司同意不得私自处理。</w:t>
      </w:r>
    </w:p>
    <w:p w14:paraId="57ABEA85">
      <w:pPr>
        <w:ind w:firstLine="560"/>
      </w:pPr>
      <w:r>
        <w:rPr>
          <w:rFonts w:hint="eastAsia"/>
        </w:rPr>
        <w:t>2、施工员退料时要办好退料手续。</w:t>
      </w:r>
    </w:p>
    <w:p w14:paraId="13E0AEDD">
      <w:pPr>
        <w:ind w:firstLine="560"/>
      </w:pPr>
      <w:r>
        <w:rPr>
          <w:rFonts w:hint="eastAsia"/>
        </w:rPr>
        <w:t>3、仓管员要建立边角料和废料明细表。</w:t>
      </w:r>
    </w:p>
    <w:p w14:paraId="548C8BEB">
      <w:pPr>
        <w:ind w:firstLine="560"/>
      </w:pPr>
      <w:r>
        <w:rPr>
          <w:rFonts w:hint="eastAsia"/>
        </w:rPr>
        <w:t>（三）边角料、废料处理</w:t>
      </w:r>
    </w:p>
    <w:p w14:paraId="11F35BC6">
      <w:pPr>
        <w:ind w:firstLine="560"/>
      </w:pPr>
      <w:r>
        <w:rPr>
          <w:rFonts w:hint="eastAsia"/>
        </w:rPr>
        <w:t>1、边角料、废料在出售前要编写废料明细表,经项目经理和工程管理中心批准后,由施工员和仓管员共同在场监督变卖。</w:t>
      </w:r>
    </w:p>
    <w:p w14:paraId="6A106127">
      <w:pPr>
        <w:ind w:firstLine="560"/>
      </w:pPr>
      <w:r>
        <w:rPr>
          <w:rFonts w:hint="eastAsia"/>
        </w:rPr>
        <w:t>2、收回材料变卖款要交回财务部。</w:t>
      </w:r>
    </w:p>
    <w:p w14:paraId="22FF94F7">
      <w:pPr>
        <w:ind w:firstLine="560"/>
      </w:pPr>
      <w:r>
        <w:rPr>
          <w:rFonts w:hint="eastAsia"/>
        </w:rPr>
        <w:t>（四）出入登记制度</w:t>
      </w:r>
    </w:p>
    <w:p w14:paraId="31025A75">
      <w:pPr>
        <w:ind w:firstLine="560"/>
      </w:pPr>
      <w:r>
        <w:rPr>
          <w:rFonts w:hint="eastAsia"/>
        </w:rPr>
        <w:t>1、凡出入库的材料均应按照出入库登记表进行登记,登记时要根据入库单和领料单如实登记。杜绝舞弊现象,否则-经发现严重处罚。</w:t>
      </w:r>
    </w:p>
    <w:p w14:paraId="77E58FFA">
      <w:pPr>
        <w:ind w:firstLine="560"/>
      </w:pPr>
      <w:r>
        <w:rPr>
          <w:rFonts w:hint="eastAsia"/>
        </w:rPr>
        <w:t>2、出入库登记表是每月盘点的主要依据,-定要严格按照要求填写,字体要清晰,并要严格保管,不能遗失。</w:t>
      </w:r>
    </w:p>
    <w:p w14:paraId="5EDE89DA">
      <w:pPr>
        <w:ind w:firstLine="560"/>
      </w:pPr>
      <w:r>
        <w:rPr>
          <w:rFonts w:hint="eastAsia"/>
        </w:rPr>
        <w:t>3、材料出入库必须在出入库当天登记台账。</w:t>
      </w:r>
    </w:p>
    <w:p w14:paraId="1A62C157">
      <w:pPr>
        <w:ind w:firstLine="560"/>
      </w:pPr>
      <w:r>
        <w:rPr>
          <w:rFonts w:hint="eastAsia"/>
        </w:rPr>
        <w:t>4、严禁随意修改台账。</w:t>
      </w:r>
    </w:p>
    <w:p w14:paraId="35EA3156">
      <w:pPr>
        <w:ind w:firstLine="560"/>
      </w:pPr>
      <w:r>
        <w:rPr>
          <w:rFonts w:hint="eastAsia"/>
        </w:rPr>
        <w:t>（五）现场材料盘点，</w:t>
      </w:r>
    </w:p>
    <w:p w14:paraId="13231269">
      <w:pPr>
        <w:ind w:firstLine="560"/>
      </w:pPr>
      <w:r>
        <w:rPr>
          <w:rFonts w:hint="eastAsia"/>
        </w:rPr>
        <w:t>1、仓管员必须做到现场库存材料账实相符,两周需盘点-次。</w:t>
      </w:r>
    </w:p>
    <w:p w14:paraId="5F02F621">
      <w:pPr>
        <w:ind w:firstLine="560"/>
      </w:pPr>
      <w:r>
        <w:rPr>
          <w:rFonts w:hint="eastAsia"/>
        </w:rPr>
        <w:t>2、财务人员根据工作安排,可随时抽盘现场材料。</w:t>
      </w:r>
    </w:p>
    <w:p w14:paraId="78DD4440">
      <w:pPr>
        <w:ind w:firstLine="560"/>
      </w:pPr>
      <w:r>
        <w:rPr>
          <w:rFonts w:hint="eastAsia"/>
        </w:rPr>
        <w:t>六、奖惩规定</w:t>
      </w:r>
    </w:p>
    <w:p w14:paraId="4F3D5713">
      <w:pPr>
        <w:ind w:firstLine="560"/>
      </w:pPr>
      <w:r>
        <w:rPr>
          <w:rFonts w:hint="eastAsia"/>
        </w:rPr>
        <w:t>1、吃回扣、多开收据或发票都是违法行为,凡经查实,处以10倍罚款,严重的移交司法机关处。</w:t>
      </w:r>
    </w:p>
    <w:p w14:paraId="7F7701DE">
      <w:pPr>
        <w:ind w:firstLine="560"/>
      </w:pPr>
      <w:r>
        <w:rPr>
          <w:rFonts w:hint="eastAsia"/>
        </w:rPr>
        <w:t>2、凡发现工地材料浪费现象,当事人按材料价格处罚。</w:t>
      </w:r>
    </w:p>
    <w:p w14:paraId="5FF63B2F">
      <w:pPr>
        <w:ind w:firstLine="560"/>
      </w:pPr>
      <w:r>
        <w:rPr>
          <w:rFonts w:hint="eastAsia"/>
        </w:rPr>
        <w:t>3、凡发现舞弊或偷窃行为按材料价格5倍处罚。</w:t>
      </w:r>
    </w:p>
    <w:p w14:paraId="3DFDEDC5">
      <w:pPr>
        <w:pStyle w:val="3"/>
      </w:pPr>
      <w:bookmarkStart w:id="12080" w:name="_Toc8428"/>
      <w:bookmarkStart w:id="12081" w:name="_Toc19057"/>
      <w:bookmarkStart w:id="12082" w:name="_Toc17787"/>
      <w:bookmarkStart w:id="12083" w:name="_Toc10681"/>
      <w:r>
        <w:rPr>
          <w:rFonts w:hint="eastAsia"/>
        </w:rPr>
        <w:t>第三节、公司技术支持方案</w:t>
      </w:r>
      <w:bookmarkEnd w:id="12080"/>
      <w:bookmarkEnd w:id="12081"/>
      <w:bookmarkEnd w:id="12082"/>
      <w:bookmarkEnd w:id="12083"/>
    </w:p>
    <w:p w14:paraId="5A46F883">
      <w:pPr>
        <w:pStyle w:val="4"/>
        <w:spacing w:before="93" w:after="31"/>
      </w:pPr>
      <w:bookmarkStart w:id="12084" w:name="_Toc24782"/>
      <w:bookmarkStart w:id="12085" w:name="_Toc2125"/>
      <w:bookmarkStart w:id="12086" w:name="_Toc22194"/>
      <w:bookmarkStart w:id="12087" w:name="_Toc19126"/>
      <w:r>
        <w:rPr>
          <w:rFonts w:hint="eastAsia"/>
        </w:rPr>
        <w:t>一、供水管网GIS信息系统</w:t>
      </w:r>
      <w:bookmarkEnd w:id="12084"/>
      <w:bookmarkEnd w:id="12085"/>
      <w:bookmarkEnd w:id="12086"/>
      <w:bookmarkEnd w:id="12087"/>
    </w:p>
    <w:p w14:paraId="202FC387">
      <w:pPr>
        <w:ind w:firstLine="560"/>
      </w:pPr>
      <w:r>
        <w:rPr>
          <w:rFonts w:hint="eastAsia"/>
        </w:rPr>
        <w:t>1.实用性：系统设计充分考虑具体情况和实际需要。性能稳定、可靠，人机界面友好，易操作性强，输入输出方便，图表生成美观，检索查询简单快捷，帮助信息完整。</w:t>
      </w:r>
    </w:p>
    <w:p w14:paraId="0B8823E4">
      <w:pPr>
        <w:ind w:firstLine="560"/>
      </w:pPr>
      <w:r>
        <w:rPr>
          <w:rFonts w:hint="eastAsia"/>
        </w:rPr>
        <w:t>2.开放性：系统开放数据接口，支持与第三方软件的数据共享和交换。将来能提供和营业收费系统、生产调度系统、管网建模、管网GPS系统、报装系统、热线系统等第三方软件的接口。</w:t>
      </w:r>
    </w:p>
    <w:p w14:paraId="347330B1">
      <w:pPr>
        <w:ind w:firstLine="560"/>
      </w:pPr>
      <w:r>
        <w:rPr>
          <w:rFonts w:hint="eastAsia"/>
        </w:rPr>
        <w:t>3.扩展性：系统应具有可扩展性和易维护性。系统设计和开发应采用模块化、结构化的思路，适应业务管理规则的变更，提供灵活定制功能，能方便地进行系统升级和功能扩充。</w:t>
      </w:r>
    </w:p>
    <w:p w14:paraId="736A4B7D">
      <w:pPr>
        <w:ind w:firstLine="560"/>
      </w:pPr>
      <w:r>
        <w:rPr>
          <w:rFonts w:hint="eastAsia"/>
        </w:rPr>
        <w:t>4.安全性：按照公司情况与相关业务标准，建立统一的组织机构、用户认证以及权限安全管理。系统进行严格的安全机制设置，拒绝任何非法用户进入系统和合法用户的越权操作，避免系统遭到破坏，防止系统数据被窃取和篡改。</w:t>
      </w:r>
    </w:p>
    <w:p w14:paraId="55B4F557">
      <w:pPr>
        <w:ind w:firstLine="560"/>
      </w:pPr>
      <w:r>
        <w:rPr>
          <w:rFonts w:hint="eastAsia"/>
        </w:rPr>
        <w:t>5.可靠性：系统具备数据自动备份和数据恢复技术。提供简单快速的系统自修复功能。系统支持7×24小时运行，在出现异常或受到攻击时，出现系统宕机情况，有相应的应急解决方案。</w:t>
      </w:r>
    </w:p>
    <w:p w14:paraId="27C7AD62">
      <w:pPr>
        <w:ind w:firstLine="560"/>
      </w:pPr>
      <w:r>
        <w:rPr>
          <w:rFonts w:hint="eastAsia"/>
        </w:rPr>
        <w:t>6.处理能力：一般图形查询及浏览响应时间小于5秒，非空间数据操作响应时间小于3秒；在数据上传、数据下载、查询、验证等操作方面，系统响应时间小于3秒；满足至少50个用户的并发访问的性能需求；系统能支持8000公里以上管线数据信息和海量地形图或遥感影像数据，保证数据能快读、准确的传送。</w:t>
      </w:r>
    </w:p>
    <w:p w14:paraId="1BF33B07">
      <w:pPr>
        <w:ind w:firstLine="560"/>
      </w:pPr>
      <w:r>
        <w:rPr>
          <w:rFonts w:hint="eastAsia"/>
        </w:rPr>
        <w:t>7.处理精度：一般坐标满足小数点后3位，高程和埋深等保留小数点后2位。</w:t>
      </w:r>
    </w:p>
    <w:p w14:paraId="6F75928D">
      <w:pPr>
        <w:pStyle w:val="4"/>
        <w:spacing w:before="93" w:after="31"/>
      </w:pPr>
      <w:bookmarkStart w:id="12088" w:name="_Toc30444"/>
      <w:bookmarkStart w:id="12089" w:name="_Toc24029"/>
      <w:bookmarkStart w:id="12090" w:name="_Toc14205"/>
      <w:bookmarkStart w:id="12091" w:name="_Toc27864"/>
      <w:r>
        <w:rPr>
          <w:rFonts w:hint="eastAsia"/>
        </w:rPr>
        <w:t>二、系统总体设计</w:t>
      </w:r>
      <w:bookmarkEnd w:id="12088"/>
      <w:bookmarkEnd w:id="12089"/>
      <w:bookmarkEnd w:id="12090"/>
      <w:bookmarkEnd w:id="12091"/>
    </w:p>
    <w:p w14:paraId="25B7DDFA">
      <w:pPr>
        <w:ind w:firstLine="560"/>
      </w:pPr>
      <w:r>
        <w:rPr>
          <w:rFonts w:hint="eastAsia"/>
        </w:rPr>
        <w:t>1.系统总体结构</w:t>
      </w:r>
    </w:p>
    <w:p w14:paraId="46AAFC95">
      <w:pPr>
        <w:ind w:firstLine="560"/>
      </w:pPr>
      <w:r>
        <w:rPr>
          <w:rFonts w:hint="eastAsia"/>
        </w:rPr>
        <w:t>供水管网GIS信息系统是一个开放性的系统，多个业务应用模块并行运行，同时还要保证各模块的信息共享，数据一致，鉴于此，本系统将是一个多层结构的系统。从系统的体系结构上，可以分为基础层、数据层、应用支撑层、应用层、网络层、客户层。</w:t>
      </w:r>
    </w:p>
    <w:p w14:paraId="0329E4ED">
      <w:pPr>
        <w:ind w:firstLine="560"/>
      </w:pPr>
      <w:r>
        <w:rPr>
          <w:rFonts w:hint="eastAsia"/>
        </w:rPr>
        <w:t>基础层：包括建设本系统所需要的硬件基础和软件基础。硬件包括服务器、存储设备、UPS、防火墙等，软件基础包括操作系统、GIS平台、数据库软件等等。</w:t>
      </w:r>
    </w:p>
    <w:p w14:paraId="2BA034B9">
      <w:pPr>
        <w:ind w:firstLine="560"/>
      </w:pPr>
      <w:r>
        <w:rPr>
          <w:rFonts w:hint="eastAsia"/>
        </w:rPr>
        <w:t>数据层：本部分是系统用到的信息数据，包括基础地形数据（数字线划矢量图）、管线数据、水表普查数据以及相应的综合信息数据。</w:t>
      </w:r>
    </w:p>
    <w:p w14:paraId="3E611342">
      <w:pPr>
        <w:ind w:firstLine="560"/>
      </w:pPr>
      <w:r>
        <w:rPr>
          <w:rFonts w:hint="eastAsia"/>
        </w:rPr>
        <w:t>应用支撑层：应用支撑层介于数据层和应用层之间，为应用层提供必要的基础服务。该层包括数据访问服务、接口服务、安全控制、日志服务等。其中数据访问服务负责对数据库的读、写操作，是应用层与数据库的交互桥梁；接口服务可以给第三方软件（如营业收费系统、生产调度系统等）提供功能调用接口；安全控制负责系统的角色和权限管理；日志服务记录系统的各类操作，保证系统运行的安全性。</w:t>
      </w:r>
    </w:p>
    <w:p w14:paraId="1DEDFA1E">
      <w:pPr>
        <w:ind w:firstLine="560"/>
      </w:pPr>
      <w:r>
        <w:rPr>
          <w:rFonts w:hint="eastAsia"/>
        </w:rPr>
        <w:t>应用层：本层包含了数据管理（包括数据建库和更新、数据编辑、数据维护和变更等）、地图操作、地图视图（包含二维视图和三维视图）、查询统计、管网养护、管网设计、专业管理、出图打印、管网WebGIS、系统管理等功能的各个应用模块。</w:t>
      </w:r>
    </w:p>
    <w:p w14:paraId="71A5CE77">
      <w:pPr>
        <w:ind w:firstLine="560"/>
      </w:pPr>
      <w:r>
        <w:rPr>
          <w:rFonts w:hint="eastAsia"/>
        </w:rPr>
        <w:t>网络层：本地用户可以通过局域网连接系统，部分信息和报表可在企业内部网（Intranet）通过IE浏览器进行浏览查询。</w:t>
      </w:r>
    </w:p>
    <w:p w14:paraId="6D6DAC0C">
      <w:pPr>
        <w:ind w:firstLine="560"/>
      </w:pPr>
      <w:r>
        <w:rPr>
          <w:rFonts w:hint="eastAsia"/>
        </w:rPr>
        <w:t>用户层：系统用户可划分为4类角色：系统管理员、数据管理员、部门用户、相关授权用户。系统管理员拥有最高系统运行控制权限，但不具备系统业务操作权限；数据管理员拥有全部的系统业务操作权限，包括数据管理功能，但不拥有最高系统运行控制权限；部门用户具有与自己部门职责/业务相关的部分功能；相关授权用户指在部门用户的基础之上，具有额外的相关权限的用户。</w:t>
      </w:r>
    </w:p>
    <w:p w14:paraId="36D007E1">
      <w:pPr>
        <w:ind w:firstLine="560"/>
      </w:pPr>
      <w:r>
        <w:rPr>
          <w:rFonts w:hint="eastAsia"/>
        </w:rPr>
        <w:t>系统总体结构如下图所示：</w:t>
      </w:r>
    </w:p>
    <w:p w14:paraId="48578AE8">
      <w:pPr>
        <w:pStyle w:val="18"/>
      </w:pPr>
      <w:r>
        <w:object>
          <v:shape id="_x0000_i1025" o:spt="75" type="#_x0000_t75" style="height:322.5pt;width:339pt;" o:ole="t" filled="f" o:preferrelative="t" stroked="f" coordsize="21600,21600">
            <v:path/>
            <v:fill on="f" focussize="0,0"/>
            <v:stroke on="f"/>
            <v:imagedata r:id="rId99" grayscale="t" o:title=""/>
            <o:lock v:ext="edit" aspectratio="t"/>
            <w10:wrap type="none"/>
            <w10:anchorlock/>
          </v:shape>
          <o:OLEObject Type="Embed" ProgID="Visio.Drawing.11" ShapeID="_x0000_i1025" DrawAspect="Content" ObjectID="_1468075725" r:id="rId98">
            <o:LockedField>false</o:LockedField>
          </o:OLEObject>
        </w:object>
      </w:r>
    </w:p>
    <w:p w14:paraId="5062C169">
      <w:pPr>
        <w:pStyle w:val="18"/>
        <w:rPr>
          <w:u w:val="double"/>
          <w:lang w:val="en-US"/>
        </w:rPr>
      </w:pPr>
      <w:r>
        <w:rPr>
          <w:rFonts w:hint="eastAsia"/>
          <w:u w:val="double"/>
          <w:lang w:val="en-US"/>
        </w:rPr>
        <w:t>供水管网GIS信息系统总体结构图</w:t>
      </w:r>
    </w:p>
    <w:p w14:paraId="2239294F">
      <w:pPr>
        <w:ind w:firstLine="560"/>
      </w:pPr>
      <w:r>
        <w:rPr>
          <w:rFonts w:hint="eastAsia"/>
        </w:rPr>
        <w:t>2.软件体系结构</w:t>
      </w:r>
    </w:p>
    <w:p w14:paraId="6944F483">
      <w:pPr>
        <w:ind w:firstLine="560"/>
      </w:pPr>
      <w:r>
        <w:rPr>
          <w:rFonts w:hint="eastAsia"/>
        </w:rPr>
        <w:t>系统的软件配置方案建立在通用的Windows基础上，通过面向对象的可视化开发平台，利用开发接口与协议连接大型关系型数据平台与GIS平台，从而构建供水管网GIS信息系统。</w:t>
      </w:r>
    </w:p>
    <w:p w14:paraId="25B9DCF2">
      <w:pPr>
        <w:ind w:firstLine="560"/>
      </w:pPr>
      <w:r>
        <w:rPr>
          <w:rFonts w:hint="eastAsia"/>
        </w:rPr>
        <w:t>系统服务器选用Windows2008操作系统，客户端支持Windows7/XP操作系统；开发环境选择微软DotNet平台及C#开发语言，其中WebGIS的开发采用ArcGISforFlexAPI；系统数据库平台采用微软；GIS平台采用ESRI公司的ArcGIS9.3.1；WebGIS部分支持微软IE6.0及以上浏览器。</w:t>
      </w:r>
    </w:p>
    <w:p w14:paraId="28A58023">
      <w:pPr>
        <w:ind w:firstLine="560"/>
      </w:pPr>
      <w:r>
        <w:rPr>
          <w:rFonts w:hint="eastAsia"/>
        </w:rPr>
        <w:t>选择MicrosoftWindows系列操作系统作为本系统项目的操作系统，因为它是一个功能强大、多用途的操作系统。它的界面友好、应用广大，其易用性、灵活性以及通讯服务能最大程度地满足各种规模的管理和应用环境的需要。目前Windows操作系统在中国成为了最流行的选择，除了投资小以外，最主要的是基于Windows应用平台有一整套非常成功的应用解决方案，而且，各种大型的应用软件基本都支持Windows，系统的成功应用有较大保证。</w:t>
      </w:r>
    </w:p>
    <w:p w14:paraId="2101D207">
      <w:pPr>
        <w:ind w:firstLine="560"/>
      </w:pPr>
      <w:r>
        <w:rPr>
          <w:rFonts w:hint="eastAsia"/>
        </w:rPr>
        <w:t>3.系统部署架构</w:t>
      </w:r>
    </w:p>
    <w:p w14:paraId="2DA5B8F1">
      <w:pPr>
        <w:ind w:firstLine="560"/>
      </w:pPr>
      <w:r>
        <w:rPr>
          <w:rFonts w:hint="eastAsia"/>
        </w:rPr>
        <w:t>系统采用C/S与B/S架构相结合的运行方式。C/S版系统拥有所有的业务功能，在C/S版系统中，用户按照相关权限对于管网数据的修改，会相应在数据库中所体现和保存。B/S版系统能对C/S版中的数据进行Web发布，并实现浏览、查询、统计、打印、爆管分析、管网养护、在线标注、系统管理等功能，但不能进行管网数据的修改和维护。在Web访问时，发现管网数据有错误信息时，可以通过信息交互将错误信息进行录入，相关人员查询到错误信息后，在C/S系统中进行管网数据的修改。</w:t>
      </w:r>
    </w:p>
    <w:p w14:paraId="1691FE3E">
      <w:pPr>
        <w:ind w:firstLine="560"/>
      </w:pPr>
      <w:r>
        <w:rPr>
          <w:rFonts w:hint="eastAsia"/>
        </w:rPr>
        <w:t>系统部署结构图如下：</w:t>
      </w:r>
    </w:p>
    <w:p w14:paraId="2E9A7B93">
      <w:pPr>
        <w:pStyle w:val="18"/>
      </w:pPr>
      <w:r>
        <w:object>
          <v:shape id="_x0000_i1026" o:spt="75" type="#_x0000_t75" style="height:364.5pt;width:319.5pt;" o:ole="t" filled="f" o:preferrelative="t" stroked="f" coordsize="21600,21600">
            <v:path/>
            <v:fill on="f" focussize="0,0"/>
            <v:stroke on="f"/>
            <v:imagedata r:id="rId101" grayscale="t" o:title=""/>
            <o:lock v:ext="edit" aspectratio="t"/>
            <w10:wrap type="none"/>
            <w10:anchorlock/>
          </v:shape>
          <o:OLEObject Type="Embed" ProgID="Visio.Drawing.11" ShapeID="_x0000_i1026" DrawAspect="Content" ObjectID="_1468075726" r:id="rId100">
            <o:LockedField>false</o:LockedField>
          </o:OLEObject>
        </w:object>
      </w:r>
    </w:p>
    <w:p w14:paraId="657E34C0">
      <w:pPr>
        <w:ind w:firstLine="560"/>
      </w:pPr>
      <w:r>
        <w:rPr>
          <w:rFonts w:hint="eastAsia"/>
        </w:rPr>
        <w:t>系统功能体系</w:t>
      </w:r>
    </w:p>
    <w:p w14:paraId="4725A251">
      <w:pPr>
        <w:ind w:firstLine="560"/>
      </w:pPr>
      <w:r>
        <w:rPr>
          <w:rFonts w:hint="eastAsia"/>
        </w:rPr>
        <w:t>依据系统的需求，整个系统划分为以下20个功能模块。这些功能模块又划分为两个层次，第一层次是基础模块，第二层次是应用模块。基础模块是系统的中间层，是通用功能部件，应用模块是由基础模块根据业务特点搭建起来的。</w:t>
      </w:r>
    </w:p>
    <w:p w14:paraId="049E0EAA">
      <w:pPr>
        <w:ind w:firstLine="560"/>
      </w:pPr>
      <w:r>
        <w:rPr>
          <w:rFonts w:hint="eastAsia"/>
        </w:rPr>
        <w:t>基础模块主要包括坐标转换模块、格式转换模块、数据库访问模块、数据编辑模块、三维可视化模块、空间定位模块、空间分析模块、权限控制模块、日志记录模块等。对于用户而言，基础模块是隐蔽的，不可见的。</w:t>
      </w:r>
    </w:p>
    <w:p w14:paraId="7468A37F">
      <w:pPr>
        <w:ind w:firstLine="560"/>
      </w:pPr>
      <w:r>
        <w:rPr>
          <w:rFonts w:hint="eastAsia"/>
        </w:rPr>
        <w:t>应用模块包括数据地图操作、地图视图、查询统计、管网养护、管网设计、出图打印、网络信息发布、三维管网浏览、数据管理、专业管理、系统管理等。对于用户而言，应用模块是用户操作直接面对的实体，是可见的。</w:t>
      </w:r>
    </w:p>
    <w:p w14:paraId="59A100BE">
      <w:pPr>
        <w:ind w:firstLine="560"/>
      </w:pPr>
      <w:r>
        <w:rPr>
          <w:rFonts w:hint="eastAsia"/>
        </w:rPr>
        <w:t>基础模块与应用模块之间的通信与交互通过数据管理机制、数据转换、数据共享标准、业务逻辑以及接口、组件和协议来控制和实现。</w:t>
      </w:r>
    </w:p>
    <w:p w14:paraId="3154AFDC">
      <w:pPr>
        <w:ind w:firstLine="560"/>
      </w:pPr>
      <w:r>
        <w:rPr>
          <w:rFonts w:hint="eastAsia"/>
        </w:rPr>
        <w:t>系统功能体系图如下：</w:t>
      </w:r>
    </w:p>
    <w:p w14:paraId="660E8579">
      <w:pPr>
        <w:pStyle w:val="18"/>
        <w:rPr>
          <w:color w:val="000000"/>
        </w:rPr>
      </w:pPr>
      <w:r>
        <w:rPr>
          <w:color w:val="000000"/>
        </w:rPr>
        <w:object>
          <v:shape id="_x0000_i1027" o:spt="75" type="#_x0000_t75" style="height:283.5pt;width:382.5pt;" o:ole="t" filled="f" o:preferrelative="t" stroked="f" coordsize="21600,21600">
            <v:path/>
            <v:fill on="f" focussize="0,0"/>
            <v:stroke on="f"/>
            <v:imagedata r:id="rId103" grayscale="t" o:title=""/>
            <o:lock v:ext="edit" aspectratio="t"/>
            <w10:wrap type="none"/>
            <w10:anchorlock/>
          </v:shape>
          <o:OLEObject Type="Embed" ProgID="Visio.Drawing.11" ShapeID="_x0000_i1027" DrawAspect="Content" ObjectID="_1468075727" r:id="rId102">
            <o:LockedField>false</o:LockedField>
          </o:OLEObject>
        </w:object>
      </w:r>
    </w:p>
    <w:p w14:paraId="72BCB79B">
      <w:pPr>
        <w:pStyle w:val="4"/>
        <w:spacing w:before="93" w:after="31"/>
      </w:pPr>
      <w:bookmarkStart w:id="12092" w:name="_Toc19472"/>
      <w:bookmarkStart w:id="12093" w:name="_Toc23596"/>
      <w:bookmarkStart w:id="12094" w:name="_Toc21180"/>
      <w:bookmarkStart w:id="12095" w:name="_Toc3229"/>
      <w:r>
        <w:rPr>
          <w:rFonts w:hint="eastAsia"/>
        </w:rPr>
        <w:t>三、系统功能设计</w:t>
      </w:r>
      <w:bookmarkEnd w:id="12092"/>
      <w:bookmarkEnd w:id="12093"/>
      <w:bookmarkEnd w:id="12094"/>
      <w:bookmarkEnd w:id="12095"/>
    </w:p>
    <w:p w14:paraId="62DA94B1">
      <w:pPr>
        <w:ind w:firstLine="560"/>
      </w:pPr>
      <w:r>
        <w:rPr>
          <w:rFonts w:hint="eastAsia"/>
        </w:rPr>
        <w:t>供水管网GIS信息系统C/S版功能主要分为数据管理、图形管理与应用、查询统计、专业管理与应用分析、管网设计、管网养护、出图打印、系统管理等8大模块，如下图所示：</w:t>
      </w:r>
    </w:p>
    <w:p w14:paraId="4203D585">
      <w:pPr>
        <w:pStyle w:val="18"/>
        <w:rPr>
          <w:lang w:val="en-US"/>
        </w:rPr>
      </w:pPr>
      <w:r>
        <w:rPr>
          <w:lang w:val="en-US" w:bidi="ar-SA"/>
        </w:rPr>
        <w:drawing>
          <wp:inline distT="0" distB="0" distL="114300" distR="114300">
            <wp:extent cx="3077210" cy="4244340"/>
            <wp:effectExtent l="0" t="0" r="8890" b="3810"/>
            <wp:docPr id="1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8"/>
                    <pic:cNvPicPr>
                      <a:picLocks noChangeAspect="1"/>
                    </pic:cNvPicPr>
                  </pic:nvPicPr>
                  <pic:blipFill>
                    <a:blip r:embed="rId104">
                      <a:grayscl/>
                    </a:blip>
                    <a:stretch>
                      <a:fillRect/>
                    </a:stretch>
                  </pic:blipFill>
                  <pic:spPr>
                    <a:xfrm>
                      <a:off x="0" y="0"/>
                      <a:ext cx="3077210" cy="4244340"/>
                    </a:xfrm>
                    <a:prstGeom prst="rect">
                      <a:avLst/>
                    </a:prstGeom>
                    <a:noFill/>
                    <a:ln>
                      <a:noFill/>
                    </a:ln>
                  </pic:spPr>
                </pic:pic>
              </a:graphicData>
            </a:graphic>
          </wp:inline>
        </w:drawing>
      </w:r>
    </w:p>
    <w:p w14:paraId="5EDA435A">
      <w:pPr>
        <w:ind w:firstLine="560"/>
      </w:pPr>
      <w:r>
        <w:rPr>
          <w:rFonts w:hint="eastAsia"/>
        </w:rPr>
        <w:t>1.数据管理</w:t>
      </w:r>
    </w:p>
    <w:p w14:paraId="5C31C9FE">
      <w:pPr>
        <w:ind w:firstLine="560"/>
      </w:pPr>
      <w:r>
        <w:rPr>
          <w:rFonts w:hint="eastAsia"/>
        </w:rPr>
        <w:t>（1）外业数据检查</w:t>
      </w:r>
    </w:p>
    <w:p w14:paraId="6E156D22">
      <w:pPr>
        <w:pStyle w:val="18"/>
        <w:rPr>
          <w:lang w:val="en-US"/>
        </w:rPr>
      </w:pPr>
      <w:r>
        <w:rPr>
          <w:lang w:val="en-US" w:bidi="ar-SA"/>
        </w:rPr>
        <w:drawing>
          <wp:inline distT="0" distB="0" distL="114300" distR="114300">
            <wp:extent cx="2883535" cy="2667000"/>
            <wp:effectExtent l="0" t="0" r="12065" b="0"/>
            <wp:docPr id="1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9"/>
                    <pic:cNvPicPr>
                      <a:picLocks noChangeAspect="1"/>
                    </pic:cNvPicPr>
                  </pic:nvPicPr>
                  <pic:blipFill>
                    <a:blip r:embed="rId105">
                      <a:grayscl/>
                    </a:blip>
                    <a:stretch>
                      <a:fillRect/>
                    </a:stretch>
                  </pic:blipFill>
                  <pic:spPr>
                    <a:xfrm>
                      <a:off x="0" y="0"/>
                      <a:ext cx="2883535" cy="2667000"/>
                    </a:xfrm>
                    <a:prstGeom prst="rect">
                      <a:avLst/>
                    </a:prstGeom>
                    <a:noFill/>
                    <a:ln>
                      <a:noFill/>
                    </a:ln>
                  </pic:spPr>
                </pic:pic>
              </a:graphicData>
            </a:graphic>
          </wp:inline>
        </w:drawing>
      </w:r>
    </w:p>
    <w:p w14:paraId="3EE23FC2">
      <w:pPr>
        <w:ind w:firstLine="560"/>
      </w:pPr>
      <w:r>
        <w:rPr>
          <w:rFonts w:hint="eastAsia"/>
        </w:rPr>
        <w:t>外业数据检查功能指对外业提交的成果数据进行入库前的检查。主要包括数据库结构的检查、表之间的关系检查、表字段之间的约束限定，数据的合理性、一致性和完整性等。</w:t>
      </w:r>
    </w:p>
    <w:p w14:paraId="54D5E70F">
      <w:pPr>
        <w:ind w:firstLine="560"/>
      </w:pPr>
      <w:r>
        <w:rPr>
          <w:rFonts w:hint="eastAsia"/>
        </w:rPr>
        <w:t>（2）管网数据建库及更新功能</w:t>
      </w:r>
    </w:p>
    <w:p w14:paraId="1E7D4A64">
      <w:pPr>
        <w:ind w:firstLine="560"/>
      </w:pPr>
      <w:r>
        <w:rPr>
          <w:rFonts w:hint="eastAsia"/>
        </w:rPr>
        <w:t>系统具备多样的数据更新手段，保证系统建立以后能够方便进行数据更新。包括全站仪等测量数据更新，竣工图更新以及数据转换更新。对CAD格式和栅格图片格式的数据能直接导入系统。</w:t>
      </w:r>
    </w:p>
    <w:p w14:paraId="0AE1045D">
      <w:pPr>
        <w:ind w:firstLine="560"/>
      </w:pPr>
      <w:r>
        <w:rPr>
          <w:rFonts w:hint="eastAsia"/>
        </w:rPr>
        <w:t>（3）管网数据编辑功能</w:t>
      </w:r>
    </w:p>
    <w:p w14:paraId="0F7363FD">
      <w:pPr>
        <w:ind w:firstLine="560"/>
      </w:pPr>
      <w:r>
        <w:rPr>
          <w:rFonts w:hint="eastAsia"/>
        </w:rPr>
        <w:t>提供丰富的数据输入入库、输出、检查和维护功能。</w:t>
      </w:r>
    </w:p>
    <w:p w14:paraId="6CF96E79">
      <w:pPr>
        <w:ind w:firstLine="560"/>
      </w:pPr>
      <w:r>
        <w:rPr>
          <w:rFonts w:hint="eastAsia"/>
        </w:rPr>
        <w:t>导入管网数据：导入测量外业采集数据，并根据提供的管网坐标信息，将其转换成管网数据；</w:t>
      </w:r>
    </w:p>
    <w:p w14:paraId="3AF8BB77">
      <w:pPr>
        <w:ind w:firstLine="560"/>
      </w:pPr>
      <w:r>
        <w:rPr>
          <w:rFonts w:hint="eastAsia"/>
        </w:rPr>
        <w:t>管网数据导出：将管网数据导出成其它数据格式（dxf、dwg、jpg、shapefile）；</w:t>
      </w:r>
    </w:p>
    <w:p w14:paraId="367A4E79">
      <w:pPr>
        <w:ind w:firstLine="560"/>
      </w:pPr>
      <w:r>
        <w:rPr>
          <w:rFonts w:hint="eastAsia"/>
        </w:rPr>
        <w:t>数据转换：将不同矢量格式数据进行转换；</w:t>
      </w:r>
    </w:p>
    <w:p w14:paraId="2E18494E">
      <w:pPr>
        <w:ind w:firstLine="560"/>
      </w:pPr>
      <w:r>
        <w:rPr>
          <w:rFonts w:hint="eastAsia"/>
        </w:rPr>
        <w:t>竣工图管理：能显示和管理相关管线工程的竣工图，以便日后查阅；</w:t>
      </w:r>
    </w:p>
    <w:p w14:paraId="6E3F493B">
      <w:pPr>
        <w:ind w:firstLine="560"/>
      </w:pPr>
      <w:r>
        <w:rPr>
          <w:rFonts w:hint="eastAsia"/>
        </w:rPr>
        <w:t>拓扑检查：通过拓扑检查，检查用户在编辑或者导入过程中、甚至测绘工程中出现的非正常数据。包括孤立管线或管点设备的检查，不连通管线数据的检查等；</w:t>
      </w:r>
    </w:p>
    <w:p w14:paraId="71AE774B">
      <w:pPr>
        <w:ind w:firstLine="560"/>
      </w:pPr>
      <w:r>
        <w:rPr>
          <w:rFonts w:hint="eastAsia"/>
        </w:rPr>
        <w:t>多媒体编辑：可以添加、删除、修改管线或管点多媒体信息，编辑完的多媒体信息在地图上显示；</w:t>
      </w:r>
    </w:p>
    <w:p w14:paraId="77FCDEFE">
      <w:pPr>
        <w:ind w:firstLine="560"/>
      </w:pPr>
      <w:r>
        <w:rPr>
          <w:rFonts w:hint="eastAsia"/>
        </w:rPr>
        <w:t>数据维护：维护地图图层的名称对照，可以添加、修改、删除图层数据和对应的属性信息；</w:t>
      </w:r>
    </w:p>
    <w:p w14:paraId="46B2997D">
      <w:pPr>
        <w:ind w:firstLine="560"/>
      </w:pPr>
      <w:r>
        <w:rPr>
          <w:rFonts w:hint="eastAsia"/>
        </w:rPr>
        <w:t>提供基于管网及相关数据的完整的离线编辑模式，能够实现管网数据本身的编辑和回帖过程之外，还能够实现管网相关的附属数据、专题数据、多媒体数据（cad电子数据）、详图数据的编辑和回帖，同时能够在管网数据回帖完成以后，实现自动分层、自动编码和自动标注。</w:t>
      </w:r>
    </w:p>
    <w:p w14:paraId="75203EB8">
      <w:pPr>
        <w:ind w:firstLine="560"/>
      </w:pPr>
      <w:r>
        <w:rPr>
          <w:rFonts w:hint="eastAsia"/>
        </w:rPr>
        <w:t>（4）管网数据维护和变更</w:t>
      </w:r>
    </w:p>
    <w:p w14:paraId="5AF4F996">
      <w:pPr>
        <w:ind w:firstLine="560"/>
      </w:pPr>
      <w:r>
        <w:rPr>
          <w:rFonts w:hint="eastAsia"/>
        </w:rPr>
        <w:t>系统允许任意修改数据结构，满足公司业务变更的需要；系统能够对数据的错误进行检查和自动校正，保证数据的完整性；系统中各类管网设备的图示符号可以任意修改调整，提供系统线型库、符号库、填充库等管理。</w:t>
      </w:r>
    </w:p>
    <w:p w14:paraId="6D5F40DE">
      <w:pPr>
        <w:ind w:firstLine="560"/>
      </w:pPr>
      <w:r>
        <w:rPr>
          <w:rFonts w:hint="eastAsia"/>
        </w:rPr>
        <w:t>2.图形管理与应用</w:t>
      </w:r>
    </w:p>
    <w:p w14:paraId="0EA3AB0C">
      <w:pPr>
        <w:ind w:firstLine="560"/>
      </w:pPr>
      <w:r>
        <w:rPr>
          <w:rFonts w:hint="eastAsia"/>
        </w:rPr>
        <w:t>（1）地图操作管理</w:t>
      </w:r>
    </w:p>
    <w:p w14:paraId="76A711DB">
      <w:pPr>
        <w:ind w:firstLine="560"/>
      </w:pPr>
      <w:r>
        <w:rPr>
          <w:rFonts w:hint="eastAsia"/>
        </w:rPr>
        <w:t>支持地形图和管线数据的各类地图操作，便于快速浏览所需地图，软件界面美观。具体包括如下功能：</w:t>
      </w:r>
    </w:p>
    <w:p w14:paraId="4C3449E9">
      <w:pPr>
        <w:ind w:firstLine="560"/>
      </w:pPr>
      <w:r>
        <w:rPr>
          <w:rFonts w:hint="eastAsia"/>
        </w:rPr>
        <w:t>地形图矢量化建库、地形图修改编辑；</w:t>
      </w:r>
    </w:p>
    <w:p w14:paraId="58CC24F2">
      <w:pPr>
        <w:ind w:firstLine="560"/>
      </w:pPr>
      <w:r>
        <w:rPr>
          <w:rFonts w:hint="eastAsia"/>
        </w:rPr>
        <w:t>地图缩放：包括放大、缩小、全幅显示；</w:t>
      </w:r>
    </w:p>
    <w:p w14:paraId="4673F0C8">
      <w:pPr>
        <w:ind w:firstLine="560"/>
      </w:pPr>
      <w:r>
        <w:rPr>
          <w:rFonts w:hint="eastAsia"/>
        </w:rPr>
        <w:t>漫游：地图移动；</w:t>
      </w:r>
    </w:p>
    <w:p w14:paraId="574C557E">
      <w:pPr>
        <w:ind w:firstLine="560"/>
      </w:pPr>
      <w:r>
        <w:rPr>
          <w:rFonts w:hint="eastAsia"/>
        </w:rPr>
        <w:t>量算：包括距离、面积、角度量算；</w:t>
      </w:r>
    </w:p>
    <w:p w14:paraId="7ACA4D67">
      <w:pPr>
        <w:ind w:firstLine="560"/>
      </w:pPr>
      <w:r>
        <w:rPr>
          <w:rFonts w:hint="eastAsia"/>
        </w:rPr>
        <w:t>图层控制：控制图层在窗口中是否正常显示；</w:t>
      </w:r>
    </w:p>
    <w:p w14:paraId="60735E61">
      <w:pPr>
        <w:ind w:firstLine="560"/>
      </w:pPr>
      <w:r>
        <w:rPr>
          <w:rFonts w:hint="eastAsia"/>
        </w:rPr>
        <w:t>地图设置：设置地图比例尺、样式和布局；</w:t>
      </w:r>
    </w:p>
    <w:p w14:paraId="34FBDAEB">
      <w:pPr>
        <w:ind w:firstLine="560"/>
      </w:pPr>
      <w:r>
        <w:rPr>
          <w:rFonts w:hint="eastAsia"/>
        </w:rPr>
        <w:t>地图打印：任意比例打印A4-A0图幅的图纸。</w:t>
      </w:r>
    </w:p>
    <w:p w14:paraId="01D6DADA">
      <w:pPr>
        <w:ind w:firstLine="560"/>
      </w:pPr>
      <w:r>
        <w:rPr>
          <w:rFonts w:hint="eastAsia"/>
        </w:rPr>
        <w:t>（2）地图视图</w:t>
      </w:r>
    </w:p>
    <w:p w14:paraId="13635AA7">
      <w:pPr>
        <w:ind w:firstLine="560"/>
      </w:pPr>
      <w:r>
        <w:rPr>
          <w:rFonts w:hint="eastAsia"/>
        </w:rPr>
        <w:t>提供丰富的地下管线显示方法，能全方位了解地下管线分布情况和属性信息。</w:t>
      </w:r>
    </w:p>
    <w:p w14:paraId="6B5B7C77">
      <w:pPr>
        <w:ind w:firstLine="560"/>
      </w:pPr>
      <w:r>
        <w:rPr>
          <w:rFonts w:hint="eastAsia"/>
        </w:rPr>
        <w:t>横断面：显示某路面横截面下管线的铺设情况，及该横截面管线相关属性信息和分布信息；</w:t>
      </w:r>
    </w:p>
    <w:p w14:paraId="63384AAF">
      <w:pPr>
        <w:ind w:firstLine="560"/>
      </w:pPr>
      <w:r>
        <w:rPr>
          <w:rFonts w:hint="eastAsia"/>
        </w:rPr>
        <w:t>纵断面：显示某段管线的走向以及埋深，标高等；</w:t>
      </w:r>
    </w:p>
    <w:p w14:paraId="009014E7">
      <w:pPr>
        <w:ind w:firstLine="560"/>
      </w:pPr>
      <w:r>
        <w:rPr>
          <w:rFonts w:hint="eastAsia"/>
        </w:rPr>
        <w:t>鹰眼：地图导航工具，显示当前在全幅地图中的位置；</w:t>
      </w:r>
    </w:p>
    <w:p w14:paraId="75FA35B8">
      <w:pPr>
        <w:ind w:firstLine="560"/>
      </w:pPr>
      <w:r>
        <w:rPr>
          <w:rFonts w:hint="eastAsia"/>
        </w:rPr>
        <w:t>放大镜：在小比例尺状态下放大显示局部管线和地理信息；</w:t>
      </w:r>
    </w:p>
    <w:p w14:paraId="73FA3C76">
      <w:pPr>
        <w:ind w:firstLine="560"/>
      </w:pPr>
      <w:r>
        <w:rPr>
          <w:rFonts w:hint="eastAsia"/>
        </w:rPr>
        <w:t>具有不失真的图形无级缩放、拖拉漫游、复位以及鹰眼俯视功能。</w:t>
      </w:r>
    </w:p>
    <w:p w14:paraId="16BB412A">
      <w:pPr>
        <w:pStyle w:val="18"/>
      </w:pPr>
      <w:r>
        <w:rPr>
          <w:rFonts w:hint="eastAsia"/>
          <w:lang w:val="en-US" w:bidi="ar-SA"/>
        </w:rPr>
        <w:drawing>
          <wp:inline distT="0" distB="0" distL="114300" distR="114300">
            <wp:extent cx="4697095" cy="3674745"/>
            <wp:effectExtent l="0" t="0" r="8255" b="1905"/>
            <wp:docPr id="1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0"/>
                    <pic:cNvPicPr>
                      <a:picLocks noChangeAspect="1"/>
                    </pic:cNvPicPr>
                  </pic:nvPicPr>
                  <pic:blipFill>
                    <a:blip r:embed="rId106">
                      <a:grayscl/>
                    </a:blip>
                    <a:stretch>
                      <a:fillRect/>
                    </a:stretch>
                  </pic:blipFill>
                  <pic:spPr>
                    <a:xfrm>
                      <a:off x="0" y="0"/>
                      <a:ext cx="4697095" cy="3674745"/>
                    </a:xfrm>
                    <a:prstGeom prst="rect">
                      <a:avLst/>
                    </a:prstGeom>
                    <a:noFill/>
                    <a:ln>
                      <a:noFill/>
                    </a:ln>
                  </pic:spPr>
                </pic:pic>
              </a:graphicData>
            </a:graphic>
          </wp:inline>
        </w:drawing>
      </w:r>
    </w:p>
    <w:p w14:paraId="3668ABFE">
      <w:pPr>
        <w:pStyle w:val="18"/>
        <w:rPr>
          <w:u w:val="double"/>
          <w:lang w:val="en-US"/>
        </w:rPr>
      </w:pPr>
      <w:r>
        <w:rPr>
          <w:rFonts w:hint="eastAsia"/>
          <w:u w:val="double"/>
          <w:lang w:val="en-US"/>
        </w:rPr>
        <w:t>横剖面示意图</w:t>
      </w:r>
    </w:p>
    <w:p w14:paraId="49A9FD85">
      <w:pPr>
        <w:ind w:firstLine="560"/>
      </w:pPr>
      <w:r>
        <w:rPr>
          <w:rFonts w:hint="eastAsia"/>
        </w:rPr>
        <w:t>（3）图形标注</w:t>
      </w:r>
    </w:p>
    <w:p w14:paraId="1687E4A8">
      <w:pPr>
        <w:ind w:firstLine="560"/>
      </w:pPr>
      <w:r>
        <w:rPr>
          <w:rFonts w:hint="eastAsia"/>
        </w:rPr>
        <w:t>提供图形标注功能，允许用户标注感兴趣的点、线或区域并添加相关的图片、文档等各类特征数据，为用户提供个性化的使用体验。</w:t>
      </w:r>
    </w:p>
    <w:p w14:paraId="06AA3481">
      <w:pPr>
        <w:ind w:firstLine="560"/>
      </w:pPr>
      <w:r>
        <w:rPr>
          <w:rFonts w:hint="eastAsia"/>
        </w:rPr>
        <w:t>（4）三维管网浏览</w:t>
      </w:r>
    </w:p>
    <w:p w14:paraId="5E8D4615">
      <w:pPr>
        <w:ind w:firstLine="560"/>
      </w:pPr>
      <w:r>
        <w:rPr>
          <w:rFonts w:hint="eastAsia"/>
        </w:rPr>
        <w:t>三维视图：显示某个指定区域内管线的三维分布情况，并能查询相关管线信息，支持三维视图下管线的缩放、平移、任意角度旋转和属性查询。</w:t>
      </w:r>
    </w:p>
    <w:p w14:paraId="21F0ED5E">
      <w:pPr>
        <w:pStyle w:val="18"/>
      </w:pPr>
      <w:r>
        <w:rPr>
          <w:lang w:val="en-US" w:bidi="ar-SA"/>
        </w:rPr>
        <w:drawing>
          <wp:inline distT="0" distB="0" distL="114300" distR="114300">
            <wp:extent cx="4324350" cy="2447925"/>
            <wp:effectExtent l="0" t="0" r="0" b="9525"/>
            <wp:docPr id="1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2"/>
                    <pic:cNvPicPr>
                      <a:picLocks noChangeAspect="1"/>
                    </pic:cNvPicPr>
                  </pic:nvPicPr>
                  <pic:blipFill>
                    <a:blip r:embed="rId107">
                      <a:grayscl/>
                    </a:blip>
                    <a:stretch>
                      <a:fillRect/>
                    </a:stretch>
                  </pic:blipFill>
                  <pic:spPr>
                    <a:xfrm>
                      <a:off x="0" y="0"/>
                      <a:ext cx="4324350" cy="2447925"/>
                    </a:xfrm>
                    <a:prstGeom prst="rect">
                      <a:avLst/>
                    </a:prstGeom>
                    <a:noFill/>
                    <a:ln>
                      <a:noFill/>
                    </a:ln>
                  </pic:spPr>
                </pic:pic>
              </a:graphicData>
            </a:graphic>
          </wp:inline>
        </w:drawing>
      </w:r>
    </w:p>
    <w:p w14:paraId="447D4656">
      <w:pPr>
        <w:pStyle w:val="18"/>
        <w:rPr>
          <w:u w:val="double"/>
          <w:lang w:val="en-US"/>
        </w:rPr>
      </w:pPr>
      <w:r>
        <w:rPr>
          <w:rFonts w:hint="eastAsia"/>
          <w:szCs w:val="24"/>
          <w:u w:val="double"/>
        </w:rPr>
        <w:t>管线三维浏览示意图</w:t>
      </w:r>
    </w:p>
    <w:p w14:paraId="21DB7536">
      <w:pPr>
        <w:ind w:firstLine="560"/>
      </w:pPr>
      <w:r>
        <w:rPr>
          <w:rFonts w:hint="eastAsia"/>
        </w:rPr>
        <w:t>3.查询统计</w:t>
      </w:r>
    </w:p>
    <w:p w14:paraId="063D7FAD">
      <w:pPr>
        <w:ind w:firstLine="560"/>
      </w:pPr>
      <w:r>
        <w:rPr>
          <w:rFonts w:hint="eastAsia"/>
        </w:rPr>
        <w:t>（1）管网查询与定位</w:t>
      </w:r>
    </w:p>
    <w:p w14:paraId="147D1C0A">
      <w:pPr>
        <w:ind w:firstLine="560"/>
      </w:pPr>
      <w:r>
        <w:rPr>
          <w:rFonts w:hint="eastAsia"/>
        </w:rPr>
        <w:t>管网查询的目标主要为管网及其附属设施。查询的方式分为两种，根据图形查属性和根据属性查图形。</w:t>
      </w:r>
    </w:p>
    <w:p w14:paraId="5E7A742E">
      <w:pPr>
        <w:ind w:firstLine="560"/>
      </w:pPr>
      <w:r>
        <w:rPr>
          <w:rFonts w:hint="eastAsia"/>
        </w:rPr>
        <w:t>根据地图窗口的管线、管点等空间对象，显示属性表格，浏览全部属性项，此类查询包括以下几种：</w:t>
      </w:r>
    </w:p>
    <w:p w14:paraId="19FB04D0">
      <w:pPr>
        <w:ind w:firstLine="560"/>
      </w:pPr>
      <w:r>
        <w:rPr>
          <w:rFonts w:hint="eastAsia"/>
        </w:rPr>
        <w:t>区域选择：根据需要在全幅地图中进行区域选择查询，以便缩小查询范围；</w:t>
      </w:r>
    </w:p>
    <w:p w14:paraId="269019C8">
      <w:pPr>
        <w:ind w:firstLine="560"/>
      </w:pPr>
      <w:r>
        <w:rPr>
          <w:rFonts w:hint="eastAsia"/>
        </w:rPr>
        <w:t>点选查询：单个选中元素进行查询属性信息；</w:t>
      </w:r>
    </w:p>
    <w:p w14:paraId="3C45C276">
      <w:pPr>
        <w:ind w:firstLine="560"/>
      </w:pPr>
      <w:r>
        <w:rPr>
          <w:rFonts w:hint="eastAsia"/>
        </w:rPr>
        <w:t>选择查询：提供矩形、圆形、任意多边形等区域的查询。</w:t>
      </w:r>
    </w:p>
    <w:p w14:paraId="7EA43028">
      <w:pPr>
        <w:ind w:firstLine="560"/>
      </w:pPr>
      <w:r>
        <w:rPr>
          <w:rFonts w:hint="eastAsia"/>
        </w:rPr>
        <w:t>属性分类查询：根据管线、管点的属性信息进行分类查询</w:t>
      </w:r>
    </w:p>
    <w:p w14:paraId="31F3B3FB">
      <w:pPr>
        <w:ind w:firstLine="560"/>
      </w:pPr>
      <w:r>
        <w:rPr>
          <w:rFonts w:hint="eastAsia"/>
        </w:rPr>
        <w:t>属性查图形：根据安装日期、管径、道路名、管网设施信息等属性模糊查询，能够直接定位至空间对象，并高亮度显示，此类查询包括以下几种：</w:t>
      </w:r>
    </w:p>
    <w:p w14:paraId="0FA26781">
      <w:pPr>
        <w:ind w:firstLine="560"/>
      </w:pPr>
      <w:r>
        <w:rPr>
          <w:rFonts w:hint="eastAsia"/>
        </w:rPr>
        <w:t>属性分类查询：根据管线、管点对象的属性信息查询所在空间位置；</w:t>
      </w:r>
    </w:p>
    <w:p w14:paraId="7E325BAC">
      <w:pPr>
        <w:ind w:firstLine="560"/>
      </w:pPr>
      <w:r>
        <w:rPr>
          <w:rFonts w:hint="eastAsia"/>
        </w:rPr>
        <w:t>条件查询：根据设定条件查询对象并定位至空间位置；</w:t>
      </w:r>
    </w:p>
    <w:p w14:paraId="65DBF4BE">
      <w:pPr>
        <w:ind w:firstLine="560"/>
      </w:pPr>
      <w:r>
        <w:rPr>
          <w:rFonts w:hint="eastAsia"/>
        </w:rPr>
        <w:t>模糊查询：不知道具体信息和进行相关信息查询时，给定模糊条件查询出满足此条件的所有空间对象。</w:t>
      </w:r>
    </w:p>
    <w:p w14:paraId="606C6B54">
      <w:pPr>
        <w:ind w:firstLine="560"/>
      </w:pPr>
      <w:r>
        <w:rPr>
          <w:rFonts w:hint="eastAsia"/>
        </w:rPr>
        <w:t>查询方案</w:t>
      </w:r>
    </w:p>
    <w:p w14:paraId="59DEE041">
      <w:pPr>
        <w:ind w:firstLine="560"/>
      </w:pPr>
      <w:r>
        <w:rPr>
          <w:rFonts w:hint="eastAsia"/>
        </w:rPr>
        <w:t>对历史查询方案进行保存和管理，并且可以对存在的查询方案进行编辑，一边将来直接调用。</w:t>
      </w:r>
    </w:p>
    <w:p w14:paraId="4FAAE14D">
      <w:pPr>
        <w:ind w:firstLine="560"/>
      </w:pPr>
      <w:r>
        <w:rPr>
          <w:rFonts w:hint="eastAsia"/>
        </w:rPr>
        <w:t>定位查询</w:t>
      </w:r>
    </w:p>
    <w:p w14:paraId="7659C2CC">
      <w:pPr>
        <w:ind w:firstLine="560"/>
      </w:pPr>
      <w:r>
        <w:rPr>
          <w:rFonts w:hint="eastAsia"/>
        </w:rPr>
        <w:t>定位是一种快捷的查询方式，用户可以根据左边、道路名、图幅、设备编号等方式快速的查询到空间对象从而达到定位目的。</w:t>
      </w:r>
    </w:p>
    <w:p w14:paraId="1C67F096">
      <w:pPr>
        <w:ind w:firstLine="560"/>
      </w:pPr>
      <w:r>
        <w:rPr>
          <w:rFonts w:hint="eastAsia"/>
        </w:rPr>
        <w:t>（2）报表统计</w:t>
      </w:r>
    </w:p>
    <w:p w14:paraId="1E79605C">
      <w:pPr>
        <w:ind w:firstLine="560"/>
      </w:pPr>
      <w:r>
        <w:rPr>
          <w:rFonts w:hint="eastAsia"/>
        </w:rPr>
        <w:t>提供丰富的报表统计方法和专题图表达方法，具体包括：</w:t>
      </w:r>
    </w:p>
    <w:p w14:paraId="12491FF9">
      <w:pPr>
        <w:ind w:firstLine="560"/>
      </w:pPr>
      <w:r>
        <w:rPr>
          <w:rFonts w:hint="eastAsia"/>
        </w:rPr>
        <w:t>全区统计：对全区各种类型的管线、管点信息进行统计报表输出和各类专题图输出；</w:t>
      </w:r>
    </w:p>
    <w:p w14:paraId="2C15AE13">
      <w:pPr>
        <w:ind w:firstLine="560"/>
      </w:pPr>
      <w:r>
        <w:rPr>
          <w:rFonts w:hint="eastAsia"/>
        </w:rPr>
        <w:t>管线统计：按口径、材质、道路、工程、时间等条件对管线长度进行统计和各类专题图输出；</w:t>
      </w:r>
    </w:p>
    <w:p w14:paraId="2CEF700A">
      <w:pPr>
        <w:ind w:firstLine="560"/>
      </w:pPr>
      <w:r>
        <w:rPr>
          <w:rFonts w:hint="eastAsia"/>
        </w:rPr>
        <w:t>设备统计：从道路、工程、时间等条件对设备数量进行统计和各类专题图输出；</w:t>
      </w:r>
    </w:p>
    <w:p w14:paraId="5B382FDA">
      <w:pPr>
        <w:ind w:firstLine="560"/>
      </w:pPr>
      <w:r>
        <w:rPr>
          <w:rFonts w:hint="eastAsia"/>
        </w:rPr>
        <w:t>自定义统计：用户根据自己需要构造统计条件进行统计和各类专题图输出；</w:t>
      </w:r>
    </w:p>
    <w:p w14:paraId="39184170">
      <w:pPr>
        <w:ind w:firstLine="560"/>
      </w:pPr>
      <w:r>
        <w:rPr>
          <w:rFonts w:hint="eastAsia"/>
        </w:rPr>
        <w:t>统计方案管理：对历史统计方案进行保存和管理，并且可以对存在的统计方案进行编辑。</w:t>
      </w:r>
    </w:p>
    <w:p w14:paraId="14D3FA9E">
      <w:pPr>
        <w:ind w:firstLine="560"/>
      </w:pPr>
      <w:r>
        <w:rPr>
          <w:rFonts w:hint="eastAsia"/>
        </w:rPr>
        <w:t>4.专业管理与应用分析</w:t>
      </w:r>
    </w:p>
    <w:p w14:paraId="67F12460">
      <w:pPr>
        <w:ind w:firstLine="560"/>
      </w:pPr>
      <w:r>
        <w:rPr>
          <w:rFonts w:hint="eastAsia"/>
        </w:rPr>
        <w:t>爆管分析：突发爆管时，系统将能够根据水源分布情况以及阀门状态，进行多级关阀处理，找到停水用户和需关闭的阀门，并生成现场抢修图。同时能对爆管事故原因、处理方案和处理结果，能进行保存和管理，便于事故查询和再现。</w:t>
      </w:r>
    </w:p>
    <w:p w14:paraId="58BC7CB5">
      <w:pPr>
        <w:pStyle w:val="18"/>
      </w:pPr>
      <w:r>
        <w:rPr>
          <w:lang w:val="en-US" w:bidi="ar-SA"/>
        </w:rPr>
        <w:drawing>
          <wp:inline distT="0" distB="0" distL="114300" distR="114300">
            <wp:extent cx="2293620" cy="3009265"/>
            <wp:effectExtent l="0" t="0" r="11430" b="635"/>
            <wp:docPr id="1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3"/>
                    <pic:cNvPicPr>
                      <a:picLocks noChangeAspect="1"/>
                    </pic:cNvPicPr>
                  </pic:nvPicPr>
                  <pic:blipFill>
                    <a:blip r:embed="rId108">
                      <a:grayscl/>
                    </a:blip>
                    <a:srcRect l="1006" t="768"/>
                    <a:stretch>
                      <a:fillRect/>
                    </a:stretch>
                  </pic:blipFill>
                  <pic:spPr>
                    <a:xfrm>
                      <a:off x="0" y="0"/>
                      <a:ext cx="2293620" cy="3009265"/>
                    </a:xfrm>
                    <a:prstGeom prst="rect">
                      <a:avLst/>
                    </a:prstGeom>
                    <a:noFill/>
                    <a:ln>
                      <a:noFill/>
                    </a:ln>
                  </pic:spPr>
                </pic:pic>
              </a:graphicData>
            </a:graphic>
          </wp:inline>
        </w:drawing>
      </w:r>
    </w:p>
    <w:p w14:paraId="45C9BA6F">
      <w:pPr>
        <w:ind w:firstLine="560"/>
      </w:pPr>
      <w:r>
        <w:rPr>
          <w:rFonts w:hint="eastAsia"/>
        </w:rPr>
        <w:t>扩大关阀分析：当出现阀门现场无法关闭的现象时，系统能进行二次扩大关阀分析。</w:t>
      </w:r>
    </w:p>
    <w:p w14:paraId="0335569D">
      <w:pPr>
        <w:ind w:firstLine="560"/>
      </w:pPr>
      <w:r>
        <w:rPr>
          <w:rFonts w:hint="eastAsia"/>
        </w:rPr>
        <w:t>受影响用户分析：阀门关闭后，对可能停水的用户进行搜索与分析，提供受影响用户清单。</w:t>
      </w:r>
    </w:p>
    <w:p w14:paraId="3FCEF6AF">
      <w:pPr>
        <w:ind w:firstLine="560"/>
      </w:pPr>
      <w:r>
        <w:rPr>
          <w:rFonts w:hint="eastAsia"/>
        </w:rPr>
        <w:t>连通性分析：根据水源或加压泵站的分步情况，分析管线点设备与水源是否连通，或两个设备之间是否连通，便于检查管线点是否有来水。</w:t>
      </w:r>
    </w:p>
    <w:p w14:paraId="4D0CB786">
      <w:pPr>
        <w:pStyle w:val="18"/>
        <w:rPr>
          <w:rFonts w:ascii="仿宋" w:hAnsi="仿宋" w:eastAsia="仿宋"/>
        </w:rPr>
      </w:pPr>
      <w:r>
        <w:rPr>
          <w:rFonts w:hint="eastAsia" w:ascii="仿宋" w:hAnsi="仿宋" w:eastAsia="仿宋"/>
          <w:lang w:val="en-US" w:bidi="ar-SA"/>
        </w:rPr>
        <w:drawing>
          <wp:inline distT="0" distB="0" distL="114300" distR="114300">
            <wp:extent cx="3437255" cy="2640330"/>
            <wp:effectExtent l="0" t="0" r="10795" b="7620"/>
            <wp:docPr id="1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4"/>
                    <pic:cNvPicPr>
                      <a:picLocks noChangeAspect="1"/>
                    </pic:cNvPicPr>
                  </pic:nvPicPr>
                  <pic:blipFill>
                    <a:blip r:embed="rId109">
                      <a:grayscl/>
                    </a:blip>
                    <a:stretch>
                      <a:fillRect/>
                    </a:stretch>
                  </pic:blipFill>
                  <pic:spPr>
                    <a:xfrm>
                      <a:off x="0" y="0"/>
                      <a:ext cx="3437255" cy="2640330"/>
                    </a:xfrm>
                    <a:prstGeom prst="rect">
                      <a:avLst/>
                    </a:prstGeom>
                    <a:noFill/>
                    <a:ln>
                      <a:noFill/>
                    </a:ln>
                  </pic:spPr>
                </pic:pic>
              </a:graphicData>
            </a:graphic>
          </wp:inline>
        </w:drawing>
      </w:r>
    </w:p>
    <w:p w14:paraId="4E1E482B">
      <w:pPr>
        <w:ind w:firstLine="560"/>
      </w:pPr>
      <w:r>
        <w:rPr>
          <w:rFonts w:hint="eastAsia"/>
        </w:rPr>
        <w:t>5.管网养护</w:t>
      </w:r>
    </w:p>
    <w:p w14:paraId="5B894FE0">
      <w:pPr>
        <w:ind w:firstLine="560"/>
      </w:pPr>
      <w:r>
        <w:rPr>
          <w:rFonts w:hint="eastAsia"/>
        </w:rPr>
        <w:t>（1）设备预警</w:t>
      </w:r>
    </w:p>
    <w:p w14:paraId="7F750F57">
      <w:pPr>
        <w:ind w:firstLine="560"/>
      </w:pPr>
      <w:r>
        <w:rPr>
          <w:rFonts w:hint="eastAsia"/>
        </w:rPr>
        <w:t>对管线与各类设备的维修次数、频率、周检周期等进行设置，提供管线与设备的主动养护预警。</w:t>
      </w:r>
    </w:p>
    <w:p w14:paraId="1FAC9DD9">
      <w:pPr>
        <w:ind w:firstLine="560"/>
      </w:pPr>
      <w:r>
        <w:rPr>
          <w:rFonts w:hint="eastAsia"/>
        </w:rPr>
        <w:t>（2）水表二级管理</w:t>
      </w:r>
    </w:p>
    <w:p w14:paraId="634AA072">
      <w:pPr>
        <w:ind w:firstLine="560"/>
      </w:pPr>
      <w:r>
        <w:rPr>
          <w:rFonts w:hint="eastAsia"/>
        </w:rPr>
        <w:t>对水表箱内的各一户一表信息进行新增、修改、删除管理，并且保证一户一表信息能对水表箱坐标、水表箱编号、地址等信息进行继承，满足招标人后期对一户一表进行挂接入库。</w:t>
      </w:r>
    </w:p>
    <w:p w14:paraId="200C9F2C">
      <w:pPr>
        <w:ind w:firstLine="560"/>
      </w:pPr>
      <w:r>
        <w:rPr>
          <w:rFonts w:hint="eastAsia"/>
        </w:rPr>
        <w:t>（3）管线养护</w:t>
      </w:r>
    </w:p>
    <w:p w14:paraId="0F903559">
      <w:pPr>
        <w:ind w:firstLine="560"/>
      </w:pPr>
      <w:r>
        <w:rPr>
          <w:rFonts w:hint="eastAsia"/>
        </w:rPr>
        <w:t>对管线日常养护、巡检、维修、移位、改造等信息进行记录，满足招标人对管网养护的台账管理。</w:t>
      </w:r>
    </w:p>
    <w:p w14:paraId="232B4170">
      <w:pPr>
        <w:ind w:firstLine="560"/>
      </w:pPr>
      <w:r>
        <w:rPr>
          <w:rFonts w:hint="eastAsia"/>
        </w:rPr>
        <w:t>（4）设备维护</w:t>
      </w:r>
    </w:p>
    <w:p w14:paraId="57FB35A5">
      <w:pPr>
        <w:ind w:firstLine="560"/>
      </w:pPr>
      <w:r>
        <w:rPr>
          <w:rFonts w:hint="eastAsia"/>
        </w:rPr>
        <w:t>对阀门、水表、在线监测仪表、消防栓等设备日常维护信息进行记录，满足招标人对管网设备维护的台账管理。</w:t>
      </w:r>
    </w:p>
    <w:p w14:paraId="5E386A12">
      <w:pPr>
        <w:ind w:firstLine="560"/>
      </w:pPr>
      <w:r>
        <w:rPr>
          <w:rFonts w:hint="eastAsia"/>
        </w:rPr>
        <w:t>（5）漏点维修</w:t>
      </w:r>
    </w:p>
    <w:p w14:paraId="4A2D0B1C">
      <w:pPr>
        <w:ind w:firstLine="560"/>
      </w:pPr>
      <w:r>
        <w:rPr>
          <w:rFonts w:hint="eastAsia"/>
        </w:rPr>
        <w:t>对管网检漏或上报的各类漏点位置、原因、维修人员、材料、工程量等信息进行记录，满足招标人对日常漏点维修的台账管理。</w:t>
      </w:r>
    </w:p>
    <w:p w14:paraId="5D14F84E">
      <w:pPr>
        <w:ind w:firstLine="560"/>
      </w:pPr>
      <w:r>
        <w:rPr>
          <w:rFonts w:hint="eastAsia"/>
        </w:rPr>
        <w:t>（6）维修查询统计</w:t>
      </w:r>
    </w:p>
    <w:p w14:paraId="103AC740">
      <w:pPr>
        <w:ind w:firstLine="560"/>
      </w:pPr>
      <w:r>
        <w:rPr>
          <w:rFonts w:hint="eastAsia"/>
        </w:rPr>
        <w:t>对管线养护、设备维护、漏点维修的各类信息按时间、维修人员、维修类型等各类方式进行查询统计，并生成统计报表。</w:t>
      </w:r>
    </w:p>
    <w:p w14:paraId="757BF0FE">
      <w:pPr>
        <w:ind w:firstLine="560"/>
      </w:pPr>
      <w:r>
        <w:rPr>
          <w:rFonts w:hint="eastAsia"/>
        </w:rPr>
        <w:t>（7）工程管理</w:t>
      </w:r>
    </w:p>
    <w:p w14:paraId="677A79E2">
      <w:pPr>
        <w:ind w:firstLine="560"/>
      </w:pPr>
      <w:r>
        <w:rPr>
          <w:rFonts w:hint="eastAsia"/>
        </w:rPr>
        <w:t>对管线建设工程范围、工程名称、材料、建设单位、设计单位、施工单位、主要口径、主要材质、工程图档等信息进行管理，能对单一工程量进行统计。</w:t>
      </w:r>
    </w:p>
    <w:p w14:paraId="58B0C02A">
      <w:pPr>
        <w:ind w:firstLine="560"/>
      </w:pPr>
      <w:r>
        <w:rPr>
          <w:rFonts w:hint="eastAsia"/>
        </w:rPr>
        <w:t>（8）竣工图管理</w:t>
      </w:r>
    </w:p>
    <w:p w14:paraId="2885631E">
      <w:pPr>
        <w:ind w:firstLine="560"/>
      </w:pPr>
      <w:r>
        <w:rPr>
          <w:rFonts w:hint="eastAsia"/>
        </w:rPr>
        <w:t>对管线新建或者改造工程的竣工图进行上传，并且与工程范围、工程名称进行关联，在管线属性查询时能查询关联的竣工图。</w:t>
      </w:r>
    </w:p>
    <w:p w14:paraId="2405CC70">
      <w:pPr>
        <w:ind w:firstLine="560"/>
      </w:pPr>
      <w:r>
        <w:rPr>
          <w:rFonts w:hint="eastAsia"/>
        </w:rPr>
        <w:t>6.系统管理</w:t>
      </w:r>
    </w:p>
    <w:p w14:paraId="088233A9">
      <w:pPr>
        <w:ind w:firstLine="560"/>
      </w:pPr>
      <w:r>
        <w:rPr>
          <w:rFonts w:hint="eastAsia"/>
        </w:rPr>
        <w:t>（1）权限控制</w:t>
      </w:r>
    </w:p>
    <w:p w14:paraId="66817D02">
      <w:pPr>
        <w:ind w:firstLine="560"/>
      </w:pPr>
      <w:r>
        <w:rPr>
          <w:rFonts w:hint="eastAsia"/>
        </w:rPr>
        <w:t>系统提供完备的安全机制。除了利用操作系统和数据库自身的权限控制，防止对数据的非法访问之外，系统自身也应提供对使用者操作权限的控制机制，要求能够控制到每一个菜单项。</w:t>
      </w:r>
    </w:p>
    <w:p w14:paraId="6EAC20CD">
      <w:pPr>
        <w:ind w:firstLine="560"/>
      </w:pPr>
      <w:r>
        <w:rPr>
          <w:rFonts w:hint="eastAsia"/>
        </w:rPr>
        <w:t>本项目中，我们将安全及权限管理系统进行了抽象，设计了一套安全管理的基本框架。其体系结构如下图：</w:t>
      </w:r>
    </w:p>
    <w:p w14:paraId="2D86B580">
      <w:pPr>
        <w:pStyle w:val="18"/>
        <w:rPr>
          <w:rFonts w:ascii="仿宋" w:hAnsi="仿宋" w:eastAsia="仿宋"/>
        </w:rPr>
      </w:pPr>
      <w:bookmarkStart w:id="12096" w:name="_Toc88621590"/>
      <w:r>
        <w:rPr>
          <w:rFonts w:ascii="仿宋" w:hAnsi="仿宋" w:eastAsia="仿宋"/>
        </w:rPr>
        <w:object>
          <v:shape id="_x0000_i1028" o:spt="75" type="#_x0000_t75" style="height:172.9pt;width:252.35pt;" o:ole="t" filled="f" o:preferrelative="t" stroked="f" coordsize="21600,21600">
            <v:path/>
            <v:fill on="f" focussize="0,0"/>
            <v:stroke on="f"/>
            <v:imagedata r:id="rId111" grayscale="t" o:title=""/>
            <o:lock v:ext="edit" aspectratio="t"/>
            <w10:wrap type="none"/>
            <w10:anchorlock/>
          </v:shape>
          <o:OLEObject Type="Embed" ProgID="Visio.Drawing.11" ShapeID="_x0000_i1028" DrawAspect="Content" ObjectID="_1468075728" r:id="rId110">
            <o:LockedField>false</o:LockedField>
          </o:OLEObject>
        </w:object>
      </w:r>
      <w:bookmarkEnd w:id="12096"/>
    </w:p>
    <w:p w14:paraId="72CB97D0">
      <w:pPr>
        <w:pStyle w:val="18"/>
        <w:rPr>
          <w:u w:val="double"/>
        </w:rPr>
      </w:pPr>
      <w:r>
        <w:rPr>
          <w:rFonts w:hint="eastAsia"/>
          <w:u w:val="double"/>
        </w:rPr>
        <w:t>系统权限控制体系图</w:t>
      </w:r>
    </w:p>
    <w:p w14:paraId="4D9BC584">
      <w:pPr>
        <w:ind w:firstLine="560"/>
      </w:pPr>
      <w:r>
        <w:rPr>
          <w:rFonts w:hint="eastAsia"/>
        </w:rPr>
        <w:t>（2）数据备份</w:t>
      </w:r>
    </w:p>
    <w:p w14:paraId="0301FCE3">
      <w:pPr>
        <w:ind w:firstLine="560"/>
      </w:pPr>
      <w:r>
        <w:rPr>
          <w:rFonts w:hint="eastAsia"/>
        </w:rPr>
        <w:t>自动备份和手工备份的结合，实现在线每日自动备份、自动异地备份，并提供数据恢复技术。确保任何情况下，数据都不会丢失。</w:t>
      </w:r>
    </w:p>
    <w:p w14:paraId="0CD34A1E">
      <w:pPr>
        <w:ind w:firstLine="560"/>
      </w:pPr>
      <w:r>
        <w:rPr>
          <w:rFonts w:hint="eastAsia"/>
        </w:rPr>
        <w:t>（3）日志管理</w:t>
      </w:r>
    </w:p>
    <w:p w14:paraId="5826D3F6">
      <w:pPr>
        <w:ind w:firstLine="560"/>
        <w:rPr>
          <w:rFonts w:hint="eastAsia"/>
        </w:rPr>
      </w:pPr>
      <w:r>
        <w:rPr>
          <w:rFonts w:hint="eastAsia"/>
        </w:rPr>
        <w:t>系统能够记录每个操作人员对管网数据的操作时间和操作内容，提供便利的操作日志查询工具；还能记录系统运行的日志，便于系统维护。</w:t>
      </w:r>
    </w:p>
    <w:p w14:paraId="4F48EE89">
      <w:pPr>
        <w:pStyle w:val="3"/>
      </w:pPr>
      <w:bookmarkStart w:id="12097" w:name="_Toc7885"/>
      <w:bookmarkStart w:id="12098" w:name="_Toc1439"/>
      <w:bookmarkStart w:id="12099" w:name="_Toc30937"/>
      <w:bookmarkStart w:id="12100" w:name="_Toc7322"/>
      <w:r>
        <w:rPr>
          <w:rFonts w:hint="eastAsia"/>
        </w:rPr>
        <w:t>第四节、外部协调方案及优势</w:t>
      </w:r>
      <w:bookmarkEnd w:id="12097"/>
      <w:bookmarkEnd w:id="12098"/>
      <w:bookmarkEnd w:id="12099"/>
      <w:bookmarkEnd w:id="12100"/>
    </w:p>
    <w:p w14:paraId="37B1DDD9">
      <w:pPr>
        <w:ind w:firstLine="560"/>
      </w:pPr>
      <w:r>
        <w:rPr>
          <w:rFonts w:hint="eastAsia"/>
        </w:rPr>
        <w:t>施工期间外界可能对工程施工产生各种干扰，在施工前应制定完善的措施保证协调好这些干扰和接口，尽最大可能避免和减少这些干扰对本工程施工造成的影响。</w:t>
      </w:r>
    </w:p>
    <w:p w14:paraId="15B323FA">
      <w:pPr>
        <w:ind w:firstLine="560"/>
      </w:pPr>
      <w:r>
        <w:rPr>
          <w:rFonts w:hint="eastAsia"/>
        </w:rPr>
        <w:t>我公司熟悉项目系统及本地建设管理程序和相关建设管理法规，熟悉安徽区域的相关造价行业指标和各项管理规定，熟悉相关办事机构、办事流程及办事人员，可协调相关建设手续的办理工作，从而达到节时高效的建设目的。</w:t>
      </w:r>
    </w:p>
    <w:p w14:paraId="4709BED3">
      <w:pPr>
        <w:pStyle w:val="18"/>
        <w:rPr>
          <w:lang w:val="en-US"/>
        </w:rPr>
      </w:pPr>
      <w:r>
        <w:rPr>
          <w:lang w:val="en-US" w:bidi="ar-SA"/>
        </w:rPr>
        <w:drawing>
          <wp:inline distT="0" distB="0" distL="114300" distR="114300">
            <wp:extent cx="4445635" cy="2863215"/>
            <wp:effectExtent l="0" t="0" r="12065" b="133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2">
                      <a:grayscl/>
                    </a:blip>
                    <a:stretch>
                      <a:fillRect/>
                    </a:stretch>
                  </pic:blipFill>
                  <pic:spPr>
                    <a:xfrm>
                      <a:off x="0" y="0"/>
                      <a:ext cx="4445635" cy="2863215"/>
                    </a:xfrm>
                    <a:prstGeom prst="rect">
                      <a:avLst/>
                    </a:prstGeom>
                    <a:noFill/>
                    <a:ln>
                      <a:noFill/>
                    </a:ln>
                  </pic:spPr>
                </pic:pic>
              </a:graphicData>
            </a:graphic>
          </wp:inline>
        </w:drawing>
      </w:r>
    </w:p>
    <w:p w14:paraId="3B536039">
      <w:pPr>
        <w:pStyle w:val="4"/>
        <w:spacing w:before="93" w:after="31"/>
      </w:pPr>
      <w:bookmarkStart w:id="12101" w:name="_Toc20630"/>
      <w:bookmarkStart w:id="12102" w:name="_Toc13034"/>
      <w:bookmarkStart w:id="12103" w:name="_Toc21007"/>
      <w:bookmarkStart w:id="12104" w:name="_Toc7998"/>
      <w:r>
        <w:rPr>
          <w:rFonts w:hint="eastAsia"/>
        </w:rPr>
        <w:t>一、与建设管理方的配合协调</w:t>
      </w:r>
      <w:bookmarkEnd w:id="12101"/>
      <w:bookmarkEnd w:id="12102"/>
      <w:bookmarkEnd w:id="12103"/>
      <w:bookmarkEnd w:id="12104"/>
    </w:p>
    <w:p w14:paraId="050CEFA7">
      <w:pPr>
        <w:ind w:firstLine="560"/>
      </w:pPr>
      <w:r>
        <w:rPr>
          <w:rFonts w:hint="eastAsia"/>
        </w:rPr>
        <w:t>1.成立以项目经理为组长的对外联系小组，负责与建设管理方的配合协调。</w:t>
      </w:r>
    </w:p>
    <w:p w14:paraId="11B7EC91">
      <w:pPr>
        <w:ind w:firstLine="560"/>
      </w:pPr>
      <w:r>
        <w:rPr>
          <w:rFonts w:hint="eastAsia"/>
        </w:rPr>
        <w:t>2.施工中发现的新问题、新情况由项目经理向建设管理方代表并通过建设管理方代表向建设管理方汇报，积极按时参加建设管理方组织召开的会议。</w:t>
      </w:r>
    </w:p>
    <w:p w14:paraId="00A7CFF5">
      <w:pPr>
        <w:ind w:firstLine="560"/>
      </w:pPr>
      <w:r>
        <w:rPr>
          <w:rFonts w:hint="eastAsia"/>
        </w:rPr>
        <w:t>3.在按图施工、服从监理的前提下组织施工，时时处处为建设管理方着想，急建设管理方所急，始终将建设管理方利益放在第一位，积极响应建设管理方的号召，主动与建设管理方以协商的方式处理问题。</w:t>
      </w:r>
    </w:p>
    <w:p w14:paraId="3947C666">
      <w:pPr>
        <w:pStyle w:val="4"/>
        <w:spacing w:before="93" w:after="31"/>
      </w:pPr>
      <w:bookmarkStart w:id="12105" w:name="_Toc1193"/>
      <w:bookmarkStart w:id="12106" w:name="_Toc16138"/>
      <w:bookmarkStart w:id="12107" w:name="_Toc31882"/>
      <w:bookmarkStart w:id="12108" w:name="_Toc18922"/>
      <w:r>
        <w:rPr>
          <w:rFonts w:hint="eastAsia"/>
        </w:rPr>
        <w:t>二、与设计单位的配合协调</w:t>
      </w:r>
      <w:bookmarkEnd w:id="12105"/>
      <w:bookmarkEnd w:id="12106"/>
      <w:bookmarkEnd w:id="12107"/>
      <w:bookmarkEnd w:id="12108"/>
    </w:p>
    <w:p w14:paraId="51D25DB9">
      <w:pPr>
        <w:ind w:firstLine="560"/>
      </w:pPr>
      <w:r>
        <w:rPr>
          <w:rFonts w:hint="eastAsia"/>
        </w:rPr>
        <w:t>1.项目总工负责与设计单位的配合协调。</w:t>
      </w:r>
    </w:p>
    <w:p w14:paraId="6B8E7F8B">
      <w:pPr>
        <w:ind w:firstLine="560"/>
      </w:pPr>
      <w:r>
        <w:rPr>
          <w:rFonts w:hint="eastAsia"/>
        </w:rPr>
        <w:t>2.中标后，协助驻地监理、管理方代表，及时同设计单位联系，进行开工前的设计技术交底，掌握本工程设计思想及重点。</w:t>
      </w:r>
    </w:p>
    <w:p w14:paraId="3A2B9C8C">
      <w:pPr>
        <w:ind w:firstLine="560"/>
      </w:pPr>
      <w:r>
        <w:rPr>
          <w:rFonts w:hint="eastAsia"/>
        </w:rPr>
        <w:t>3.图纸会审中发现的问题，及时向驻地监理汇报，并和设计单位联系，进一步理解设计，如需变更设计，按程序办理设计变更后进行施工。严格按施工设计图纸组织施工，未经设计同意不更改设计。</w:t>
      </w:r>
    </w:p>
    <w:p w14:paraId="4C5A7271">
      <w:pPr>
        <w:ind w:firstLine="560"/>
      </w:pPr>
      <w:r>
        <w:rPr>
          <w:rFonts w:hint="eastAsia"/>
        </w:rPr>
        <w:t>4.关键部位的施工方案首先请设计人员审定，四方论证后实施。</w:t>
      </w:r>
    </w:p>
    <w:p w14:paraId="77EDB8D1">
      <w:pPr>
        <w:ind w:firstLine="560"/>
      </w:pPr>
      <w:r>
        <w:rPr>
          <w:rFonts w:hint="eastAsia"/>
        </w:rPr>
        <w:t>5.主动向设计单位汇报施工进度，使设计人员对工程进展有准确了解，避免因图纸不到位而影响工期。</w:t>
      </w:r>
    </w:p>
    <w:p w14:paraId="2A210158">
      <w:pPr>
        <w:pStyle w:val="4"/>
        <w:spacing w:before="93" w:after="31"/>
      </w:pPr>
      <w:bookmarkStart w:id="12109" w:name="_Toc25640"/>
      <w:bookmarkStart w:id="12110" w:name="_Toc24038"/>
      <w:bookmarkStart w:id="12111" w:name="_Toc28275"/>
      <w:bookmarkStart w:id="12112" w:name="_Toc6570"/>
      <w:r>
        <w:rPr>
          <w:rFonts w:hint="eastAsia"/>
        </w:rPr>
        <w:t>三、与监理单位的配合协调</w:t>
      </w:r>
      <w:bookmarkEnd w:id="12109"/>
      <w:bookmarkEnd w:id="12110"/>
      <w:bookmarkEnd w:id="12111"/>
      <w:bookmarkEnd w:id="12112"/>
    </w:p>
    <w:p w14:paraId="7F247E16">
      <w:pPr>
        <w:ind w:firstLine="560"/>
      </w:pPr>
      <w:r>
        <w:rPr>
          <w:rFonts w:hint="eastAsia"/>
        </w:rPr>
        <w:t>1.项目副经理及质检工程师负责与监理的配合协调。</w:t>
      </w:r>
    </w:p>
    <w:p w14:paraId="33A49406">
      <w:pPr>
        <w:ind w:firstLine="560"/>
      </w:pPr>
      <w:r>
        <w:rPr>
          <w:rFonts w:hint="eastAsia"/>
        </w:rPr>
        <w:t>2.配合监理单位对“质量、进度、投资”的控制和合同、信息管理职能，做好基础工作。在施工过程中，在班组自检和质检工程师专检的基础上，接受监理的检查和验收，对于存在的问题按监理要求及时整改，以配合服从的工作态度保证驻地监理的施工管理，使工程在可控状态下进行。</w:t>
      </w:r>
    </w:p>
    <w:p w14:paraId="60D84F07">
      <w:pPr>
        <w:ind w:firstLine="560"/>
      </w:pPr>
      <w:r>
        <w:rPr>
          <w:rFonts w:hint="eastAsia"/>
        </w:rPr>
        <w:t>3.落实质量控制、检查、管理制度，所有进入现场的成品、半成品、设备、材料、特殊工种等均按要求向监理提交产品合格证、质保书、进场报验单、上岗证等相关资料，审核是否符合本工程的要求。</w:t>
      </w:r>
    </w:p>
    <w:p w14:paraId="0ECA1FD4">
      <w:pPr>
        <w:ind w:firstLine="560"/>
      </w:pPr>
      <w:r>
        <w:rPr>
          <w:rFonts w:hint="eastAsia"/>
        </w:rPr>
        <w:t>4.分部分项及各工序的质量，严格执行上道工序不合格，下道工序不施工的准则，使监理工程师能顺利开展工作。</w:t>
      </w:r>
    </w:p>
    <w:p w14:paraId="56C8BECA">
      <w:pPr>
        <w:ind w:firstLine="560"/>
      </w:pPr>
      <w:r>
        <w:rPr>
          <w:rFonts w:hint="eastAsia"/>
        </w:rPr>
        <w:t>5.积极配合试验监理工程师完成对各试验项目的有见证送检。</w:t>
      </w:r>
    </w:p>
    <w:p w14:paraId="6A530D51">
      <w:pPr>
        <w:ind w:firstLine="560"/>
      </w:pPr>
      <w:r>
        <w:rPr>
          <w:rFonts w:hint="eastAsia"/>
        </w:rPr>
        <w:t>6.积极配合测量监理工程师按计划对现场的控制水准点及导线点进行复查，确保工程位置和结构的几何尺寸的准确无误。</w:t>
      </w:r>
    </w:p>
    <w:p w14:paraId="45F39D40">
      <w:pPr>
        <w:ind w:firstLine="560"/>
      </w:pPr>
      <w:r>
        <w:rPr>
          <w:rFonts w:hint="eastAsia"/>
        </w:rPr>
        <w:t>7.及时准确向驻地监理报告工程施工的进度计划，完成的投资额度及监控量测结果。</w:t>
      </w:r>
    </w:p>
    <w:p w14:paraId="37E32F80">
      <w:pPr>
        <w:ind w:firstLine="560"/>
      </w:pPr>
      <w:r>
        <w:rPr>
          <w:rFonts w:hint="eastAsia"/>
        </w:rPr>
        <w:t>8.施工中发现问题及时向驻地监理汇报，共同协商处理现场实际问题，必要时请求监理组织四方会议并作好配合落实工作。</w:t>
      </w:r>
    </w:p>
    <w:p w14:paraId="5FFB26CF">
      <w:pPr>
        <w:pStyle w:val="4"/>
        <w:spacing w:before="93" w:after="31"/>
      </w:pPr>
      <w:bookmarkStart w:id="12113" w:name="_Toc1609"/>
      <w:bookmarkStart w:id="12114" w:name="_Toc15545"/>
      <w:bookmarkStart w:id="12115" w:name="_Toc9848"/>
      <w:bookmarkStart w:id="12116" w:name="_Toc17140"/>
      <w:r>
        <w:rPr>
          <w:rFonts w:hint="eastAsia"/>
        </w:rPr>
        <w:t>四、与市政、管线、道路等单位的配合协调</w:t>
      </w:r>
      <w:bookmarkEnd w:id="12113"/>
      <w:bookmarkEnd w:id="12114"/>
      <w:bookmarkEnd w:id="12115"/>
      <w:bookmarkEnd w:id="12116"/>
    </w:p>
    <w:p w14:paraId="7841E4BF">
      <w:pPr>
        <w:ind w:firstLine="560"/>
      </w:pPr>
      <w:r>
        <w:rPr>
          <w:rFonts w:hint="eastAsia"/>
        </w:rPr>
        <w:t>1.项目部副经理做好与市政管线、道路等单位的配合协调工作。</w:t>
      </w:r>
    </w:p>
    <w:p w14:paraId="29D3684D">
      <w:pPr>
        <w:ind w:firstLine="560"/>
      </w:pPr>
      <w:r>
        <w:rPr>
          <w:rFonts w:hint="eastAsia"/>
        </w:rPr>
        <w:t>2.开工前及施工中保持与政府相关业务部门的联系，对驻地职工食堂卫生许可证、施工车辆出入证、宿舍办公区消防合格证、提升设备安检证等及时办理，保证施工正常进行。</w:t>
      </w:r>
    </w:p>
    <w:p w14:paraId="616D1449">
      <w:pPr>
        <w:ind w:firstLine="560"/>
      </w:pPr>
      <w:r>
        <w:rPr>
          <w:rFonts w:hint="eastAsia"/>
        </w:rPr>
        <w:t>3.对于必需占用的园林绿地，提前向有关单位提出申请，待批准后使用，对周边未占用的做好保护工作。对临时占用的园林绿地，施工结束后按园林单位的要求恢复原貌。</w:t>
      </w:r>
    </w:p>
    <w:p w14:paraId="0C7B45C6">
      <w:pPr>
        <w:ind w:firstLine="560"/>
      </w:pPr>
      <w:r>
        <w:rPr>
          <w:rFonts w:hint="eastAsia"/>
        </w:rPr>
        <w:t>4.施工前，对施工范围内图纸上标明的管线进行挖探实际核查，进一步明确其走向、标高、规格、材料、权属单位等，结合施工方案制定详细管线支吊保护、改迁方案，并报相关单位审批。同时对施工重点部位进行物探，确保该处无管线，避免因勘查遗漏挖出不明管线影响工程进度。管线改迁时，对于有特殊要求的管线请专业单位施工。</w:t>
      </w:r>
    </w:p>
    <w:p w14:paraId="74833E96">
      <w:pPr>
        <w:ind w:firstLine="560"/>
      </w:pPr>
      <w:r>
        <w:rPr>
          <w:rFonts w:hint="eastAsia"/>
        </w:rPr>
        <w:t>5.施工期间，与交管部门和交通电台加强联系，增加必要的交通疏散和安全标志，加强非机动车和行人的交通管理，高峰期派专人协助交警疏导交通。</w:t>
      </w:r>
    </w:p>
    <w:p w14:paraId="17055718">
      <w:pPr>
        <w:pStyle w:val="4"/>
        <w:spacing w:before="93" w:after="31"/>
      </w:pPr>
      <w:bookmarkStart w:id="12117" w:name="_Toc12132"/>
      <w:bookmarkStart w:id="12118" w:name="_Toc12178"/>
      <w:bookmarkStart w:id="12119" w:name="_Toc3841"/>
      <w:bookmarkStart w:id="12120" w:name="_Toc29838"/>
      <w:r>
        <w:rPr>
          <w:rFonts w:hint="eastAsia"/>
        </w:rPr>
        <w:t>五、与当地政府、周边单位、居民的配合协调</w:t>
      </w:r>
      <w:bookmarkEnd w:id="12117"/>
      <w:bookmarkEnd w:id="12118"/>
      <w:bookmarkEnd w:id="12119"/>
      <w:bookmarkEnd w:id="12120"/>
    </w:p>
    <w:p w14:paraId="1869E850">
      <w:pPr>
        <w:ind w:firstLine="560"/>
      </w:pPr>
      <w:r>
        <w:rPr>
          <w:rFonts w:hint="eastAsia"/>
        </w:rPr>
        <w:t>1.项目部办公室主任负责与当地政府、单位及居民的协调工作。</w:t>
      </w:r>
    </w:p>
    <w:p w14:paraId="3BDBEA7E">
      <w:pPr>
        <w:ind w:firstLine="560"/>
      </w:pPr>
      <w:r>
        <w:rPr>
          <w:rFonts w:hint="eastAsia"/>
        </w:rPr>
        <w:t>2.开工前配合建设管理方与当地政府主管部门签订临时用地协议，并严格遵守协议内容。</w:t>
      </w:r>
    </w:p>
    <w:p w14:paraId="2014741D">
      <w:pPr>
        <w:ind w:firstLine="560"/>
      </w:pPr>
      <w:r>
        <w:rPr>
          <w:rFonts w:hint="eastAsia"/>
        </w:rPr>
        <w:t>3.保证施工现场周边单位正常工作，设置疏解便道，组织施工时充分考虑因施工对周边单位的影响，留出必要的空间满足周边单位车辆、人员上下班要求。</w:t>
      </w:r>
    </w:p>
    <w:p w14:paraId="52DD063B">
      <w:pPr>
        <w:ind w:firstLine="560"/>
      </w:pPr>
      <w:r>
        <w:rPr>
          <w:rFonts w:hint="eastAsia"/>
        </w:rPr>
        <w:t>4.开工前配合业主做好宣传，并主动走访施工影响范围内的居民，解决因施工给居民带来的因难。施工中作好工序安排，以减少夜间施工噪音，处理好与居民的关系。</w:t>
      </w:r>
    </w:p>
    <w:p w14:paraId="3DF2AC21">
      <w:pPr>
        <w:ind w:firstLine="560"/>
      </w:pPr>
      <w:r>
        <w:rPr>
          <w:rFonts w:hint="eastAsia"/>
        </w:rPr>
        <w:t>5.为保证工程顺利进行，避免不必要的损失，开工前对周边单位及居民房屋进行调查、现状描述，并上报业主。</w:t>
      </w:r>
    </w:p>
    <w:p w14:paraId="7491E2BB">
      <w:pPr>
        <w:ind w:firstLine="560"/>
      </w:pPr>
      <w:r>
        <w:rPr>
          <w:rFonts w:hint="eastAsia"/>
        </w:rPr>
        <w:t>6.为保证居民正常生产、生活，施工过程中尽量降低施工噪音，减少对群众生活影响，与居民搞好关系。</w:t>
      </w:r>
    </w:p>
    <w:p w14:paraId="723F4437">
      <w:pPr>
        <w:ind w:firstLine="560"/>
      </w:pPr>
      <w:r>
        <w:rPr>
          <w:rFonts w:hint="eastAsia"/>
        </w:rPr>
        <w:t>7.办公室负责群众来访接待，解决施工给居民带来的困难。</w:t>
      </w:r>
    </w:p>
    <w:p w14:paraId="33FA5D35">
      <w:pPr>
        <w:pStyle w:val="4"/>
        <w:spacing w:before="93" w:after="31"/>
      </w:pPr>
      <w:bookmarkStart w:id="12121" w:name="_Toc2068"/>
      <w:bookmarkStart w:id="12122" w:name="_Toc10173"/>
      <w:bookmarkStart w:id="12123" w:name="_Toc20341"/>
      <w:bookmarkStart w:id="12124" w:name="_Toc26509"/>
      <w:r>
        <w:rPr>
          <w:rFonts w:hint="eastAsia"/>
        </w:rPr>
        <w:t>六、与交通管理部门的配合协调</w:t>
      </w:r>
      <w:bookmarkEnd w:id="12121"/>
      <w:bookmarkEnd w:id="12122"/>
      <w:bookmarkEnd w:id="12123"/>
      <w:bookmarkEnd w:id="12124"/>
    </w:p>
    <w:p w14:paraId="15951116">
      <w:pPr>
        <w:ind w:firstLine="560"/>
      </w:pPr>
      <w:r>
        <w:rPr>
          <w:rFonts w:hint="eastAsia"/>
        </w:rPr>
        <w:t>为了保证本工程施工期间周边道路交通正常。在工程正式开工前，我们将在投标期间对现场踏勘的基础上，对工程周边环境作进一步深入调查研究，充分了解工程周边的道路情况以及交通状况，并根据交通管理部门的要求，配合专业单位制定详细周到的交通组织方案。保证工程范围内的道路及各路口在工程施工的全过程保持通畅。</w:t>
      </w:r>
    </w:p>
    <w:p w14:paraId="5EC706E3">
      <w:pPr>
        <w:pStyle w:val="4"/>
        <w:spacing w:before="93" w:after="31"/>
      </w:pPr>
      <w:bookmarkStart w:id="12125" w:name="_Toc24500"/>
      <w:bookmarkStart w:id="12126" w:name="_Toc30841"/>
      <w:bookmarkStart w:id="12127" w:name="_Toc31193"/>
      <w:bookmarkStart w:id="12128" w:name="_Toc22374"/>
      <w:r>
        <w:rPr>
          <w:rFonts w:hint="eastAsia"/>
        </w:rPr>
        <w:t>七、与周边在建、已建项目的协调</w:t>
      </w:r>
      <w:bookmarkEnd w:id="12125"/>
      <w:bookmarkEnd w:id="12126"/>
      <w:bookmarkEnd w:id="12127"/>
      <w:bookmarkEnd w:id="12128"/>
    </w:p>
    <w:p w14:paraId="0E2D3753">
      <w:pPr>
        <w:ind w:firstLine="560"/>
      </w:pPr>
      <w:r>
        <w:rPr>
          <w:rFonts w:hint="eastAsia"/>
        </w:rPr>
        <w:t>做好工程施工与在同一工地或其附近施工的其它建设及施工单位的协调，尽可能消除或减轻对工程的延误，以备忘录的形式向监理工程师确认协调措施，对在已建、在建和将建设施工程上的、有赖于由承包人建立的测量控制网予以提供并保护。</w:t>
      </w:r>
    </w:p>
    <w:p w14:paraId="27992022">
      <w:pPr>
        <w:pStyle w:val="4"/>
        <w:spacing w:before="93" w:after="31"/>
      </w:pPr>
      <w:bookmarkStart w:id="12129" w:name="_Toc16012"/>
      <w:bookmarkStart w:id="12130" w:name="_Toc12626"/>
      <w:bookmarkStart w:id="12131" w:name="_Toc3996"/>
      <w:bookmarkStart w:id="12132" w:name="_Toc25406"/>
      <w:r>
        <w:rPr>
          <w:rFonts w:hint="eastAsia"/>
        </w:rPr>
        <w:t>八、园林和文物保护单位的协调</w:t>
      </w:r>
      <w:bookmarkEnd w:id="12129"/>
      <w:bookmarkEnd w:id="12130"/>
      <w:bookmarkEnd w:id="12131"/>
      <w:bookmarkEnd w:id="12132"/>
    </w:p>
    <w:p w14:paraId="618FC833">
      <w:pPr>
        <w:ind w:firstLine="560"/>
        <w:rPr>
          <w:rFonts w:hint="eastAsia"/>
        </w:rPr>
      </w:pPr>
      <w:r>
        <w:rPr>
          <w:rFonts w:hint="eastAsia"/>
        </w:rPr>
        <w:t>施工前对受施工过程影响的树木和文物应采取保护措施。同时负责对施工范围内需迁移的树木及其他园林设施进行初步清点形成报告（种类、数量、范围并附图），报监理工程师审核，由我单位配合绿化产权单位进行迁移，发包人承担迁移工程的主体费用。对于施工中遇到的文物，我单位会及时采取必要的保护措施并报告监理工程师和文物保护单位，由文物保护单位负责处理。</w:t>
      </w:r>
    </w:p>
    <w:bookmarkEnd w:id="10611"/>
    <w:bookmarkEnd w:id="10612"/>
    <w:bookmarkEnd w:id="10613"/>
    <w:p w14:paraId="6B86AF8B">
      <w:pPr>
        <w:ind w:firstLine="560"/>
      </w:pPr>
    </w:p>
    <w:sectPr>
      <w:footerReference r:id="rId5" w:type="default"/>
      <w:pgSz w:w="11906" w:h="16838"/>
      <w:pgMar w:top="720" w:right="720" w:bottom="720" w:left="720" w:header="113" w:footer="227"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60"/>
      </w:pPr>
      <w:r>
        <w:separator/>
      </w:r>
    </w:p>
  </w:endnote>
  <w:endnote w:type="continuationSeparator" w:id="1">
    <w:p>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新宋体">
    <w:panose1 w:val="02010609030101010101"/>
    <w:charset w:val="86"/>
    <w:family w:val="modern"/>
    <w:pitch w:val="default"/>
    <w:sig w:usb0="00000203" w:usb1="288F0000" w:usb2="00000006" w:usb3="00000000" w:csb0="00040001"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396A8B">
    <w:pPr>
      <w:pStyle w:val="8"/>
      <w:ind w:firstLine="360"/>
    </w:pPr>
    <w:r>
      <mc:AlternateContent>
        <mc:Choice Requires="wps">
          <w:drawing>
            <wp:anchor distT="0" distB="0" distL="114300" distR="114300" simplePos="0" relativeHeight="251662336" behindDoc="0" locked="0" layoutInCell="1" allowOverlap="1">
              <wp:simplePos x="0" y="0"/>
              <wp:positionH relativeFrom="margin">
                <wp:posOffset>2282825</wp:posOffset>
              </wp:positionH>
              <wp:positionV relativeFrom="paragraph">
                <wp:posOffset>274955</wp:posOffset>
              </wp:positionV>
              <wp:extent cx="675640" cy="24892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675640" cy="248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48B12A">
                          <w:pPr>
                            <w:pStyle w:val="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13</w:t>
                          </w:r>
                          <w:r>
                            <w:rPr>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79.75pt;margin-top:21.65pt;height:19.6pt;width:53.2pt;mso-position-horizontal-relative:margin;z-index:251662336;mso-width-relative:page;mso-height-relative:page;" filled="f" stroked="f" coordsize="21600,21600" o:gfxdata="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EsI+CTZAAAACQEAAA8AAAAAAAAAAQAgAAAAIgAAAGRycy9kb3ducmV2Lnht&#10;bFBLAQIUABQAAAAIAIdO4kBfVw8gMQIAAFcEAAAOAAAAAAAAAAEAIAAAACgBAABkcnMvZTJvRG9j&#10;LnhtbFBLBQYAAAAABgAGAFkBAADLBQAAAAA=&#10;">
              <v:fill on="f" focussize="0,0"/>
              <v:stroke on="f" weight="0.5pt"/>
              <v:imagedata o:title=""/>
              <o:lock v:ext="edit" aspectratio="f"/>
              <v:textbox inset="0mm,0mm,0mm,0mm">
                <w:txbxContent>
                  <w:p w14:paraId="6548B12A">
                    <w:pPr>
                      <w:pStyle w:val="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13</w:t>
                    </w:r>
                    <w:r>
                      <w:rPr>
                        <w:sz w:val="21"/>
                        <w:szCs w:val="21"/>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560"/>
      </w:pPr>
      <w:r>
        <w:separator/>
      </w:r>
    </w:p>
  </w:footnote>
  <w:footnote w:type="continuationSeparator" w:id="1">
    <w:p>
      <w:pPr>
        <w:ind w:firstLine="56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dit="readOnly"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IyNjM3MGFlNmRlMWIwYjA0ZTk0MDI2ZDI3MTAxYjgifQ=="/>
  </w:docVars>
  <w:rsids>
    <w:rsidRoot w:val="42750F06"/>
    <w:rsid w:val="006F4285"/>
    <w:rsid w:val="0092749F"/>
    <w:rsid w:val="00CA5EFD"/>
    <w:rsid w:val="00F4304C"/>
    <w:rsid w:val="019B1574"/>
    <w:rsid w:val="025C5CB3"/>
    <w:rsid w:val="02EE7309"/>
    <w:rsid w:val="04E77F67"/>
    <w:rsid w:val="054053E0"/>
    <w:rsid w:val="05902B97"/>
    <w:rsid w:val="08E21F81"/>
    <w:rsid w:val="09273C34"/>
    <w:rsid w:val="09AF3EC8"/>
    <w:rsid w:val="0EE5159F"/>
    <w:rsid w:val="0EF34C0D"/>
    <w:rsid w:val="110E39F1"/>
    <w:rsid w:val="124D50DB"/>
    <w:rsid w:val="12EC520A"/>
    <w:rsid w:val="160C11C1"/>
    <w:rsid w:val="16702911"/>
    <w:rsid w:val="17B227E2"/>
    <w:rsid w:val="17CD557D"/>
    <w:rsid w:val="1855789C"/>
    <w:rsid w:val="19BE1519"/>
    <w:rsid w:val="1AEC5604"/>
    <w:rsid w:val="1B8B0FC0"/>
    <w:rsid w:val="1C893D02"/>
    <w:rsid w:val="1DEA1774"/>
    <w:rsid w:val="1E185370"/>
    <w:rsid w:val="1F841442"/>
    <w:rsid w:val="1FB430F1"/>
    <w:rsid w:val="1FC83FED"/>
    <w:rsid w:val="209A15B4"/>
    <w:rsid w:val="219C245B"/>
    <w:rsid w:val="22DA6207"/>
    <w:rsid w:val="23B76DD9"/>
    <w:rsid w:val="24447D94"/>
    <w:rsid w:val="29A00FA8"/>
    <w:rsid w:val="29AD5E07"/>
    <w:rsid w:val="2A453117"/>
    <w:rsid w:val="2EF7245D"/>
    <w:rsid w:val="2FB573F5"/>
    <w:rsid w:val="30E27FC5"/>
    <w:rsid w:val="318A7783"/>
    <w:rsid w:val="33747BEF"/>
    <w:rsid w:val="34FD14BA"/>
    <w:rsid w:val="35A430EF"/>
    <w:rsid w:val="373F6A46"/>
    <w:rsid w:val="382F2A0E"/>
    <w:rsid w:val="39131426"/>
    <w:rsid w:val="393B5859"/>
    <w:rsid w:val="3960592A"/>
    <w:rsid w:val="3AB03469"/>
    <w:rsid w:val="3C1313D3"/>
    <w:rsid w:val="3C320662"/>
    <w:rsid w:val="3C483BA5"/>
    <w:rsid w:val="3C9A7819"/>
    <w:rsid w:val="3D593DF5"/>
    <w:rsid w:val="3EDC080D"/>
    <w:rsid w:val="3FB716B7"/>
    <w:rsid w:val="42750F06"/>
    <w:rsid w:val="42B53343"/>
    <w:rsid w:val="438B252E"/>
    <w:rsid w:val="439C6C0F"/>
    <w:rsid w:val="44056589"/>
    <w:rsid w:val="44C87B6F"/>
    <w:rsid w:val="45252BCA"/>
    <w:rsid w:val="4683105D"/>
    <w:rsid w:val="473F0EEB"/>
    <w:rsid w:val="480768FB"/>
    <w:rsid w:val="49207A2D"/>
    <w:rsid w:val="4C8C2ACD"/>
    <w:rsid w:val="527A6978"/>
    <w:rsid w:val="53B85621"/>
    <w:rsid w:val="55BA59E7"/>
    <w:rsid w:val="561D453D"/>
    <w:rsid w:val="56837764"/>
    <w:rsid w:val="56CE3CC5"/>
    <w:rsid w:val="56FD4815"/>
    <w:rsid w:val="5B8F4B51"/>
    <w:rsid w:val="5BAA161F"/>
    <w:rsid w:val="602D03C4"/>
    <w:rsid w:val="60B47011"/>
    <w:rsid w:val="610F67E0"/>
    <w:rsid w:val="619071F7"/>
    <w:rsid w:val="645108CA"/>
    <w:rsid w:val="66AC1A6F"/>
    <w:rsid w:val="675F3C06"/>
    <w:rsid w:val="69550620"/>
    <w:rsid w:val="6A161669"/>
    <w:rsid w:val="6CE86B37"/>
    <w:rsid w:val="6DE14A3C"/>
    <w:rsid w:val="70274BA9"/>
    <w:rsid w:val="73085711"/>
    <w:rsid w:val="74FC2115"/>
    <w:rsid w:val="75C15A8B"/>
    <w:rsid w:val="76CD71EF"/>
    <w:rsid w:val="778964FB"/>
    <w:rsid w:val="78EE6854"/>
    <w:rsid w:val="7A6609C5"/>
    <w:rsid w:val="7C930250"/>
    <w:rsid w:val="7D225884"/>
    <w:rsid w:val="7D972B1D"/>
    <w:rsid w:val="7FF84C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ind w:firstLine="420" w:firstLineChars="200"/>
      <w:jc w:val="both"/>
    </w:pPr>
    <w:rPr>
      <w:rFonts w:ascii="宋体" w:hAnsi="宋体" w:eastAsia="宋体" w:cs="宋体"/>
      <w:kern w:val="2"/>
      <w:sz w:val="28"/>
      <w:szCs w:val="28"/>
      <w:lang w:val="en-US" w:eastAsia="zh-CN" w:bidi="ar-SA"/>
    </w:rPr>
  </w:style>
  <w:style w:type="paragraph" w:styleId="2">
    <w:name w:val="heading 1"/>
    <w:basedOn w:val="1"/>
    <w:next w:val="1"/>
    <w:link w:val="16"/>
    <w:qFormat/>
    <w:uiPriority w:val="0"/>
    <w:pPr>
      <w:keepNext/>
      <w:keepLines/>
      <w:spacing w:before="50" w:beforeLines="50" w:after="50" w:afterLines="50" w:line="240" w:lineRule="auto"/>
      <w:ind w:firstLine="0" w:firstLineChars="0"/>
      <w:jc w:val="center"/>
      <w:outlineLvl w:val="0"/>
    </w:pPr>
    <w:rPr>
      <w:b/>
      <w:bCs/>
      <w:color w:val="000000" w:themeColor="text1"/>
      <w:sz w:val="28"/>
      <w:szCs w:val="32"/>
      <w14:textFill>
        <w14:solidFill>
          <w14:schemeClr w14:val="tx1"/>
        </w14:solidFill>
      </w14:textFill>
    </w:rPr>
  </w:style>
  <w:style w:type="paragraph" w:styleId="3">
    <w:name w:val="heading 2"/>
    <w:basedOn w:val="1"/>
    <w:next w:val="1"/>
    <w:link w:val="17"/>
    <w:unhideWhenUsed/>
    <w:qFormat/>
    <w:uiPriority w:val="0"/>
    <w:pPr>
      <w:keepNext/>
      <w:keepLines/>
      <w:adjustRightInd w:val="0"/>
      <w:snapToGrid w:val="0"/>
      <w:ind w:firstLine="560" w:firstLineChars="200"/>
      <w:jc w:val="left"/>
      <w:outlineLvl w:val="1"/>
    </w:pPr>
    <w:rPr>
      <w:rFonts w:cs="Times New Roman"/>
      <w:b/>
      <w:color w:val="000000" w:themeColor="text1"/>
      <w:spacing w:val="11"/>
      <w:sz w:val="28"/>
      <w:szCs w:val="30"/>
      <w14:textFill>
        <w14:solidFill>
          <w14:schemeClr w14:val="tx1"/>
        </w14:solidFill>
      </w14:textFill>
    </w:rPr>
  </w:style>
  <w:style w:type="paragraph" w:styleId="4">
    <w:name w:val="heading 3"/>
    <w:basedOn w:val="1"/>
    <w:next w:val="1"/>
    <w:link w:val="19"/>
    <w:unhideWhenUsed/>
    <w:qFormat/>
    <w:uiPriority w:val="0"/>
    <w:pPr>
      <w:tabs>
        <w:tab w:val="left" w:pos="420"/>
      </w:tabs>
      <w:adjustRightInd w:val="0"/>
      <w:snapToGrid w:val="0"/>
      <w:spacing w:line="240" w:lineRule="auto"/>
      <w:ind w:firstLine="560" w:firstLineChars="200"/>
      <w:jc w:val="left"/>
      <w:outlineLvl w:val="2"/>
    </w:pPr>
    <w:rPr>
      <w:b/>
      <w:bCs/>
      <w:szCs w:val="30"/>
    </w:rPr>
  </w:style>
  <w:style w:type="paragraph" w:styleId="5">
    <w:name w:val="heading 4"/>
    <w:basedOn w:val="1"/>
    <w:next w:val="1"/>
    <w:unhideWhenUsed/>
    <w:qFormat/>
    <w:uiPriority w:val="0"/>
    <w:pPr>
      <w:spacing w:before="10" w:beforeLines="10" w:after="10" w:afterLines="10" w:line="360" w:lineRule="auto"/>
      <w:outlineLvl w:val="3"/>
    </w:pPr>
    <w:rPr>
      <w:b/>
      <w:color w:val="535353" w:themeColor="accent3" w:themeShade="80"/>
    </w:rPr>
  </w:style>
  <w:style w:type="paragraph" w:styleId="6">
    <w:name w:val="heading 5"/>
    <w:basedOn w:val="1"/>
    <w:next w:val="1"/>
    <w:semiHidden/>
    <w:unhideWhenUsed/>
    <w:qFormat/>
    <w:uiPriority w:val="0"/>
    <w:pPr>
      <w:keepNext/>
      <w:keepLines/>
      <w:spacing w:before="10" w:beforeLines="10" w:after="10" w:afterLines="10" w:line="360" w:lineRule="auto"/>
      <w:outlineLvl w:val="4"/>
    </w:pPr>
    <w:rPr>
      <w:b/>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7">
    <w:name w:val="toc 3"/>
    <w:basedOn w:val="1"/>
    <w:next w:val="1"/>
    <w:qFormat/>
    <w:uiPriority w:val="0"/>
    <w:pPr>
      <w:spacing w:line="360" w:lineRule="auto"/>
      <w:ind w:left="560" w:leftChars="200" w:right="560" w:rightChars="200" w:firstLine="0" w:firstLineChars="0"/>
    </w:pPr>
    <w:rPr>
      <w:bCs/>
      <w:color w:val="000000" w:themeColor="text1"/>
      <w:kern w:val="0"/>
      <w:sz w:val="28"/>
      <w:szCs w:val="32"/>
      <w14:textFill>
        <w14:solidFill>
          <w14:schemeClr w14:val="tx1"/>
        </w14:solidFill>
      </w14:textFill>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0">
    <w:name w:val="toc 1"/>
    <w:basedOn w:val="1"/>
    <w:next w:val="1"/>
    <w:qFormat/>
    <w:uiPriority w:val="0"/>
    <w:pPr>
      <w:spacing w:line="360" w:lineRule="auto"/>
      <w:ind w:firstLine="0" w:firstLineChars="0"/>
    </w:pPr>
    <w:rPr>
      <w:b/>
      <w:color w:val="000000" w:themeColor="text1"/>
      <w:sz w:val="28"/>
      <w:szCs w:val="32"/>
      <w14:textFill>
        <w14:solidFill>
          <w14:schemeClr w14:val="tx1"/>
        </w14:solidFill>
      </w14:textFill>
    </w:rPr>
  </w:style>
  <w:style w:type="paragraph" w:styleId="11">
    <w:name w:val="toc 4"/>
    <w:basedOn w:val="1"/>
    <w:next w:val="1"/>
    <w:qFormat/>
    <w:uiPriority w:val="0"/>
    <w:pPr>
      <w:ind w:left="560" w:leftChars="200"/>
    </w:pPr>
    <w:rPr>
      <w:b/>
      <w:color w:val="595959" w:themeColor="text1" w:themeTint="A6"/>
      <w14:textFill>
        <w14:solidFill>
          <w14:schemeClr w14:val="tx1">
            <w14:lumMod w14:val="65000"/>
            <w14:lumOff w14:val="35000"/>
          </w14:schemeClr>
        </w14:solidFill>
      </w14:textFill>
    </w:rPr>
  </w:style>
  <w:style w:type="paragraph" w:styleId="12">
    <w:name w:val="toc 2"/>
    <w:basedOn w:val="1"/>
    <w:next w:val="1"/>
    <w:qFormat/>
    <w:uiPriority w:val="0"/>
    <w:pPr>
      <w:spacing w:line="360" w:lineRule="auto"/>
      <w:ind w:left="280" w:leftChars="100" w:right="280" w:rightChars="100" w:firstLine="0" w:firstLineChars="0"/>
      <w:jc w:val="left"/>
    </w:pPr>
    <w:rPr>
      <w:bCs/>
      <w:color w:val="000000" w:themeColor="text1"/>
      <w:szCs w:val="32"/>
      <w14:textFill>
        <w14:solidFill>
          <w14:schemeClr w14:val="tx1"/>
        </w14:solidFill>
      </w14:textFill>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6">
    <w:name w:val="标题 1 字符"/>
    <w:link w:val="2"/>
    <w:qFormat/>
    <w:uiPriority w:val="0"/>
    <w:rPr>
      <w:rFonts w:ascii="宋体" w:hAnsi="宋体" w:eastAsia="宋体" w:cs="宋体"/>
      <w:b/>
      <w:bCs/>
      <w:color w:val="000000" w:themeColor="text1"/>
      <w:kern w:val="2"/>
      <w:sz w:val="28"/>
      <w:szCs w:val="32"/>
      <w14:textFill>
        <w14:solidFill>
          <w14:schemeClr w14:val="tx1"/>
        </w14:solidFill>
      </w14:textFill>
    </w:rPr>
  </w:style>
  <w:style w:type="character" w:customStyle="1" w:styleId="17">
    <w:name w:val="标题 2 字符"/>
    <w:link w:val="3"/>
    <w:qFormat/>
    <w:uiPriority w:val="0"/>
    <w:rPr>
      <w:rFonts w:ascii="宋体" w:hAnsi="宋体" w:eastAsia="宋体" w:cs="宋体"/>
      <w:b/>
      <w:bCs/>
      <w:color w:val="000000" w:themeColor="text1"/>
      <w:spacing w:val="11"/>
      <w:sz w:val="28"/>
      <w:szCs w:val="30"/>
      <w14:textFill>
        <w14:solidFill>
          <w14:schemeClr w14:val="tx1"/>
        </w14:solidFill>
      </w14:textFill>
    </w:rPr>
  </w:style>
  <w:style w:type="paragraph" w:customStyle="1" w:styleId="18">
    <w:name w:val="表格样式"/>
    <w:basedOn w:val="1"/>
    <w:qFormat/>
    <w:uiPriority w:val="0"/>
    <w:pPr>
      <w:spacing w:line="360" w:lineRule="auto"/>
      <w:ind w:firstLine="0" w:firstLineChars="0"/>
      <w:jc w:val="center"/>
    </w:pPr>
    <w:rPr>
      <w:szCs w:val="22"/>
      <w:lang w:val="zh-CN" w:bidi="zh-CN"/>
    </w:rPr>
  </w:style>
  <w:style w:type="character" w:customStyle="1" w:styleId="19">
    <w:name w:val="标题 3 字符"/>
    <w:link w:val="4"/>
    <w:qFormat/>
    <w:uiPriority w:val="0"/>
    <w:rPr>
      <w:rFonts w:ascii="宋体" w:hAnsi="宋体" w:eastAsia="宋体" w:cs="宋体"/>
      <w:b/>
      <w:bCs/>
      <w:color w:val="auto"/>
      <w:sz w:val="28"/>
      <w:szCs w:val="30"/>
    </w:rPr>
  </w:style>
  <w:style w:type="table" w:customStyle="1" w:styleId="20">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9.emf"/><Relationship Id="rId98" Type="http://schemas.openxmlformats.org/officeDocument/2006/relationships/oleObject" Target="embeddings/oleObject1.bin"/><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image" Target="media/image2.jpeg"/><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hyperlink" Target="http://www.sohu.com/a/150201186_708539" TargetMode="Externa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jpeg"/><Relationship Id="rId74" Type="http://schemas.openxmlformats.org/officeDocument/2006/relationships/hyperlink" Target="https://www.nipic.com/show/35973494.html" TargetMode="External"/><Relationship Id="rId73" Type="http://schemas.openxmlformats.org/officeDocument/2006/relationships/image" Target="media/image65.jpeg"/><Relationship Id="rId72" Type="http://schemas.openxmlformats.org/officeDocument/2006/relationships/hyperlink" Target="http://www.gov.cn/govweb/jrzg/2013-12/10/content_2545742.htm" TargetMode="External"/><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image" Target="media/image1.png"/><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theme" Target="theme/theme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4" Type="http://schemas.openxmlformats.org/officeDocument/2006/relationships/fontTable" Target="fontTable.xml"/><Relationship Id="rId113" Type="http://schemas.openxmlformats.org/officeDocument/2006/relationships/customXml" Target="../customXml/item1.xml"/><Relationship Id="rId112" Type="http://schemas.openxmlformats.org/officeDocument/2006/relationships/image" Target="media/image99.png"/><Relationship Id="rId111" Type="http://schemas.openxmlformats.org/officeDocument/2006/relationships/image" Target="media/image98.emf"/><Relationship Id="rId110" Type="http://schemas.openxmlformats.org/officeDocument/2006/relationships/oleObject" Target="embeddings/oleObject4.bin"/><Relationship Id="rId11" Type="http://schemas.openxmlformats.org/officeDocument/2006/relationships/image" Target="media/image4.png"/><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emf"/><Relationship Id="rId102" Type="http://schemas.openxmlformats.org/officeDocument/2006/relationships/oleObject" Target="embeddings/oleObject3.bin"/><Relationship Id="rId101" Type="http://schemas.openxmlformats.org/officeDocument/2006/relationships/image" Target="media/image90.emf"/><Relationship Id="rId100" Type="http://schemas.openxmlformats.org/officeDocument/2006/relationships/oleObject" Target="embeddings/oleObject2.bin"/><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extobjs>
    <extobj name="ECB019B1-382A-4266-B25C-5B523AA43C14-1">
      <extobjdata type="ECB019B1-382A-4266-B25C-5B523AA43C14" data="ewoJIkZpbGVJZCIgOiAiMTc2NTQwOTQ3NDM1IiwKCSJHcm91cElkIiA6ICIxNzYxMDY0NTYzIiwKCSJJbWFnZSIgOiAiaVZCT1J3MEtHZ29BQUFBTlNVaEVVZ0FBQXhjQUFBSHRDQVlBQUFCcnRvTnFBQUFBQ1hCSVdYTUFBQXNUQUFBTEV3RUFtcHdZQUFBZ0FFbEVRVlI0bk96ZGQzeFVWZjcvOGZlNU01TUVFa2dRa0M1U3JCRVZCUlViOXJZV1JFRlFrYld0cm1MYlhRU2k2eS9yVjhDeTZxNTFMZXZhV0JFVVVWVFdnb3BpUVJHcFlnR2tTWWNRU0VLU21YdlA3NDhrWXlhVGhEYkpaQ2F2NStQQmc3bm5ubnZ2Wno2T3cvM01QZWRlQ1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ocWl2OEhqdzJub2pPak9GMEFBQUFBU1VWT1JLNUNZSUk9IiwKCSJUaGVtZSIgOiAiIiwKCSJUeXBlIiA6ICJmbG93IiwKCSJWZXJzaW9uIiA6ICI0MiIKfQo="/>
    </extobj>
    <extobj name="ECB019B1-382A-4266-B25C-5B523AA43C14-2">
      <extobjdata type="ECB019B1-382A-4266-B25C-5B523AA43C14" data="ewoJIkZpbGVJZCIgOiAiMTgxOTIwODA5MjA1IiwKCSJHcm91cElkIiA6ICIxNzYxMDY0NTYzIiwKCSJJbWFnZSIgOiAiaVZCT1J3MEtHZ29BQUFBTlNVaEVVZ0FBQWtzQUFBRzdDQVlBQUFEVHg5R0dBQUFBQ1hCSVdYTUFBQXNUQUFBTEV3RUFtcHdZQUFBZ0FFbEVRVlI0bk96ZGQzUVU1ZjRHOEdkMnMrbVZKQVJDQ0pBUWVtalNKSFNsaVBRU3FWS3VpbmdSbFN1ZG01c2JCVVIvY05VcnNZQ0lGMUFNU29jUWlnaEtENzMzRWpycGRUZGI1dmRIeUpKTldVSklkckt6eitjY3pwbVc3RGN2TTd2UHZ2UE9ERU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"/>
    </extobj>
    <extobj name="ECB019B1-382A-4266-B25C-5B523AA43C14-3">
      <extobjdata type="ECB019B1-382A-4266-B25C-5B523AA43C14" data="ewoJIkZpbGVJZCIgOiAiMTgxOTIwODA5MjA1IiwKCSJHcm91cElkIiA6ICIxNzYxMDY0NTYzIiwKCSJJbWFnZSIgOiAiaVZCT1J3MEtHZ29BQUFBTlNVaEVVZ0FBQWtzQUFBRzdDQVlBQUFEVHg5R0dBQUFBQ1hCSVdYTUFBQXNUQUFBTEV3RUFtcHdZQUFBZ0FFbEVRVlI0bk96ZGQzUVU1ZjRHOEdkMnMrbVZKQVJDQ0pBUWVtalNKSFNsaVBRU3FWS3VpbmdSbFN1ZG01c2JCVVIvY05VcnNZQ0lGMUFNU29jUWlnaEtENzMzRWpycGRUZGI1dmRIeUpKTldVSklkckt6eitjY3pwbVc3RGN2TTd2UHZ2UE9ERU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292</Pages>
  <Words>20577</Words>
  <Characters>21106</Characters>
  <Lines>3660</Lines>
  <Paragraphs>1030</Paragraphs>
  <TotalTime>0</TotalTime>
  <ScaleCrop>false</ScaleCrop>
  <LinksUpToDate>false</LinksUpToDate>
  <CharactersWithSpaces>21251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2022-12-13T10:26:00Z</dcterms:created>
  <dc:creator>陈俊</dc:creator>
  <cp:lastModifiedBy>甜瓜</cp:lastModifiedBy>
  <dcterms:modified xsi:type="dcterms:W3CDTF">2025-07-29T11:38:19Z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8FC36B7E0F7C4D2086F940E651AFDF14_13</vt:lpwstr>
  </property>
  <property fmtid="{D5CDD505-2E9C-101B-9397-08002B2CF9AE}" pid="4" name="KSOTemplateDocerSaveRecord">
    <vt:lpwstr>eyJoZGlkIjoiYTExZGI2MTk1ZmJkZDYxN2FhOWZlN2Y3NzU3NWY5NmUiLCJ1c2VySWQiOiI0MjIyMTc1NDEifQ==</vt:lpwstr>
  </property>
</Properties>
</file>